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7B7ECE" w14:textId="57D3EB14"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 xml:space="preserve">Part C </w:t>
      </w:r>
      <w:r>
        <w:rPr>
          <w:rFonts w:ascii="Times New Roman" w:hAnsi="Times New Roman" w:cs="Times New Roman"/>
          <w:b/>
          <w:bCs/>
          <w:sz w:val="24"/>
          <w:szCs w:val="24"/>
          <w:lang w:val="en-US"/>
        </w:rPr>
        <w:t>:</w:t>
      </w:r>
      <w:r w:rsidRPr="00E8753E">
        <w:rPr>
          <w:rFonts w:ascii="Times New Roman" w:hAnsi="Times New Roman" w:cs="Times New Roman"/>
          <w:b/>
          <w:bCs/>
          <w:sz w:val="24"/>
          <w:szCs w:val="24"/>
          <w:lang w:val="en-US"/>
        </w:rPr>
        <w:t xml:space="preserve"> Reflective Report on the Research Journey</w:t>
      </w:r>
    </w:p>
    <w:p w14:paraId="15BC81E6"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1. Introduction</w:t>
      </w:r>
    </w:p>
    <w:p w14:paraId="7BD01EF5"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reflection considers my research journey from the original project proposal through literature appraisal, technical training, methodological reassessment, project re-scoping and completion of the final analysis. The original project was designed around non-invasive pressure–volume loop assessment of myocardial energetics. As the project progressed, the technical learning curve and fixed dissertation timeframe made completion of the original methodology increasingly difficult to achieve to an appropriate standard. The project was therefore re-scoped to an exploratory retrospective comparative analysis of left ventricular flow energetics using four-dimensional flow cardiovascular magnetic resonance (4D-flow CMR), involving five participants with aortic stenosis (AS) and five controls from the PREFER-CMR registry.</w:t>
      </w:r>
    </w:p>
    <w:p w14:paraId="7A408500"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most important changes in my practice concerned critical appraisal, judging the validity of my own measurements, feasibility assessment, interpretation of uncertainty and planning for future research.</w:t>
      </w:r>
    </w:p>
    <w:p w14:paraId="183B55B3"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2. From Clinician to Researcher</w:t>
      </w:r>
    </w:p>
    <w:p w14:paraId="375381E1"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At the beginning of the project, I approached research largely through my clinical experience. Clinical practice often requires applying established guidelines, protocols and evidence to individual patients. I initially approached research in a similarly linear way: identify a question, follow the planned methodology, </w:t>
      </w:r>
      <w:proofErr w:type="spellStart"/>
      <w:r w:rsidRPr="00E8753E">
        <w:rPr>
          <w:rFonts w:ascii="Times New Roman" w:hAnsi="Times New Roman" w:cs="Times New Roman"/>
          <w:sz w:val="24"/>
          <w:szCs w:val="24"/>
          <w:lang w:val="en-US"/>
        </w:rPr>
        <w:t>analyse</w:t>
      </w:r>
      <w:proofErr w:type="spellEnd"/>
      <w:r w:rsidRPr="00E8753E">
        <w:rPr>
          <w:rFonts w:ascii="Times New Roman" w:hAnsi="Times New Roman" w:cs="Times New Roman"/>
          <w:sz w:val="24"/>
          <w:szCs w:val="24"/>
          <w:lang w:val="en-US"/>
        </w:rPr>
        <w:t xml:space="preserve"> the data and report the findings.</w:t>
      </w:r>
    </w:p>
    <w:p w14:paraId="19AA6404"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project challenged this assumption. Research required me not only to follow a method but to question whether the method, data and resulting measurements </w:t>
      </w:r>
      <w:proofErr w:type="gramStart"/>
      <w:r w:rsidRPr="00E8753E">
        <w:rPr>
          <w:rFonts w:ascii="Times New Roman" w:hAnsi="Times New Roman" w:cs="Times New Roman"/>
          <w:sz w:val="24"/>
          <w:szCs w:val="24"/>
          <w:lang w:val="en-US"/>
        </w:rPr>
        <w:t>were capable of answering</w:t>
      </w:r>
      <w:proofErr w:type="gramEnd"/>
      <w:r w:rsidRPr="00E8753E">
        <w:rPr>
          <w:rFonts w:ascii="Times New Roman" w:hAnsi="Times New Roman" w:cs="Times New Roman"/>
          <w:sz w:val="24"/>
          <w:szCs w:val="24"/>
          <w:lang w:val="en-US"/>
        </w:rPr>
        <w:t xml:space="preserve"> the question. This became particularly evident when I began processing 4D-flow CMR data. Obtaining an output from software did not necessarily mean that the output was valid.</w:t>
      </w:r>
    </w:p>
    <w:p w14:paraId="38CBA7AC"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I consequently began to distinguish between </w:t>
      </w:r>
      <w:r w:rsidRPr="00E8753E">
        <w:rPr>
          <w:rFonts w:ascii="Times New Roman" w:hAnsi="Times New Roman" w:cs="Times New Roman"/>
          <w:b/>
          <w:bCs/>
          <w:sz w:val="24"/>
          <w:szCs w:val="24"/>
          <w:lang w:val="en-US"/>
        </w:rPr>
        <w:t>performing a procedure</w:t>
      </w:r>
      <w:r w:rsidRPr="00E8753E">
        <w:rPr>
          <w:rFonts w:ascii="Times New Roman" w:hAnsi="Times New Roman" w:cs="Times New Roman"/>
          <w:sz w:val="24"/>
          <w:szCs w:val="24"/>
          <w:lang w:val="en-US"/>
        </w:rPr>
        <w:t xml:space="preserve"> and </w:t>
      </w:r>
      <w:r w:rsidRPr="00E8753E">
        <w:rPr>
          <w:rFonts w:ascii="Times New Roman" w:hAnsi="Times New Roman" w:cs="Times New Roman"/>
          <w:b/>
          <w:bCs/>
          <w:sz w:val="24"/>
          <w:szCs w:val="24"/>
          <w:lang w:val="en-US"/>
        </w:rPr>
        <w:t>being able to defend the resulting measurement</w:t>
      </w:r>
      <w:r w:rsidRPr="00E8753E">
        <w:rPr>
          <w:rFonts w:ascii="Times New Roman" w:hAnsi="Times New Roman" w:cs="Times New Roman"/>
          <w:sz w:val="24"/>
          <w:szCs w:val="24"/>
          <w:lang w:val="en-US"/>
        </w:rPr>
        <w:t>. This changed my understanding of the researcher’s role. Rather than simply applying established knowledge, I needed to interrogate how evidence had been generated and whether the assumptions underlying a measurement were appropriate to the dataset available.</w:t>
      </w:r>
    </w:p>
    <w:p w14:paraId="77EC507E"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3. Development of Critical Appraisal</w:t>
      </w:r>
    </w:p>
    <w:p w14:paraId="3FD8D7E7"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My early literature review was initially descriptive. I tended to read studies individually and record their findings without consistently questioning whether their methods supported the conclusions. Supervisory feedback prompted a shift towards asking what had </w:t>
      </w:r>
      <w:proofErr w:type="gramStart"/>
      <w:r w:rsidRPr="00E8753E">
        <w:rPr>
          <w:rFonts w:ascii="Times New Roman" w:hAnsi="Times New Roman" w:cs="Times New Roman"/>
          <w:sz w:val="24"/>
          <w:szCs w:val="24"/>
          <w:lang w:val="en-US"/>
        </w:rPr>
        <w:t>actually been</w:t>
      </w:r>
      <w:proofErr w:type="gramEnd"/>
      <w:r w:rsidRPr="00E8753E">
        <w:rPr>
          <w:rFonts w:ascii="Times New Roman" w:hAnsi="Times New Roman" w:cs="Times New Roman"/>
          <w:sz w:val="24"/>
          <w:szCs w:val="24"/>
          <w:lang w:val="en-US"/>
        </w:rPr>
        <w:t xml:space="preserve"> measured, what assumptions underpinned the measurement and what could legitimately be inferred.</w:t>
      </w:r>
    </w:p>
    <w:p w14:paraId="7CDF8292"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literature surrounding AS provided a useful example. Doppler assessment is dependent on appropriate alignment with blood flow, and eccentric flow can create measurement limitations that may affect velocity-based assessment of </w:t>
      </w:r>
      <w:proofErr w:type="gramStart"/>
      <w:r w:rsidRPr="00E8753E">
        <w:rPr>
          <w:rFonts w:ascii="Times New Roman" w:hAnsi="Times New Roman" w:cs="Times New Roman"/>
          <w:sz w:val="24"/>
          <w:szCs w:val="24"/>
          <w:lang w:val="en-US"/>
        </w:rPr>
        <w:t>stenosis.¹</w:t>
      </w:r>
      <w:proofErr w:type="gramEnd"/>
      <w:r w:rsidRPr="00E8753E">
        <w:rPr>
          <w:rFonts w:ascii="Times New Roman" w:hAnsi="Times New Roman" w:cs="Times New Roman"/>
          <w:sz w:val="24"/>
          <w:szCs w:val="24"/>
          <w:lang w:val="en-US"/>
        </w:rPr>
        <w:t xml:space="preserve"> Reading this literature in terms of </w:t>
      </w:r>
      <w:r w:rsidRPr="00E8753E">
        <w:rPr>
          <w:rFonts w:ascii="Times New Roman" w:hAnsi="Times New Roman" w:cs="Times New Roman"/>
          <w:sz w:val="24"/>
          <w:szCs w:val="24"/>
          <w:lang w:val="en-US"/>
        </w:rPr>
        <w:lastRenderedPageBreak/>
        <w:t>measurement principles rather than simply reported findings helped me understand why disagreement between modalities does not automatically mean that one technique is incorrect. It may instead reflect differences in what each technique measures and the assumptions involved.</w:t>
      </w:r>
    </w:p>
    <w:p w14:paraId="25A10A16"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I also identified weaknesses in my own reference-management practice during the dissertation. Several bibliographic records required correction, including mismatched publication details and an unresolved placeholder. This was particularly relevant because I was simultaneously learning that apparently small methodological inaccuracies can propagate into larger problems. I therefore changed my reference-management method: bibliographic records were to be imported or verified using DOI or PMID identifiers rather than manually transcribed.</w:t>
      </w:r>
    </w:p>
    <w:p w14:paraId="2E0CA8F6"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This became more than a formatting change. It established a principle I now apply more generally: </w:t>
      </w:r>
      <w:r w:rsidRPr="00E8753E">
        <w:rPr>
          <w:rFonts w:ascii="Times New Roman" w:hAnsi="Times New Roman" w:cs="Times New Roman"/>
          <w:b/>
          <w:bCs/>
          <w:sz w:val="24"/>
          <w:szCs w:val="24"/>
          <w:lang w:val="en-US"/>
        </w:rPr>
        <w:t>information should be verified at the point at which it enters the analysis rather than corrected after an error has propagated.</w:t>
      </w:r>
    </w:p>
    <w:p w14:paraId="36BABD55"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4. Judging My Own MASS Output</w:t>
      </w:r>
    </w:p>
    <w:p w14:paraId="34FE4929"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4D-flow component was technically demanding because I had no previous experience of this type of cardiovascular magnetic resonance post-processing. MASS required me to develop not only software skills but also anatomical and physiological reasoning. The position of contours and valve planes could influence subsequent measurements, meaning that an apparently completed analysis could still be inappropriate.</w:t>
      </w:r>
    </w:p>
    <w:p w14:paraId="1A497739"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I found that I could complete the required processing steps without always being able to determine independently whether the resulting ventricular measurements were anatomically plausible. The problem was therefore not simply unfamiliarity with the software. I lacked an immediate reference standard against which to judge my own output.</w:t>
      </w:r>
    </w:p>
    <w:p w14:paraId="0F6F8A92"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changed my approach. I began checking derived end-diastolic volume, end-systolic volume, stroke volume and left ventricular ejection fraction against expected physiological relationships and using the literature to investigate unexpected values. The purpose was not to force measurements into a predetermined range, but to identify results that required further inspection.</w:t>
      </w:r>
    </w:p>
    <w:p w14:paraId="4523B3BE"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I also became more conscious that the processing pipeline itself can affect interpretation. 4D-flow measurements are influenced by acquisition and processing characteristics, which is why technical understanding is necessary before treating derived energetic measures as definitive </w:t>
      </w:r>
      <w:proofErr w:type="gramStart"/>
      <w:r w:rsidRPr="00E8753E">
        <w:rPr>
          <w:rFonts w:ascii="Times New Roman" w:hAnsi="Times New Roman" w:cs="Times New Roman"/>
          <w:sz w:val="24"/>
          <w:szCs w:val="24"/>
          <w:lang w:val="en-US"/>
        </w:rPr>
        <w:t>outputs.²</w:t>
      </w:r>
      <w:proofErr w:type="gramEnd"/>
    </w:p>
    <w:p w14:paraId="05B35C6A"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key lesson was that </w:t>
      </w:r>
      <w:r w:rsidRPr="00E8753E">
        <w:rPr>
          <w:rFonts w:ascii="Times New Roman" w:hAnsi="Times New Roman" w:cs="Times New Roman"/>
          <w:b/>
          <w:bCs/>
          <w:sz w:val="24"/>
          <w:szCs w:val="24"/>
          <w:lang w:val="en-US"/>
        </w:rPr>
        <w:t>measurement validation must be incorporated into the method rather than added at the end</w:t>
      </w:r>
      <w:r w:rsidRPr="00E8753E">
        <w:rPr>
          <w:rFonts w:ascii="Times New Roman" w:hAnsi="Times New Roman" w:cs="Times New Roman"/>
          <w:sz w:val="24"/>
          <w:szCs w:val="24"/>
          <w:lang w:val="en-US"/>
        </w:rPr>
        <w:t>. In future projects involving image analysis, I will define plausibility checks, repeat measurements and, where possible, reproducibility assessment before starting the main analysis.</w:t>
      </w:r>
    </w:p>
    <w:p w14:paraId="4CED008F"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5. The Research Pivot</w:t>
      </w:r>
    </w:p>
    <w:p w14:paraId="3B3B54AD"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most consequential decision in the project was the move away from the original pressure–volume loop methodology. The initial research plan aimed to investigate myocardial energetics using non-invasive pressure–volume loop-derived measures, including stroke work, pressure–</w:t>
      </w:r>
      <w:r w:rsidRPr="00E8753E">
        <w:rPr>
          <w:rFonts w:ascii="Times New Roman" w:hAnsi="Times New Roman" w:cs="Times New Roman"/>
          <w:sz w:val="24"/>
          <w:szCs w:val="24"/>
          <w:lang w:val="en-US"/>
        </w:rPr>
        <w:lastRenderedPageBreak/>
        <w:t>volume area and mechanical efficiency. The 4D-flow component was initially intended as a secondary analysis.</w:t>
      </w:r>
    </w:p>
    <w:p w14:paraId="6E2C4BC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My Gantt chart allocated time for analysis but did not adequately account for the time required to acquire the technical skills necessary to perform and judge the analysis reliably. As practical work progressed, the proportion of the available project period being consumed by training and image-processing increased. The first clear indication that the original plan was becoming unrealistic was not a single failed analysis; it was the accumulating mismatch between the time required to perform the technical work properly and the fixed dissertation completion period.</w:t>
      </w:r>
    </w:p>
    <w:p w14:paraId="346531AC"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At that point, I had to decide whether continuing with the original methodology would allow a scientifically defensible dissertation to be completed. Continuing simply because the original proposal had already been approved would have </w:t>
      </w:r>
      <w:proofErr w:type="spellStart"/>
      <w:r w:rsidRPr="00E8753E">
        <w:rPr>
          <w:rFonts w:ascii="Times New Roman" w:hAnsi="Times New Roman" w:cs="Times New Roman"/>
          <w:sz w:val="24"/>
          <w:szCs w:val="24"/>
          <w:lang w:val="en-US"/>
        </w:rPr>
        <w:t>prioritised</w:t>
      </w:r>
      <w:proofErr w:type="spellEnd"/>
      <w:r w:rsidRPr="00E8753E">
        <w:rPr>
          <w:rFonts w:ascii="Times New Roman" w:hAnsi="Times New Roman" w:cs="Times New Roman"/>
          <w:sz w:val="24"/>
          <w:szCs w:val="24"/>
          <w:lang w:val="en-US"/>
        </w:rPr>
        <w:t xml:space="preserve"> adherence to the initial plan over methodological quality.</w:t>
      </w:r>
    </w:p>
    <w:p w14:paraId="292F557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decision was made with supervisory input, but the underlying judgement was also mine: the available time, technical learning curve and remaining analytical workload no longer supported completion of the original pressure–volume loop component to an appropriate standard. I therefore reassessed what could realistically be answered using the data and skills that had been developed.</w:t>
      </w:r>
    </w:p>
    <w:p w14:paraId="17EFC3F4"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produced the final project. The available datasets contained 4D-flow CMR velocity data from which I derived kinetic energy, vorticity and energy-loss measures using MASS. The 4D-flow component consequently changed from a secondary sub-analysis into the principal analysis.</w:t>
      </w:r>
    </w:p>
    <w:p w14:paraId="643D20C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pivot involved genuine loss as well as salvage. The pressure–volume loop-specific work could not be completed, and some of the literature and methodological preparation for that component therefore did not directly contribute to the final analysis. In contrast, the training in CMR processing, the developing understanding of 4D-flow </w:t>
      </w:r>
      <w:proofErr w:type="spellStart"/>
      <w:r w:rsidRPr="00E8753E">
        <w:rPr>
          <w:rFonts w:ascii="Times New Roman" w:hAnsi="Times New Roman" w:cs="Times New Roman"/>
          <w:sz w:val="24"/>
          <w:szCs w:val="24"/>
          <w:lang w:val="en-US"/>
        </w:rPr>
        <w:t>haemodynamics</w:t>
      </w:r>
      <w:proofErr w:type="spellEnd"/>
      <w:r w:rsidRPr="00E8753E">
        <w:rPr>
          <w:rFonts w:ascii="Times New Roman" w:hAnsi="Times New Roman" w:cs="Times New Roman"/>
          <w:sz w:val="24"/>
          <w:szCs w:val="24"/>
          <w:lang w:val="en-US"/>
        </w:rPr>
        <w:t xml:space="preserve"> and the literature on flow energetics were retained. Previous work on kinetic energy and vorticity therefore remained relevant to the revised </w:t>
      </w:r>
      <w:proofErr w:type="gramStart"/>
      <w:r w:rsidRPr="00E8753E">
        <w:rPr>
          <w:rFonts w:ascii="Times New Roman" w:hAnsi="Times New Roman" w:cs="Times New Roman"/>
          <w:sz w:val="24"/>
          <w:szCs w:val="24"/>
          <w:lang w:val="en-US"/>
        </w:rPr>
        <w:t>question.³</w:t>
      </w:r>
      <w:proofErr w:type="gramEnd"/>
      <w:r w:rsidRPr="00E8753E">
        <w:rPr>
          <w:rFonts w:ascii="Times New Roman" w:hAnsi="Times New Roman" w:cs="Times New Roman"/>
          <w:sz w:val="24"/>
          <w:szCs w:val="24"/>
          <w:lang w:val="en-US"/>
        </w:rPr>
        <w:t>,⁴</w:t>
      </w:r>
    </w:p>
    <w:p w14:paraId="182095B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I consider the final question </w:t>
      </w:r>
      <w:r w:rsidRPr="00E8753E">
        <w:rPr>
          <w:rFonts w:ascii="Times New Roman" w:hAnsi="Times New Roman" w:cs="Times New Roman"/>
          <w:b/>
          <w:bCs/>
          <w:sz w:val="24"/>
          <w:szCs w:val="24"/>
          <w:lang w:val="en-US"/>
        </w:rPr>
        <w:t>narrower but methodologically more defensible</w:t>
      </w:r>
      <w:r w:rsidRPr="00E8753E">
        <w:rPr>
          <w:rFonts w:ascii="Times New Roman" w:hAnsi="Times New Roman" w:cs="Times New Roman"/>
          <w:sz w:val="24"/>
          <w:szCs w:val="24"/>
          <w:lang w:val="en-US"/>
        </w:rPr>
        <w:t xml:space="preserve"> than the original question given the data </w:t>
      </w:r>
      <w:proofErr w:type="gramStart"/>
      <w:r w:rsidRPr="00E8753E">
        <w:rPr>
          <w:rFonts w:ascii="Times New Roman" w:hAnsi="Times New Roman" w:cs="Times New Roman"/>
          <w:sz w:val="24"/>
          <w:szCs w:val="24"/>
          <w:lang w:val="en-US"/>
        </w:rPr>
        <w:t>actually available</w:t>
      </w:r>
      <w:proofErr w:type="gramEnd"/>
      <w:r w:rsidRPr="00E8753E">
        <w:rPr>
          <w:rFonts w:ascii="Times New Roman" w:hAnsi="Times New Roman" w:cs="Times New Roman"/>
          <w:sz w:val="24"/>
          <w:szCs w:val="24"/>
          <w:lang w:val="en-US"/>
        </w:rPr>
        <w:t>, my technical competence at that stage and the fixed timeframe. This was not simply making the project easier. It was a decision to produce a complete analysis with appropriately bounded claims rather than an incomplete analysis designed around the original proposal.</w:t>
      </w:r>
    </w:p>
    <w:p w14:paraId="351D6D1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principal change I will make in future research is to conduct a formal feasibility and data-availability assessment before committing to a technically complex methodology. This will include the dataset required, processing time, training requirements, software capability and sufficient time for validation.</w:t>
      </w:r>
    </w:p>
    <w:p w14:paraId="44F00299"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6. What I Could Legitimately Claim</w:t>
      </w:r>
    </w:p>
    <w:p w14:paraId="46A0743C"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final dataset also changed how I understood the relationship between data and claims. With five participants in each group, the analysis was exploratory and statistical power was severely </w:t>
      </w:r>
      <w:r w:rsidRPr="00E8753E">
        <w:rPr>
          <w:rFonts w:ascii="Times New Roman" w:hAnsi="Times New Roman" w:cs="Times New Roman"/>
          <w:sz w:val="24"/>
          <w:szCs w:val="24"/>
          <w:lang w:val="en-US"/>
        </w:rPr>
        <w:lastRenderedPageBreak/>
        <w:t xml:space="preserve">limited. I therefore had to distinguish between an observed difference, a plausible interpretation and a conclusion that could be </w:t>
      </w:r>
      <w:proofErr w:type="spellStart"/>
      <w:r w:rsidRPr="00E8753E">
        <w:rPr>
          <w:rFonts w:ascii="Times New Roman" w:hAnsi="Times New Roman" w:cs="Times New Roman"/>
          <w:sz w:val="24"/>
          <w:szCs w:val="24"/>
          <w:lang w:val="en-US"/>
        </w:rPr>
        <w:t>generalised</w:t>
      </w:r>
      <w:proofErr w:type="spellEnd"/>
      <w:r w:rsidRPr="00E8753E">
        <w:rPr>
          <w:rFonts w:ascii="Times New Roman" w:hAnsi="Times New Roman" w:cs="Times New Roman"/>
          <w:sz w:val="24"/>
          <w:szCs w:val="24"/>
          <w:lang w:val="en-US"/>
        </w:rPr>
        <w:t>.</w:t>
      </w:r>
    </w:p>
    <w:p w14:paraId="1497F4AC"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w:t>
      </w:r>
      <w:proofErr w:type="spellStart"/>
      <w:r w:rsidRPr="00E8753E">
        <w:rPr>
          <w:rFonts w:ascii="Times New Roman" w:hAnsi="Times New Roman" w:cs="Times New Roman"/>
          <w:sz w:val="24"/>
          <w:szCs w:val="24"/>
          <w:lang w:val="en-US"/>
        </w:rPr>
        <w:t>analysed</w:t>
      </w:r>
      <w:proofErr w:type="spellEnd"/>
      <w:r w:rsidRPr="00E8753E">
        <w:rPr>
          <w:rFonts w:ascii="Times New Roman" w:hAnsi="Times New Roman" w:cs="Times New Roman"/>
          <w:sz w:val="24"/>
          <w:szCs w:val="24"/>
          <w:lang w:val="en-US"/>
        </w:rPr>
        <w:t xml:space="preserve"> datasets were pre-existing registry datasets, and the precise historical selection mechanism could not be independently established. They could not therefore be described as random, consecutive or formally matched. AS severity was also not used as an eligibility, selection or stratification variable. The control group was clinically heterogeneous: two participants had atrial fibrillation, two had oedema, two were New York Heart Association (NYHA) class II, one was a current </w:t>
      </w:r>
      <w:proofErr w:type="gramStart"/>
      <w:r w:rsidRPr="00E8753E">
        <w:rPr>
          <w:rFonts w:ascii="Times New Roman" w:hAnsi="Times New Roman" w:cs="Times New Roman"/>
          <w:sz w:val="24"/>
          <w:szCs w:val="24"/>
          <w:lang w:val="en-US"/>
        </w:rPr>
        <w:t>smoker</w:t>
      </w:r>
      <w:proofErr w:type="gramEnd"/>
      <w:r w:rsidRPr="00E8753E">
        <w:rPr>
          <w:rFonts w:ascii="Times New Roman" w:hAnsi="Times New Roman" w:cs="Times New Roman"/>
          <w:sz w:val="24"/>
          <w:szCs w:val="24"/>
          <w:lang w:val="en-US"/>
        </w:rPr>
        <w:t xml:space="preserve"> and one was an ex-smoker.</w:t>
      </w:r>
    </w:p>
    <w:p w14:paraId="249219EA"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Most importantly, no valve-related measurements were available for the control datasets. Consequently, absence of AS could not be independently verified from the data available to me. Control status therefore had to be treated as a characteristic of the registry dataset rather than as a diagnosis independently re-established during the present analysis.</w:t>
      </w:r>
    </w:p>
    <w:p w14:paraId="13F8FF07"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The analysis identified higher left ventricular vorticity in AS during the </w:t>
      </w:r>
      <w:proofErr w:type="spellStart"/>
      <w:r w:rsidRPr="00E8753E">
        <w:rPr>
          <w:rFonts w:ascii="Times New Roman" w:hAnsi="Times New Roman" w:cs="Times New Roman"/>
          <w:sz w:val="24"/>
          <w:szCs w:val="24"/>
          <w:lang w:val="en-US"/>
        </w:rPr>
        <w:t>FullRR</w:t>
      </w:r>
      <w:proofErr w:type="spellEnd"/>
      <w:r w:rsidRPr="00E8753E">
        <w:rPr>
          <w:rFonts w:ascii="Times New Roman" w:hAnsi="Times New Roman" w:cs="Times New Roman"/>
          <w:sz w:val="24"/>
          <w:szCs w:val="24"/>
          <w:lang w:val="en-US"/>
        </w:rPr>
        <w:t xml:space="preserve"> and systolic intervals. However, fifteen between-group comparisons were performed without multiplicity correction, and the two significant vorticity findings represented related measurements from the same velocity field rather than independent confirmations of separate effects.</w:t>
      </w:r>
    </w:p>
    <w:p w14:paraId="525C5AED"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led me to adopt a three-level framework for interpreting my own work:</w:t>
      </w:r>
    </w:p>
    <w:p w14:paraId="3C191675" w14:textId="77777777" w:rsidR="00E8753E" w:rsidRPr="00E8753E" w:rsidRDefault="00E8753E" w:rsidP="00E8753E">
      <w:pPr>
        <w:numPr>
          <w:ilvl w:val="0"/>
          <w:numId w:val="8"/>
        </w:numPr>
        <w:rPr>
          <w:rFonts w:ascii="Times New Roman" w:hAnsi="Times New Roman" w:cs="Times New Roman"/>
          <w:sz w:val="24"/>
          <w:szCs w:val="24"/>
          <w:lang w:val="en-US"/>
        </w:rPr>
      </w:pPr>
      <w:r w:rsidRPr="00E8753E">
        <w:rPr>
          <w:rFonts w:ascii="Times New Roman" w:hAnsi="Times New Roman" w:cs="Times New Roman"/>
          <w:b/>
          <w:bCs/>
          <w:sz w:val="24"/>
          <w:szCs w:val="24"/>
          <w:lang w:val="en-US"/>
        </w:rPr>
        <w:t>What the data demonstrate</w:t>
      </w:r>
      <w:r w:rsidRPr="00E8753E">
        <w:rPr>
          <w:rFonts w:ascii="Times New Roman" w:hAnsi="Times New Roman" w:cs="Times New Roman"/>
          <w:sz w:val="24"/>
          <w:szCs w:val="24"/>
          <w:lang w:val="en-US"/>
        </w:rPr>
        <w:t xml:space="preserve"> — the directly observed result.</w:t>
      </w:r>
    </w:p>
    <w:p w14:paraId="297F509C" w14:textId="77777777" w:rsidR="00E8753E" w:rsidRPr="00E8753E" w:rsidRDefault="00E8753E" w:rsidP="00E8753E">
      <w:pPr>
        <w:numPr>
          <w:ilvl w:val="0"/>
          <w:numId w:val="8"/>
        </w:numPr>
        <w:rPr>
          <w:rFonts w:ascii="Times New Roman" w:hAnsi="Times New Roman" w:cs="Times New Roman"/>
          <w:sz w:val="24"/>
          <w:szCs w:val="24"/>
          <w:lang w:val="en-US"/>
        </w:rPr>
      </w:pPr>
      <w:r w:rsidRPr="00E8753E">
        <w:rPr>
          <w:rFonts w:ascii="Times New Roman" w:hAnsi="Times New Roman" w:cs="Times New Roman"/>
          <w:b/>
          <w:bCs/>
          <w:sz w:val="24"/>
          <w:szCs w:val="24"/>
          <w:lang w:val="en-US"/>
        </w:rPr>
        <w:t>What the findings suggest</w:t>
      </w:r>
      <w:r w:rsidRPr="00E8753E">
        <w:rPr>
          <w:rFonts w:ascii="Times New Roman" w:hAnsi="Times New Roman" w:cs="Times New Roman"/>
          <w:sz w:val="24"/>
          <w:szCs w:val="24"/>
          <w:lang w:val="en-US"/>
        </w:rPr>
        <w:t xml:space="preserve"> — plausible physiological or methodological interpretations.</w:t>
      </w:r>
    </w:p>
    <w:p w14:paraId="14443CCD" w14:textId="77777777" w:rsidR="00E8753E" w:rsidRPr="00E8753E" w:rsidRDefault="00E8753E" w:rsidP="00E8753E">
      <w:pPr>
        <w:numPr>
          <w:ilvl w:val="0"/>
          <w:numId w:val="8"/>
        </w:numPr>
        <w:rPr>
          <w:rFonts w:ascii="Times New Roman" w:hAnsi="Times New Roman" w:cs="Times New Roman"/>
          <w:sz w:val="24"/>
          <w:szCs w:val="24"/>
          <w:lang w:val="en-US"/>
        </w:rPr>
      </w:pPr>
      <w:r w:rsidRPr="00E8753E">
        <w:rPr>
          <w:rFonts w:ascii="Times New Roman" w:hAnsi="Times New Roman" w:cs="Times New Roman"/>
          <w:b/>
          <w:bCs/>
          <w:sz w:val="24"/>
          <w:szCs w:val="24"/>
          <w:lang w:val="en-US"/>
        </w:rPr>
        <w:t>What remains uncertain</w:t>
      </w:r>
      <w:r w:rsidRPr="00E8753E">
        <w:rPr>
          <w:rFonts w:ascii="Times New Roman" w:hAnsi="Times New Roman" w:cs="Times New Roman"/>
          <w:sz w:val="24"/>
          <w:szCs w:val="24"/>
          <w:lang w:val="en-US"/>
        </w:rPr>
        <w:t xml:space="preserve"> — explanations or conclusions that cannot be established from the available data.</w:t>
      </w:r>
    </w:p>
    <w:p w14:paraId="18DD4CEE"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distinction prevented me from trying to make the final dataset conform to the cleaner population originally envisaged in the proposal. Instead, I accepted that some questions could not be answered and stated those uncertainties explicitly. In future research, I will apply the same principle at the design stage: define in advance what evidence would be required to support each major claim.</w:t>
      </w:r>
    </w:p>
    <w:p w14:paraId="7CDD12BC"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7. Research Capacity as a Methodological Variable</w:t>
      </w:r>
    </w:p>
    <w:p w14:paraId="4824B30D"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project also demonstrated that capacity can directly affect methodological quality. Detailed CMR post-processing requires sustained concentration and precision. When my capacity for prolonged precision-based work was reduced, continuing purely to maintain the timetable risked producing measurements that would subsequently require repetition or exclusion.</w:t>
      </w:r>
    </w:p>
    <w:p w14:paraId="42F5E432"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I therefore changed how I scheduled technically demanding work. Precision-based analysis was undertaken in shorter, focused periods, with work deferred when the available capacity was insufficient for reliable measurement. This was not simply a strategy for managing workload; it was a quality-control decision.</w:t>
      </w:r>
    </w:p>
    <w:p w14:paraId="6E403046"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lastRenderedPageBreak/>
        <w:t>The experience has changed my future planning. I will treat capacity as a methodological consideration when planning technically intensive studies, with a predefined threshold below which precision-dependent measurements should not proceed.</w:t>
      </w:r>
    </w:p>
    <w:p w14:paraId="2F88CCAA"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8. What I Take Forward</w:t>
      </w:r>
    </w:p>
    <w:p w14:paraId="2E206A81"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project has given me practical skills in 4D-flow CMR post-processing, CMR volumetric analysis and interpretation of flow-energetic measurements. It has also strengthened my ability to critically appraise methodology, manage references systematically and interpret small datasets conservatively.</w:t>
      </w:r>
    </w:p>
    <w:p w14:paraId="2CA29B0D"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I intend to apply the 4D-flow and CMR analysis skills to future cardiovascular imaging research, particularly projects involving quantitative </w:t>
      </w:r>
      <w:proofErr w:type="spellStart"/>
      <w:r w:rsidRPr="00E8753E">
        <w:rPr>
          <w:rFonts w:ascii="Times New Roman" w:hAnsi="Times New Roman" w:cs="Times New Roman"/>
          <w:sz w:val="24"/>
          <w:szCs w:val="24"/>
          <w:lang w:val="en-US"/>
        </w:rPr>
        <w:t>haemodynamics</w:t>
      </w:r>
      <w:proofErr w:type="spellEnd"/>
      <w:r w:rsidRPr="00E8753E">
        <w:rPr>
          <w:rFonts w:ascii="Times New Roman" w:hAnsi="Times New Roman" w:cs="Times New Roman"/>
          <w:sz w:val="24"/>
          <w:szCs w:val="24"/>
          <w:lang w:val="en-US"/>
        </w:rPr>
        <w:t xml:space="preserve"> and image-derived biomarkers. The critical-appraisal skills developed during the literature review will support both future academic research and interpretation of evidence in clinical practice.</w:t>
      </w:r>
    </w:p>
    <w:p w14:paraId="7523006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My improved statistical and reporting skills will also be transferable to future research projects, particularly when evaluating small datasets where uncertainty and methodological limitations need to be communicated clearly. The reference-management approach developed during this dissertation will become part of my routine research workflow rather than an end-stage administrative task.</w:t>
      </w:r>
    </w:p>
    <w:p w14:paraId="5AD4A3CD"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9. Conclusion</w:t>
      </w:r>
    </w:p>
    <w:p w14:paraId="2A9CC485"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This research journey changed my understanding of research from a process of executing a predefined protocol to an iterative process of questioning, verification and methodological judgement.</w:t>
      </w:r>
    </w:p>
    <w:p w14:paraId="5B2BDC03"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The original pressure–volume loop project could not be completed to an appropriate standard within the fixed timeframe. Re-scoping the project to 4D-flow CMR-derived left ventricular flow energetics allowed the available data and acquired technical skills to support a complete exploratory analysis.</w:t>
      </w:r>
    </w:p>
    <w:p w14:paraId="3CA433AF" w14:textId="77777777" w:rsidR="00E8753E" w:rsidRPr="00E8753E" w:rsidRDefault="00E8753E" w:rsidP="00E8753E">
      <w:pPr>
        <w:rPr>
          <w:rFonts w:ascii="Times New Roman" w:hAnsi="Times New Roman" w:cs="Times New Roman"/>
          <w:sz w:val="24"/>
          <w:szCs w:val="24"/>
          <w:lang w:val="en-US"/>
        </w:rPr>
      </w:pPr>
      <w:r w:rsidRPr="00E8753E">
        <w:rPr>
          <w:rFonts w:ascii="Times New Roman" w:hAnsi="Times New Roman" w:cs="Times New Roman"/>
          <w:sz w:val="24"/>
          <w:szCs w:val="24"/>
          <w:lang w:val="en-US"/>
        </w:rPr>
        <w:t>My principal learning is that methodological defensibility depends not only on obtaining results but on understanding how those results were produced, what the data can support and what remains uncertain. I will carry this approach into future research through earlier feasibility assessment, explicit measurement validation, verified reference management and more disciplined boundaries around interpretation.</w:t>
      </w:r>
    </w:p>
    <w:p w14:paraId="025F9D31" w14:textId="77777777" w:rsidR="00E8753E" w:rsidRPr="00E8753E" w:rsidRDefault="00E8753E" w:rsidP="00E8753E">
      <w:pPr>
        <w:rPr>
          <w:rFonts w:ascii="Times New Roman" w:hAnsi="Times New Roman" w:cs="Times New Roman"/>
          <w:b/>
          <w:bCs/>
          <w:sz w:val="24"/>
          <w:szCs w:val="24"/>
          <w:lang w:val="en-US"/>
        </w:rPr>
      </w:pPr>
      <w:r w:rsidRPr="00E8753E">
        <w:rPr>
          <w:rFonts w:ascii="Times New Roman" w:hAnsi="Times New Roman" w:cs="Times New Roman"/>
          <w:b/>
          <w:bCs/>
          <w:sz w:val="24"/>
          <w:szCs w:val="24"/>
          <w:lang w:val="en-US"/>
        </w:rPr>
        <w:t>References</w:t>
      </w:r>
    </w:p>
    <w:p w14:paraId="291E0165" w14:textId="77777777" w:rsidR="00E8753E" w:rsidRPr="00E8753E" w:rsidRDefault="00E8753E" w:rsidP="00E8753E">
      <w:pPr>
        <w:numPr>
          <w:ilvl w:val="0"/>
          <w:numId w:val="9"/>
        </w:num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Garcia J, Barker AJ, </w:t>
      </w:r>
      <w:proofErr w:type="spellStart"/>
      <w:r w:rsidRPr="00E8753E">
        <w:rPr>
          <w:rFonts w:ascii="Times New Roman" w:hAnsi="Times New Roman" w:cs="Times New Roman"/>
          <w:sz w:val="24"/>
          <w:szCs w:val="24"/>
          <w:lang w:val="en-US"/>
        </w:rPr>
        <w:t>Markl</w:t>
      </w:r>
      <w:proofErr w:type="spellEnd"/>
      <w:r w:rsidRPr="00E8753E">
        <w:rPr>
          <w:rFonts w:ascii="Times New Roman" w:hAnsi="Times New Roman" w:cs="Times New Roman"/>
          <w:sz w:val="24"/>
          <w:szCs w:val="24"/>
          <w:lang w:val="en-US"/>
        </w:rPr>
        <w:t xml:space="preserve"> M. The role of imaging of flow patterns by 4D flow MRI in aortic stenosis. </w:t>
      </w:r>
      <w:r w:rsidRPr="00E8753E">
        <w:rPr>
          <w:rFonts w:ascii="Times New Roman" w:hAnsi="Times New Roman" w:cs="Times New Roman"/>
          <w:i/>
          <w:iCs/>
          <w:sz w:val="24"/>
          <w:szCs w:val="24"/>
          <w:lang w:val="en-US"/>
        </w:rPr>
        <w:t>JACC Cardiovasc Imaging</w:t>
      </w:r>
      <w:r w:rsidRPr="00E8753E">
        <w:rPr>
          <w:rFonts w:ascii="Times New Roman" w:hAnsi="Times New Roman" w:cs="Times New Roman"/>
          <w:sz w:val="24"/>
          <w:szCs w:val="24"/>
          <w:lang w:val="en-US"/>
        </w:rPr>
        <w:t>. 2019;12(2):252-266.</w:t>
      </w:r>
    </w:p>
    <w:p w14:paraId="7F285A0E" w14:textId="77777777" w:rsidR="00E8753E" w:rsidRPr="00E8753E" w:rsidRDefault="00E8753E" w:rsidP="00E8753E">
      <w:pPr>
        <w:numPr>
          <w:ilvl w:val="0"/>
          <w:numId w:val="9"/>
        </w:numPr>
        <w:rPr>
          <w:rFonts w:ascii="Times New Roman" w:hAnsi="Times New Roman" w:cs="Times New Roman"/>
          <w:sz w:val="24"/>
          <w:szCs w:val="24"/>
          <w:lang w:val="en-US"/>
        </w:rPr>
      </w:pPr>
      <w:proofErr w:type="spellStart"/>
      <w:r w:rsidRPr="00E8753E">
        <w:rPr>
          <w:rFonts w:ascii="Times New Roman" w:hAnsi="Times New Roman" w:cs="Times New Roman"/>
          <w:sz w:val="24"/>
          <w:szCs w:val="24"/>
          <w:lang w:val="en-US"/>
        </w:rPr>
        <w:t>Dyverfeldt</w:t>
      </w:r>
      <w:proofErr w:type="spellEnd"/>
      <w:r w:rsidRPr="00E8753E">
        <w:rPr>
          <w:rFonts w:ascii="Times New Roman" w:hAnsi="Times New Roman" w:cs="Times New Roman"/>
          <w:sz w:val="24"/>
          <w:szCs w:val="24"/>
          <w:lang w:val="en-US"/>
        </w:rPr>
        <w:t xml:space="preserve"> P, Bissell M, Barker AJ, Bolger AF, </w:t>
      </w:r>
      <w:proofErr w:type="spellStart"/>
      <w:r w:rsidRPr="00E8753E">
        <w:rPr>
          <w:rFonts w:ascii="Times New Roman" w:hAnsi="Times New Roman" w:cs="Times New Roman"/>
          <w:sz w:val="24"/>
          <w:szCs w:val="24"/>
          <w:lang w:val="en-US"/>
        </w:rPr>
        <w:t>Carlhäll</w:t>
      </w:r>
      <w:proofErr w:type="spellEnd"/>
      <w:r w:rsidRPr="00E8753E">
        <w:rPr>
          <w:rFonts w:ascii="Times New Roman" w:hAnsi="Times New Roman" w:cs="Times New Roman"/>
          <w:sz w:val="24"/>
          <w:szCs w:val="24"/>
          <w:lang w:val="en-US"/>
        </w:rPr>
        <w:t xml:space="preserve"> CJ, Ebbers T, et al. 4D flow cardiovascular magnetic resonance consensus statement. </w:t>
      </w:r>
      <w:r w:rsidRPr="00E8753E">
        <w:rPr>
          <w:rFonts w:ascii="Times New Roman" w:hAnsi="Times New Roman" w:cs="Times New Roman"/>
          <w:i/>
          <w:iCs/>
          <w:sz w:val="24"/>
          <w:szCs w:val="24"/>
          <w:lang w:val="en-US"/>
        </w:rPr>
        <w:t xml:space="preserve">J Cardiovasc </w:t>
      </w:r>
      <w:proofErr w:type="spellStart"/>
      <w:r w:rsidRPr="00E8753E">
        <w:rPr>
          <w:rFonts w:ascii="Times New Roman" w:hAnsi="Times New Roman" w:cs="Times New Roman"/>
          <w:i/>
          <w:iCs/>
          <w:sz w:val="24"/>
          <w:szCs w:val="24"/>
          <w:lang w:val="en-US"/>
        </w:rPr>
        <w:t>Magn</w:t>
      </w:r>
      <w:proofErr w:type="spellEnd"/>
      <w:r w:rsidRPr="00E8753E">
        <w:rPr>
          <w:rFonts w:ascii="Times New Roman" w:hAnsi="Times New Roman" w:cs="Times New Roman"/>
          <w:i/>
          <w:iCs/>
          <w:sz w:val="24"/>
          <w:szCs w:val="24"/>
          <w:lang w:val="en-US"/>
        </w:rPr>
        <w:t xml:space="preserve"> </w:t>
      </w:r>
      <w:proofErr w:type="spellStart"/>
      <w:r w:rsidRPr="00E8753E">
        <w:rPr>
          <w:rFonts w:ascii="Times New Roman" w:hAnsi="Times New Roman" w:cs="Times New Roman"/>
          <w:i/>
          <w:iCs/>
          <w:sz w:val="24"/>
          <w:szCs w:val="24"/>
          <w:lang w:val="en-US"/>
        </w:rPr>
        <w:t>Reson</w:t>
      </w:r>
      <w:proofErr w:type="spellEnd"/>
      <w:r w:rsidRPr="00E8753E">
        <w:rPr>
          <w:rFonts w:ascii="Times New Roman" w:hAnsi="Times New Roman" w:cs="Times New Roman"/>
          <w:sz w:val="24"/>
          <w:szCs w:val="24"/>
          <w:lang w:val="en-US"/>
        </w:rPr>
        <w:t xml:space="preserve">. </w:t>
      </w:r>
      <w:proofErr w:type="gramStart"/>
      <w:r w:rsidRPr="00E8753E">
        <w:rPr>
          <w:rFonts w:ascii="Times New Roman" w:hAnsi="Times New Roman" w:cs="Times New Roman"/>
          <w:sz w:val="24"/>
          <w:szCs w:val="24"/>
          <w:lang w:val="en-US"/>
        </w:rPr>
        <w:t>2015;17:72</w:t>
      </w:r>
      <w:proofErr w:type="gramEnd"/>
      <w:r w:rsidRPr="00E8753E">
        <w:rPr>
          <w:rFonts w:ascii="Times New Roman" w:hAnsi="Times New Roman" w:cs="Times New Roman"/>
          <w:sz w:val="24"/>
          <w:szCs w:val="24"/>
          <w:lang w:val="en-US"/>
        </w:rPr>
        <w:t>.</w:t>
      </w:r>
    </w:p>
    <w:p w14:paraId="4A13BE2D" w14:textId="77777777" w:rsidR="00E8753E" w:rsidRPr="00E8753E" w:rsidRDefault="00E8753E" w:rsidP="00E8753E">
      <w:pPr>
        <w:numPr>
          <w:ilvl w:val="0"/>
          <w:numId w:val="9"/>
        </w:numPr>
        <w:rPr>
          <w:rFonts w:ascii="Times New Roman" w:hAnsi="Times New Roman" w:cs="Times New Roman"/>
          <w:sz w:val="24"/>
          <w:szCs w:val="24"/>
          <w:lang w:val="en-US"/>
        </w:rPr>
      </w:pPr>
      <w:r w:rsidRPr="00E8753E">
        <w:rPr>
          <w:rFonts w:ascii="Times New Roman" w:hAnsi="Times New Roman" w:cs="Times New Roman"/>
          <w:sz w:val="24"/>
          <w:szCs w:val="24"/>
          <w:lang w:val="en-US"/>
        </w:rPr>
        <w:lastRenderedPageBreak/>
        <w:t xml:space="preserve">Kamphuis VP, Westenberg JJM, van der </w:t>
      </w:r>
      <w:proofErr w:type="spellStart"/>
      <w:r w:rsidRPr="00E8753E">
        <w:rPr>
          <w:rFonts w:ascii="Times New Roman" w:hAnsi="Times New Roman" w:cs="Times New Roman"/>
          <w:sz w:val="24"/>
          <w:szCs w:val="24"/>
          <w:lang w:val="en-US"/>
        </w:rPr>
        <w:t>Palen</w:t>
      </w:r>
      <w:proofErr w:type="spellEnd"/>
      <w:r w:rsidRPr="00E8753E">
        <w:rPr>
          <w:rFonts w:ascii="Times New Roman" w:hAnsi="Times New Roman" w:cs="Times New Roman"/>
          <w:sz w:val="24"/>
          <w:szCs w:val="24"/>
          <w:lang w:val="en-US"/>
        </w:rPr>
        <w:t xml:space="preserve"> RLF, van den Boogaard PJ, van der </w:t>
      </w:r>
      <w:proofErr w:type="spellStart"/>
      <w:r w:rsidRPr="00E8753E">
        <w:rPr>
          <w:rFonts w:ascii="Times New Roman" w:hAnsi="Times New Roman" w:cs="Times New Roman"/>
          <w:sz w:val="24"/>
          <w:szCs w:val="24"/>
          <w:lang w:val="en-US"/>
        </w:rPr>
        <w:t>Geest</w:t>
      </w:r>
      <w:proofErr w:type="spellEnd"/>
      <w:r w:rsidRPr="00E8753E">
        <w:rPr>
          <w:rFonts w:ascii="Times New Roman" w:hAnsi="Times New Roman" w:cs="Times New Roman"/>
          <w:sz w:val="24"/>
          <w:szCs w:val="24"/>
          <w:lang w:val="en-US"/>
        </w:rPr>
        <w:t xml:space="preserve"> RJ, de </w:t>
      </w:r>
      <w:proofErr w:type="spellStart"/>
      <w:r w:rsidRPr="00E8753E">
        <w:rPr>
          <w:rFonts w:ascii="Times New Roman" w:hAnsi="Times New Roman" w:cs="Times New Roman"/>
          <w:sz w:val="24"/>
          <w:szCs w:val="24"/>
          <w:lang w:val="en-US"/>
        </w:rPr>
        <w:t>Roos</w:t>
      </w:r>
      <w:proofErr w:type="spellEnd"/>
      <w:r w:rsidRPr="00E8753E">
        <w:rPr>
          <w:rFonts w:ascii="Times New Roman" w:hAnsi="Times New Roman" w:cs="Times New Roman"/>
          <w:sz w:val="24"/>
          <w:szCs w:val="24"/>
          <w:lang w:val="en-US"/>
        </w:rPr>
        <w:t xml:space="preserve"> A, et al. Scan-rescan reproducibility of diastolic left ventricular kinetic energy, viscous energy loss and vorticity assessment using 4D flow MRI: analysis in healthy subjects. </w:t>
      </w:r>
      <w:r w:rsidRPr="00E8753E">
        <w:rPr>
          <w:rFonts w:ascii="Times New Roman" w:hAnsi="Times New Roman" w:cs="Times New Roman"/>
          <w:i/>
          <w:iCs/>
          <w:sz w:val="24"/>
          <w:szCs w:val="24"/>
          <w:lang w:val="en-US"/>
        </w:rPr>
        <w:t>Int J Cardiovasc Imaging</w:t>
      </w:r>
      <w:r w:rsidRPr="00E8753E">
        <w:rPr>
          <w:rFonts w:ascii="Times New Roman" w:hAnsi="Times New Roman" w:cs="Times New Roman"/>
          <w:sz w:val="24"/>
          <w:szCs w:val="24"/>
          <w:lang w:val="en-US"/>
        </w:rPr>
        <w:t>. 2018;34(6):905-920.</w:t>
      </w:r>
    </w:p>
    <w:p w14:paraId="72739E2F" w14:textId="77777777" w:rsidR="00E8753E" w:rsidRPr="00E8753E" w:rsidRDefault="00E8753E" w:rsidP="00E8753E">
      <w:pPr>
        <w:numPr>
          <w:ilvl w:val="0"/>
          <w:numId w:val="9"/>
        </w:numPr>
        <w:rPr>
          <w:rFonts w:ascii="Times New Roman" w:hAnsi="Times New Roman" w:cs="Times New Roman"/>
          <w:sz w:val="24"/>
          <w:szCs w:val="24"/>
          <w:lang w:val="en-US"/>
        </w:rPr>
      </w:pPr>
      <w:r w:rsidRPr="00E8753E">
        <w:rPr>
          <w:rFonts w:ascii="Times New Roman" w:hAnsi="Times New Roman" w:cs="Times New Roman"/>
          <w:sz w:val="24"/>
          <w:szCs w:val="24"/>
          <w:lang w:val="en-US"/>
        </w:rPr>
        <w:t xml:space="preserve">Kamphuis VP, </w:t>
      </w:r>
      <w:proofErr w:type="spellStart"/>
      <w:r w:rsidRPr="00E8753E">
        <w:rPr>
          <w:rFonts w:ascii="Times New Roman" w:hAnsi="Times New Roman" w:cs="Times New Roman"/>
          <w:sz w:val="24"/>
          <w:szCs w:val="24"/>
          <w:lang w:val="en-US"/>
        </w:rPr>
        <w:t>Roest</w:t>
      </w:r>
      <w:proofErr w:type="spellEnd"/>
      <w:r w:rsidRPr="00E8753E">
        <w:rPr>
          <w:rFonts w:ascii="Times New Roman" w:hAnsi="Times New Roman" w:cs="Times New Roman"/>
          <w:sz w:val="24"/>
          <w:szCs w:val="24"/>
          <w:lang w:val="en-US"/>
        </w:rPr>
        <w:t xml:space="preserve"> AAW, van den Boogaard PJ, Kroft LJM, Lamb HJ, Helbing WA, et al. Hemodynamic interplay of vorticity, viscous energy loss, and kinetic energy from 4D Flow MRI and link to cardiac function in healthy subjects and Fontan patients. </w:t>
      </w:r>
      <w:r w:rsidRPr="00E8753E">
        <w:rPr>
          <w:rFonts w:ascii="Times New Roman" w:hAnsi="Times New Roman" w:cs="Times New Roman"/>
          <w:i/>
          <w:iCs/>
          <w:sz w:val="24"/>
          <w:szCs w:val="24"/>
          <w:lang w:val="en-US"/>
        </w:rPr>
        <w:t xml:space="preserve">Am J </w:t>
      </w:r>
      <w:proofErr w:type="spellStart"/>
      <w:r w:rsidRPr="00E8753E">
        <w:rPr>
          <w:rFonts w:ascii="Times New Roman" w:hAnsi="Times New Roman" w:cs="Times New Roman"/>
          <w:i/>
          <w:iCs/>
          <w:sz w:val="24"/>
          <w:szCs w:val="24"/>
          <w:lang w:val="en-US"/>
        </w:rPr>
        <w:t>Physiol</w:t>
      </w:r>
      <w:proofErr w:type="spellEnd"/>
      <w:r w:rsidRPr="00E8753E">
        <w:rPr>
          <w:rFonts w:ascii="Times New Roman" w:hAnsi="Times New Roman" w:cs="Times New Roman"/>
          <w:i/>
          <w:iCs/>
          <w:sz w:val="24"/>
          <w:szCs w:val="24"/>
          <w:lang w:val="en-US"/>
        </w:rPr>
        <w:t xml:space="preserve"> Heart Circ Physiol</w:t>
      </w:r>
      <w:r w:rsidRPr="00E8753E">
        <w:rPr>
          <w:rFonts w:ascii="Times New Roman" w:hAnsi="Times New Roman" w:cs="Times New Roman"/>
          <w:sz w:val="24"/>
          <w:szCs w:val="24"/>
          <w:lang w:val="en-US"/>
        </w:rPr>
        <w:t>. 2021;320(4):H1687-H1698.</w:t>
      </w:r>
    </w:p>
    <w:p w14:paraId="5D0DA22A" w14:textId="3ECA1541" w:rsidR="00635BCE" w:rsidRPr="00635BCE" w:rsidRDefault="00635BCE" w:rsidP="00E8753E">
      <w:pPr>
        <w:rPr>
          <w:rFonts w:ascii="Times New Roman" w:hAnsi="Times New Roman" w:cs="Times New Roman"/>
          <w:sz w:val="24"/>
          <w:szCs w:val="24"/>
          <w:lang w:val="en-US"/>
        </w:rPr>
      </w:pPr>
    </w:p>
    <w:sectPr w:rsidR="00635BCE" w:rsidRPr="00635B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B94889"/>
    <w:multiLevelType w:val="multilevel"/>
    <w:tmpl w:val="CCF8C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B5012"/>
    <w:multiLevelType w:val="multilevel"/>
    <w:tmpl w:val="F5DC7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E746C0"/>
    <w:multiLevelType w:val="multilevel"/>
    <w:tmpl w:val="E3A2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AB4E4B"/>
    <w:multiLevelType w:val="multilevel"/>
    <w:tmpl w:val="90E2C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A36359"/>
    <w:multiLevelType w:val="multilevel"/>
    <w:tmpl w:val="51384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F237B0"/>
    <w:multiLevelType w:val="multilevel"/>
    <w:tmpl w:val="1DC6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890CC6"/>
    <w:multiLevelType w:val="multilevel"/>
    <w:tmpl w:val="6C709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89023E"/>
    <w:multiLevelType w:val="multilevel"/>
    <w:tmpl w:val="752CA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065786"/>
    <w:multiLevelType w:val="multilevel"/>
    <w:tmpl w:val="CB120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5844793">
    <w:abstractNumId w:val="1"/>
  </w:num>
  <w:num w:numId="2" w16cid:durableId="1657222655">
    <w:abstractNumId w:val="7"/>
  </w:num>
  <w:num w:numId="3" w16cid:durableId="1135559238">
    <w:abstractNumId w:val="8"/>
  </w:num>
  <w:num w:numId="4" w16cid:durableId="1315571912">
    <w:abstractNumId w:val="4"/>
  </w:num>
  <w:num w:numId="5" w16cid:durableId="1172454954">
    <w:abstractNumId w:val="0"/>
  </w:num>
  <w:num w:numId="6" w16cid:durableId="1883666405">
    <w:abstractNumId w:val="3"/>
  </w:num>
  <w:num w:numId="7" w16cid:durableId="2109427984">
    <w:abstractNumId w:val="5"/>
  </w:num>
  <w:num w:numId="8" w16cid:durableId="834150044">
    <w:abstractNumId w:val="2"/>
  </w:num>
  <w:num w:numId="9" w16cid:durableId="11544482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625"/>
    <w:rsid w:val="00143547"/>
    <w:rsid w:val="0056793A"/>
    <w:rsid w:val="00635BCE"/>
    <w:rsid w:val="008B2E56"/>
    <w:rsid w:val="00B76EFA"/>
    <w:rsid w:val="00C94625"/>
    <w:rsid w:val="00DF69BD"/>
    <w:rsid w:val="00E8753E"/>
    <w:rsid w:val="00F765C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7388F"/>
  <w15:chartTrackingRefBased/>
  <w15:docId w15:val="{A9E26A12-EC0E-4046-A74E-C190CD077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946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6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6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6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6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6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6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6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6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62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C9462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9462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9462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9462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9462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9462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9462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9462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946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62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946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62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94625"/>
    <w:pPr>
      <w:spacing w:before="160"/>
      <w:jc w:val="center"/>
    </w:pPr>
    <w:rPr>
      <w:i/>
      <w:iCs/>
      <w:color w:val="404040" w:themeColor="text1" w:themeTint="BF"/>
    </w:rPr>
  </w:style>
  <w:style w:type="character" w:customStyle="1" w:styleId="QuoteChar">
    <w:name w:val="Quote Char"/>
    <w:basedOn w:val="DefaultParagraphFont"/>
    <w:link w:val="Quote"/>
    <w:uiPriority w:val="29"/>
    <w:rsid w:val="00C94625"/>
    <w:rPr>
      <w:i/>
      <w:iCs/>
      <w:color w:val="404040" w:themeColor="text1" w:themeTint="BF"/>
      <w:lang w:val="en-GB"/>
    </w:rPr>
  </w:style>
  <w:style w:type="paragraph" w:styleId="ListParagraph">
    <w:name w:val="List Paragraph"/>
    <w:basedOn w:val="Normal"/>
    <w:uiPriority w:val="34"/>
    <w:qFormat/>
    <w:rsid w:val="00C94625"/>
    <w:pPr>
      <w:ind w:left="720"/>
      <w:contextualSpacing/>
    </w:pPr>
  </w:style>
  <w:style w:type="character" w:styleId="IntenseEmphasis">
    <w:name w:val="Intense Emphasis"/>
    <w:basedOn w:val="DefaultParagraphFont"/>
    <w:uiPriority w:val="21"/>
    <w:qFormat/>
    <w:rsid w:val="00C94625"/>
    <w:rPr>
      <w:i/>
      <w:iCs/>
      <w:color w:val="0F4761" w:themeColor="accent1" w:themeShade="BF"/>
    </w:rPr>
  </w:style>
  <w:style w:type="paragraph" w:styleId="IntenseQuote">
    <w:name w:val="Intense Quote"/>
    <w:basedOn w:val="Normal"/>
    <w:next w:val="Normal"/>
    <w:link w:val="IntenseQuoteChar"/>
    <w:uiPriority w:val="30"/>
    <w:qFormat/>
    <w:rsid w:val="00C946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625"/>
    <w:rPr>
      <w:i/>
      <w:iCs/>
      <w:color w:val="0F4761" w:themeColor="accent1" w:themeShade="BF"/>
      <w:lang w:val="en-GB"/>
    </w:rPr>
  </w:style>
  <w:style w:type="character" w:styleId="IntenseReference">
    <w:name w:val="Intense Reference"/>
    <w:basedOn w:val="DefaultParagraphFont"/>
    <w:uiPriority w:val="32"/>
    <w:qFormat/>
    <w:rsid w:val="00C946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662186">
      <w:bodyDiv w:val="1"/>
      <w:marLeft w:val="0"/>
      <w:marRight w:val="0"/>
      <w:marTop w:val="0"/>
      <w:marBottom w:val="0"/>
      <w:divBdr>
        <w:top w:val="none" w:sz="0" w:space="0" w:color="auto"/>
        <w:left w:val="none" w:sz="0" w:space="0" w:color="auto"/>
        <w:bottom w:val="none" w:sz="0" w:space="0" w:color="auto"/>
        <w:right w:val="none" w:sz="0" w:space="0" w:color="auto"/>
      </w:divBdr>
    </w:div>
    <w:div w:id="467744525">
      <w:bodyDiv w:val="1"/>
      <w:marLeft w:val="0"/>
      <w:marRight w:val="0"/>
      <w:marTop w:val="0"/>
      <w:marBottom w:val="0"/>
      <w:divBdr>
        <w:top w:val="none" w:sz="0" w:space="0" w:color="auto"/>
        <w:left w:val="none" w:sz="0" w:space="0" w:color="auto"/>
        <w:bottom w:val="none" w:sz="0" w:space="0" w:color="auto"/>
        <w:right w:val="none" w:sz="0" w:space="0" w:color="auto"/>
      </w:divBdr>
      <w:divsChild>
        <w:div w:id="4039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86143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489819">
      <w:bodyDiv w:val="1"/>
      <w:marLeft w:val="0"/>
      <w:marRight w:val="0"/>
      <w:marTop w:val="0"/>
      <w:marBottom w:val="0"/>
      <w:divBdr>
        <w:top w:val="none" w:sz="0" w:space="0" w:color="auto"/>
        <w:left w:val="none" w:sz="0" w:space="0" w:color="auto"/>
        <w:bottom w:val="none" w:sz="0" w:space="0" w:color="auto"/>
        <w:right w:val="none" w:sz="0" w:space="0" w:color="auto"/>
      </w:divBdr>
    </w:div>
    <w:div w:id="675772344">
      <w:bodyDiv w:val="1"/>
      <w:marLeft w:val="0"/>
      <w:marRight w:val="0"/>
      <w:marTop w:val="0"/>
      <w:marBottom w:val="0"/>
      <w:divBdr>
        <w:top w:val="none" w:sz="0" w:space="0" w:color="auto"/>
        <w:left w:val="none" w:sz="0" w:space="0" w:color="auto"/>
        <w:bottom w:val="none" w:sz="0" w:space="0" w:color="auto"/>
        <w:right w:val="none" w:sz="0" w:space="0" w:color="auto"/>
      </w:divBdr>
    </w:div>
    <w:div w:id="758797231">
      <w:bodyDiv w:val="1"/>
      <w:marLeft w:val="0"/>
      <w:marRight w:val="0"/>
      <w:marTop w:val="0"/>
      <w:marBottom w:val="0"/>
      <w:divBdr>
        <w:top w:val="none" w:sz="0" w:space="0" w:color="auto"/>
        <w:left w:val="none" w:sz="0" w:space="0" w:color="auto"/>
        <w:bottom w:val="none" w:sz="0" w:space="0" w:color="auto"/>
        <w:right w:val="none" w:sz="0" w:space="0" w:color="auto"/>
      </w:divBdr>
    </w:div>
    <w:div w:id="782265786">
      <w:bodyDiv w:val="1"/>
      <w:marLeft w:val="0"/>
      <w:marRight w:val="0"/>
      <w:marTop w:val="0"/>
      <w:marBottom w:val="0"/>
      <w:divBdr>
        <w:top w:val="none" w:sz="0" w:space="0" w:color="auto"/>
        <w:left w:val="none" w:sz="0" w:space="0" w:color="auto"/>
        <w:bottom w:val="none" w:sz="0" w:space="0" w:color="auto"/>
        <w:right w:val="none" w:sz="0" w:space="0" w:color="auto"/>
      </w:divBdr>
    </w:div>
    <w:div w:id="1113094906">
      <w:bodyDiv w:val="1"/>
      <w:marLeft w:val="0"/>
      <w:marRight w:val="0"/>
      <w:marTop w:val="0"/>
      <w:marBottom w:val="0"/>
      <w:divBdr>
        <w:top w:val="none" w:sz="0" w:space="0" w:color="auto"/>
        <w:left w:val="none" w:sz="0" w:space="0" w:color="auto"/>
        <w:bottom w:val="none" w:sz="0" w:space="0" w:color="auto"/>
        <w:right w:val="none" w:sz="0" w:space="0" w:color="auto"/>
      </w:divBdr>
      <w:divsChild>
        <w:div w:id="150111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626203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6896274">
      <w:bodyDiv w:val="1"/>
      <w:marLeft w:val="0"/>
      <w:marRight w:val="0"/>
      <w:marTop w:val="0"/>
      <w:marBottom w:val="0"/>
      <w:divBdr>
        <w:top w:val="none" w:sz="0" w:space="0" w:color="auto"/>
        <w:left w:val="none" w:sz="0" w:space="0" w:color="auto"/>
        <w:bottom w:val="none" w:sz="0" w:space="0" w:color="auto"/>
        <w:right w:val="none" w:sz="0" w:space="0" w:color="auto"/>
      </w:divBdr>
    </w:div>
    <w:div w:id="1516532333">
      <w:bodyDiv w:val="1"/>
      <w:marLeft w:val="0"/>
      <w:marRight w:val="0"/>
      <w:marTop w:val="0"/>
      <w:marBottom w:val="0"/>
      <w:divBdr>
        <w:top w:val="none" w:sz="0" w:space="0" w:color="auto"/>
        <w:left w:val="none" w:sz="0" w:space="0" w:color="auto"/>
        <w:bottom w:val="none" w:sz="0" w:space="0" w:color="auto"/>
        <w:right w:val="none" w:sz="0" w:space="0" w:color="auto"/>
      </w:divBdr>
    </w:div>
    <w:div w:id="160533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6</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3</cp:revision>
  <dcterms:created xsi:type="dcterms:W3CDTF">2026-08-25T21:30:00Z</dcterms:created>
  <dcterms:modified xsi:type="dcterms:W3CDTF">2026-08-25T22:01:00Z</dcterms:modified>
</cp:coreProperties>
</file>