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43A14" w14:textId="775DE3F9" w:rsidR="006A6784" w:rsidRDefault="00E8753E" w:rsidP="00754ECE">
      <w:pPr>
        <w:pStyle w:val="SOP"/>
        <w:jc w:val="center"/>
        <w:rPr>
          <w:b/>
          <w:bCs w:val="0"/>
          <w:sz w:val="32"/>
          <w:szCs w:val="32"/>
        </w:rPr>
      </w:pPr>
      <w:r w:rsidRPr="006A6784">
        <w:rPr>
          <w:b/>
          <w:bCs w:val="0"/>
          <w:sz w:val="32"/>
          <w:szCs w:val="32"/>
        </w:rPr>
        <w:t>Part C</w:t>
      </w:r>
    </w:p>
    <w:p w14:paraId="4D7B7ECE" w14:textId="06CE1DA7" w:rsidR="00E8753E" w:rsidRDefault="00E8753E" w:rsidP="00754ECE">
      <w:pPr>
        <w:pStyle w:val="SOP"/>
        <w:jc w:val="center"/>
        <w:rPr>
          <w:b/>
          <w:bCs w:val="0"/>
          <w:sz w:val="32"/>
          <w:szCs w:val="32"/>
        </w:rPr>
      </w:pPr>
      <w:r w:rsidRPr="006A6784">
        <w:rPr>
          <w:b/>
          <w:bCs w:val="0"/>
          <w:sz w:val="32"/>
          <w:szCs w:val="32"/>
        </w:rPr>
        <w:t>Reflective Report on the Research Journey</w:t>
      </w:r>
    </w:p>
    <w:p w14:paraId="2C8A260F" w14:textId="77777777" w:rsidR="006A6784" w:rsidRPr="006A6784" w:rsidRDefault="006A6784" w:rsidP="006A6784">
      <w:pPr>
        <w:pStyle w:val="SOP"/>
        <w:rPr>
          <w:b/>
          <w:bCs w:val="0"/>
          <w:sz w:val="32"/>
          <w:szCs w:val="32"/>
        </w:rPr>
      </w:pPr>
    </w:p>
    <w:p w14:paraId="15BC81E6" w14:textId="77777777" w:rsidR="00E8753E" w:rsidRPr="006A6784" w:rsidRDefault="00E8753E" w:rsidP="006A6784">
      <w:pPr>
        <w:pStyle w:val="SOP"/>
        <w:rPr>
          <w:b/>
          <w:bCs w:val="0"/>
          <w:sz w:val="28"/>
          <w:szCs w:val="28"/>
        </w:rPr>
      </w:pPr>
      <w:r w:rsidRPr="006A6784">
        <w:rPr>
          <w:b/>
          <w:bCs w:val="0"/>
          <w:sz w:val="28"/>
          <w:szCs w:val="28"/>
        </w:rPr>
        <w:t>1. Introduction</w:t>
      </w:r>
    </w:p>
    <w:p w14:paraId="7BD01EF5" w14:textId="77777777" w:rsidR="00E8753E" w:rsidRPr="00E8753E" w:rsidRDefault="00E8753E" w:rsidP="006A6784">
      <w:pPr>
        <w:pStyle w:val="SOP"/>
      </w:pPr>
      <w:r w:rsidRPr="00E8753E">
        <w:t>This reflection considers my research journey from the original project proposal through literature appraisal, technical training, methodological reassessment, project re-scoping and completion of the final analysis. The original project was designed around non-invasive pressure–volume loop assessment of myocardial energetics. As the project progressed, the technical learning curve and fixed dissertation timeframe made completion of the original methodology increasingly difficult to achieve to an appropriate standard. The project was therefore re-scoped to an exploratory retrospective comparative analysis of left ventricular flow energetics using four-dimensional flow cardiovascular magnetic resonance (4D-flow CMR), involving five participants with aortic stenosis (AS) and five controls from the PREFER-CMR registry.</w:t>
      </w:r>
    </w:p>
    <w:p w14:paraId="7A408500" w14:textId="77777777" w:rsidR="00E8753E" w:rsidRDefault="00E8753E" w:rsidP="006A6784">
      <w:pPr>
        <w:pStyle w:val="SOP"/>
      </w:pPr>
      <w:r w:rsidRPr="00E8753E">
        <w:t>The most important changes in my practice concerned critical appraisal, judging the validity of my own measurements, feasibility assessment, interpretation of uncertainty and planning for future research.</w:t>
      </w:r>
    </w:p>
    <w:p w14:paraId="7C0F67BA" w14:textId="77777777" w:rsidR="006A6784" w:rsidRPr="00E8753E" w:rsidRDefault="006A6784" w:rsidP="006A6784">
      <w:pPr>
        <w:pStyle w:val="SOP"/>
      </w:pPr>
    </w:p>
    <w:p w14:paraId="183B55B3" w14:textId="77777777" w:rsidR="00E8753E" w:rsidRPr="006A6784" w:rsidRDefault="00E8753E" w:rsidP="006A6784">
      <w:pPr>
        <w:pStyle w:val="SOP"/>
        <w:rPr>
          <w:b/>
          <w:bCs w:val="0"/>
          <w:sz w:val="28"/>
          <w:szCs w:val="28"/>
        </w:rPr>
      </w:pPr>
      <w:r w:rsidRPr="006A6784">
        <w:rPr>
          <w:b/>
          <w:bCs w:val="0"/>
          <w:sz w:val="28"/>
          <w:szCs w:val="28"/>
        </w:rPr>
        <w:t>2. From Clinician to Researcher</w:t>
      </w:r>
    </w:p>
    <w:p w14:paraId="375381E1" w14:textId="77777777" w:rsidR="00E8753E" w:rsidRPr="00E8753E" w:rsidRDefault="00E8753E" w:rsidP="006A6784">
      <w:pPr>
        <w:pStyle w:val="SOP"/>
      </w:pPr>
      <w:r w:rsidRPr="00E8753E">
        <w:t xml:space="preserve">At the beginning of the project, I approached research largely through my clinical experience. Clinical practice often requires applying established guidelines, protocols and evidence to individual patients. I initially approached research in a similarly linear way: identify a question, follow the planned methodology, </w:t>
      </w:r>
      <w:proofErr w:type="spellStart"/>
      <w:r w:rsidRPr="00E8753E">
        <w:t>analyse</w:t>
      </w:r>
      <w:proofErr w:type="spellEnd"/>
      <w:r w:rsidRPr="00E8753E">
        <w:t xml:space="preserve"> the data and report the findings.</w:t>
      </w:r>
    </w:p>
    <w:p w14:paraId="19AA6404" w14:textId="77777777" w:rsidR="00E8753E" w:rsidRPr="00E8753E" w:rsidRDefault="00E8753E" w:rsidP="006A6784">
      <w:pPr>
        <w:pStyle w:val="SOP"/>
      </w:pPr>
      <w:r w:rsidRPr="00E8753E">
        <w:lastRenderedPageBreak/>
        <w:t xml:space="preserve">The project challenged this assumption. Research required me not only to follow a method but to question whether the method, data and resulting measurements </w:t>
      </w:r>
      <w:proofErr w:type="gramStart"/>
      <w:r w:rsidRPr="00E8753E">
        <w:t>were capable of answering</w:t>
      </w:r>
      <w:proofErr w:type="gramEnd"/>
      <w:r w:rsidRPr="00E8753E">
        <w:t xml:space="preserve"> the question. This became particularly evident when I began processing 4D-flow CMR data. Obtaining an output from software did not necessarily mean that the output was valid.</w:t>
      </w:r>
    </w:p>
    <w:p w14:paraId="38CBA7AC" w14:textId="77777777" w:rsidR="00E8753E" w:rsidRPr="00E8753E" w:rsidRDefault="00E8753E" w:rsidP="006A6784">
      <w:pPr>
        <w:pStyle w:val="SOP"/>
      </w:pPr>
      <w:r w:rsidRPr="00E8753E">
        <w:t>I consequently began to distinguish between performing a procedure and being able to defend the resulting measurement. This changed my understanding of the researcher’s role. Rather than simply applying established knowledge, I needed to interrogate how evidence had been generated and whether the assumptions underlying a measurement were appropriate to the dataset available.</w:t>
      </w:r>
    </w:p>
    <w:p w14:paraId="67089542" w14:textId="77777777" w:rsidR="006A6784" w:rsidRDefault="006A6784" w:rsidP="006A6784">
      <w:pPr>
        <w:pStyle w:val="SOP"/>
        <w:rPr>
          <w:b/>
          <w:bCs w:val="0"/>
          <w:sz w:val="28"/>
          <w:szCs w:val="28"/>
        </w:rPr>
      </w:pPr>
    </w:p>
    <w:p w14:paraId="77EC507E" w14:textId="7DC76F5F" w:rsidR="00E8753E" w:rsidRPr="006A6784" w:rsidRDefault="00E8753E" w:rsidP="006A6784">
      <w:pPr>
        <w:pStyle w:val="SOP"/>
        <w:rPr>
          <w:b/>
          <w:bCs w:val="0"/>
          <w:sz w:val="28"/>
          <w:szCs w:val="28"/>
        </w:rPr>
      </w:pPr>
      <w:r w:rsidRPr="006A6784">
        <w:rPr>
          <w:b/>
          <w:bCs w:val="0"/>
          <w:sz w:val="28"/>
          <w:szCs w:val="28"/>
        </w:rPr>
        <w:t>3. Development of Critical Appraisal</w:t>
      </w:r>
    </w:p>
    <w:p w14:paraId="3FD8D7E7" w14:textId="77777777" w:rsidR="00E8753E" w:rsidRPr="00E8753E" w:rsidRDefault="00E8753E" w:rsidP="006A6784">
      <w:pPr>
        <w:pStyle w:val="SOP"/>
      </w:pPr>
      <w:r w:rsidRPr="00E8753E">
        <w:t xml:space="preserve">My early literature review was initially descriptive. I tended to read studies individually and record their findings without consistently questioning whether their methods supported the conclusions. Supervisory feedback prompted a shift towards asking what had </w:t>
      </w:r>
      <w:proofErr w:type="gramStart"/>
      <w:r w:rsidRPr="00E8753E">
        <w:t>actually been</w:t>
      </w:r>
      <w:proofErr w:type="gramEnd"/>
      <w:r w:rsidRPr="00E8753E">
        <w:t xml:space="preserve"> measured, what assumptions underpinned the measurement and what could legitimately be inferred.</w:t>
      </w:r>
    </w:p>
    <w:p w14:paraId="7CDF8292" w14:textId="4CE1DF0D" w:rsidR="00E8753E" w:rsidRPr="00E8753E" w:rsidRDefault="00E8753E" w:rsidP="006A6784">
      <w:pPr>
        <w:pStyle w:val="SOP"/>
      </w:pPr>
      <w:r w:rsidRPr="00E8753E">
        <w:t>The literature surrounding AS provided a useful example. Doppler assessment is dependent on appropriate alignment with blood flow, and eccentric flow can create measurement limitations that may affect velocity-based assessment of stenosis.</w:t>
      </w:r>
      <w:r w:rsidR="006A6784">
        <w:fldChar w:fldCharType="begin"/>
      </w:r>
      <w:r w:rsidR="007A50EC">
        <w:instrText xml:space="preserve"> ADDIN ZOTERO_ITEM CSL_CITATION {"citationID":"AkgwQjW9","properties":{"unsorted":false,"formattedCitation":"\\super 1\\nosupersub{}","plainCitation":"1","noteIndex":0},"citationItems":[{"id":188,"uris":["http://zotero.org/users/16623790/items/4GCYFK3W"],"itemData":{"id":188,"type":"article-journal","abstract":"Aortic valve stenosis (AS) is the most prevalent valvular heart disease in developed countries and is associated with the development of severe secondary complications such as aortic dilatation and aneurysm. Emerging evidence suggests that the modified hemodynamic environment associated with AS can cause altered flow patterns in the ascending aorta associated with aortic wall remodeling and development of aortopathy. Recent advances in magnetic resonance imaging (MRI) allow for the comprehensive visualization and quantification of in vivo aortic flow pattern dynamics. In particular, the technique of 4-dimensional flow MRI offers the opportunity to derive advanced hemodynamic measures such as vorticity and helicity, wall shear stress, flow displacement, pressure gradients, viscous energy loss, and turbulent kinetic energy. This review introduces 4-dimensional flow MRI for blood flow visualization and quantification of hemodynamic metrics in the setting of aortic valve disease, with a focus on AS and associated secondary aortopathy.","container-title":"JACC. Cardiovascular imaging","DOI":"10.1016/j.jcmg.2018.10.034","ISSN":"1876-7591","issue":"2","journalAbbreviation":"JACC Cardiovasc Imaging","language":"eng","page":"252-266","PMID":"30732721","source":"PubMed","title":"The Role of Imaging of Flow Patterns by 4D Flow MRI in Aortic Stenosis","volume":"12","author":[{"family":"Garcia","given":"Julio"},{"family":"Barker","given":"Alex J."},{"family":"Markl","given":"Michael"}],"issued":{"date-parts":[["2019",2]]}}}],"schema":"https://github.com/citation-style-language/schema/raw/master/csl-citation.json"} </w:instrText>
      </w:r>
      <w:r w:rsidR="006A6784">
        <w:fldChar w:fldCharType="separate"/>
      </w:r>
      <w:r w:rsidR="007A50EC" w:rsidRPr="007A50EC">
        <w:rPr>
          <w:kern w:val="0"/>
          <w:vertAlign w:val="superscript"/>
        </w:rPr>
        <w:t>1</w:t>
      </w:r>
      <w:r w:rsidR="006A6784">
        <w:fldChar w:fldCharType="end"/>
      </w:r>
      <w:r w:rsidR="006A6784">
        <w:t xml:space="preserve"> </w:t>
      </w:r>
      <w:r w:rsidRPr="00E8753E">
        <w:t>Reading this literature in terms of measurement principles rather than simply reported findings helped me understand why disagreement between modalities does not automatically mean that one technique is incorrect. It may instead reflect differences in what each technique measures and the assumptions involved.</w:t>
      </w:r>
    </w:p>
    <w:p w14:paraId="25A10A16" w14:textId="77777777" w:rsidR="00E8753E" w:rsidRPr="00E8753E" w:rsidRDefault="00E8753E" w:rsidP="006A6784">
      <w:pPr>
        <w:pStyle w:val="SOP"/>
      </w:pPr>
      <w:r w:rsidRPr="00E8753E">
        <w:t xml:space="preserve">I also identified weaknesses in my own reference-management practice during the dissertation. Several bibliographic records required correction, including mismatched publication details and an unresolved placeholder. This was particularly relevant because I was simultaneously learning </w:t>
      </w:r>
      <w:r w:rsidRPr="00E8753E">
        <w:lastRenderedPageBreak/>
        <w:t>that apparently small methodological inaccuracies can propagate into larger problems. I therefore changed my reference-management method: bibliographic records were to be imported or verified using DOI or PMID identifiers rather than manually transcribed.</w:t>
      </w:r>
    </w:p>
    <w:p w14:paraId="2E0CA8F6" w14:textId="77777777" w:rsidR="00E8753E" w:rsidRPr="00E8753E" w:rsidRDefault="00E8753E" w:rsidP="006A6784">
      <w:pPr>
        <w:pStyle w:val="SOP"/>
      </w:pPr>
      <w:r w:rsidRPr="00E8753E">
        <w:t>This became more than a formatting change. It established a principle I now apply more generally: information should be verified at the point at which it enters the analysis rather than corrected after an error has propagated.</w:t>
      </w:r>
    </w:p>
    <w:p w14:paraId="12F1FFB6" w14:textId="77777777" w:rsidR="007A50EC" w:rsidRDefault="007A50EC" w:rsidP="006A6784">
      <w:pPr>
        <w:pStyle w:val="SOP"/>
        <w:rPr>
          <w:b/>
          <w:bCs w:val="0"/>
          <w:sz w:val="28"/>
          <w:szCs w:val="28"/>
        </w:rPr>
      </w:pPr>
    </w:p>
    <w:p w14:paraId="36BABD55" w14:textId="6FAB1FDB" w:rsidR="00E8753E" w:rsidRPr="006A6784" w:rsidRDefault="00E8753E" w:rsidP="006A6784">
      <w:pPr>
        <w:pStyle w:val="SOP"/>
        <w:rPr>
          <w:b/>
          <w:bCs w:val="0"/>
          <w:sz w:val="28"/>
          <w:szCs w:val="28"/>
        </w:rPr>
      </w:pPr>
      <w:r w:rsidRPr="006A6784">
        <w:rPr>
          <w:b/>
          <w:bCs w:val="0"/>
          <w:sz w:val="28"/>
          <w:szCs w:val="28"/>
        </w:rPr>
        <w:t>4. Judging My Own MASS Output</w:t>
      </w:r>
    </w:p>
    <w:p w14:paraId="34FE4929" w14:textId="77777777" w:rsidR="00E8753E" w:rsidRPr="00E8753E" w:rsidRDefault="00E8753E" w:rsidP="006A6784">
      <w:pPr>
        <w:pStyle w:val="SOP"/>
      </w:pPr>
      <w:r w:rsidRPr="00E8753E">
        <w:t>The 4D-flow component was technically demanding because I had no previous experience of this type of cardiovascular magnetic resonance post-processing. MASS required me to develop not only software skills but also anatomical and physiological reasoning. The position of contours and valve planes could influence subsequent measurements, meaning that an apparently completed analysis could still be inappropriate.</w:t>
      </w:r>
    </w:p>
    <w:p w14:paraId="1A497739" w14:textId="77777777" w:rsidR="00E8753E" w:rsidRPr="00E8753E" w:rsidRDefault="00E8753E" w:rsidP="006A6784">
      <w:pPr>
        <w:pStyle w:val="SOP"/>
      </w:pPr>
      <w:r w:rsidRPr="00E8753E">
        <w:t>I found that I could complete the required processing steps without always being able to determine independently whether the resulting ventricular measurements were anatomically plausible. The problem was therefore not simply unfamiliarity with the software. I lacked an immediate reference standard against which to judge my own output.</w:t>
      </w:r>
    </w:p>
    <w:p w14:paraId="0F6F8A92" w14:textId="77777777" w:rsidR="00E8753E" w:rsidRPr="00E8753E" w:rsidRDefault="00E8753E" w:rsidP="006A6784">
      <w:pPr>
        <w:pStyle w:val="SOP"/>
      </w:pPr>
      <w:r w:rsidRPr="00E8753E">
        <w:t>This changed my approach. I began checking derived end-diastolic volume, end-systolic volume, stroke volume and left ventricular ejection fraction against expected physiological relationships and using the literature to investigate unexpected values. The purpose was not to force measurements into a predetermined range, but to identify results that required further inspection.</w:t>
      </w:r>
    </w:p>
    <w:p w14:paraId="4523B3BE" w14:textId="222C840B" w:rsidR="00E8753E" w:rsidRPr="00E8753E" w:rsidRDefault="00E8753E" w:rsidP="006A6784">
      <w:pPr>
        <w:pStyle w:val="SOP"/>
      </w:pPr>
      <w:r w:rsidRPr="00E8753E">
        <w:lastRenderedPageBreak/>
        <w:t>I also became more conscious that the processing pipeline itself can affect interpretation. 4D-flow measurements are influenced by acquisition and processing characteristics, which is why technical understanding is necessary before treating derived energetic measures as definitive outputs.</w:t>
      </w:r>
      <w:r w:rsidR="007A50EC">
        <w:fldChar w:fldCharType="begin"/>
      </w:r>
      <w:r w:rsidR="007A50EC">
        <w:instrText xml:space="preserve"> ADDIN ZOTERO_ITEM CSL_CITATION {"citationID":"9DbrvoUu","properties":{"unsorted":false,"formattedCitation":"\\super 2\\nosupersub{}","plainCitation":"2","noteIndex":0},"citationItems":[{"id":191,"uris":["http://zotero.org/users/16623790/items/8KKU5GER"],"itemData":{"id":191,"type":"article-journal","abstract":"Pulsatile blood flow through the cavities of the heart and great vessels is time-varying and multidirectional. Access to all regions, phases and directions of cardiovascular flows has formerly been limited. Four-dimensional (4D) flow cardiovascular magnetic resonance (CMR) has enabled more comprehensive access to such flows, with typical spatial resolution of 1.5×1.5×1.5 - 3×3×3 mm(3), typical temporal resolution of 30-40 ms, and acquisition times in the order of 5 to 25 min. This consensus paper is the work of physicists, physicians and biomedical engineers, active in the development and implementation of 4D Flow CMR, who have repeatedly met to share experience and ideas. The paper aims to assist understanding of acquisition and analysis methods, and their potential clinical applications with a focus on the heart and greater vessels. We describe that 4D Flow CMR can be clinically advantageous because placement of a single acquisition volume is straightforward and enables flow through any plane across it to be calculated retrospectively and with good accuracy. We also specify research and development goals that have yet to be satisfactorily achieved. Derived flow parameters, generally needing further development or validation for clinical use, include measurements of wall shear stress, pressure difference, turbulent kinetic energy, and intracardiac flow components. The dependence of measurement accuracy on acquisition parameters is considered, as are the uses of different visualization strategies for appropriate representation of time-varying multidirectional flow fields. Finally, we offer suggestions for more consistent, user-friendly implementation of 4D Flow CMR acquisition and data handling with a view to multicenter studies and more widespread adoption of the approach in routine clinical investigations.","container-title":"Journal of Cardiovascular Magnetic Resonance: Official Journal of the Society for Cardiovascular Magnetic Resonance","DOI":"10.1186/s12968-015-0174-5","ISSN":"1532-429X","issue":"1","journalAbbreviation":"J Cardiovasc Magn Reson","language":"eng","page":"72","PMID":"26257141","PMCID":"PMC4530492","source":"PubMed","title":"4D flow cardiovascular magnetic resonance consensus statement","volume":"17","author":[{"family":"Dyverfeldt","given":"Petter"},{"family":"Bissell","given":"Malenka"},{"family":"Barker","given":"Alex J."},{"family":"Bolger","given":"Ann F."},{"family":"Carlhäll","given":"Carl-Johan"},{"family":"Ebbers","given":"Tino"},{"family":"Francios","given":"Christopher J."},{"family":"Frydrychowicz","given":"Alex"},{"family":"Geiger","given":"Julia"},{"family":"Giese","given":"Daniel"},{"family":"Hope","given":"Michael D."},{"family":"Kilner","given":"Philip J."},{"family":"Kozerke","given":"Sebastian"},{"family":"Myerson","given":"Saul"},{"family":"Neubauer","given":"Stefan"},{"family":"Wieben","given":"Oliver"},{"family":"Markl","given":"Michael"}],"issued":{"date-parts":[["2015",8,10]]}}}],"schema":"https://github.com/citation-style-language/schema/raw/master/csl-citation.json"} </w:instrText>
      </w:r>
      <w:r w:rsidR="007A50EC">
        <w:fldChar w:fldCharType="separate"/>
      </w:r>
      <w:r w:rsidR="007A50EC" w:rsidRPr="007A50EC">
        <w:rPr>
          <w:kern w:val="0"/>
          <w:vertAlign w:val="superscript"/>
        </w:rPr>
        <w:t>2</w:t>
      </w:r>
      <w:r w:rsidR="007A50EC">
        <w:fldChar w:fldCharType="end"/>
      </w:r>
    </w:p>
    <w:p w14:paraId="05B35C6A" w14:textId="77777777" w:rsidR="00E8753E" w:rsidRPr="00E8753E" w:rsidRDefault="00E8753E" w:rsidP="006A6784">
      <w:pPr>
        <w:pStyle w:val="SOP"/>
      </w:pPr>
      <w:r w:rsidRPr="00E8753E">
        <w:t>The key lesson was that measurement validation must be incorporated into the method rather than added at the end. In future projects involving image analysis, I will define plausibility checks, repeat measurements and, where possible, reproducibility assessment before starting the main analysis.</w:t>
      </w:r>
    </w:p>
    <w:p w14:paraId="27227339" w14:textId="77777777" w:rsidR="007A50EC" w:rsidRDefault="007A50EC" w:rsidP="006A6784">
      <w:pPr>
        <w:pStyle w:val="SOP"/>
        <w:rPr>
          <w:b/>
          <w:bCs w:val="0"/>
          <w:sz w:val="28"/>
          <w:szCs w:val="28"/>
        </w:rPr>
      </w:pPr>
    </w:p>
    <w:p w14:paraId="4CED008F" w14:textId="568428EA" w:rsidR="00E8753E" w:rsidRPr="006A6784" w:rsidRDefault="00E8753E" w:rsidP="006A6784">
      <w:pPr>
        <w:pStyle w:val="SOP"/>
        <w:rPr>
          <w:b/>
          <w:bCs w:val="0"/>
          <w:sz w:val="28"/>
          <w:szCs w:val="28"/>
        </w:rPr>
      </w:pPr>
      <w:r w:rsidRPr="006A6784">
        <w:rPr>
          <w:b/>
          <w:bCs w:val="0"/>
          <w:sz w:val="28"/>
          <w:szCs w:val="28"/>
        </w:rPr>
        <w:t>5. The Research Pivot</w:t>
      </w:r>
    </w:p>
    <w:p w14:paraId="3B3B54AD" w14:textId="77777777" w:rsidR="00E8753E" w:rsidRPr="00E8753E" w:rsidRDefault="00E8753E" w:rsidP="006A6784">
      <w:pPr>
        <w:pStyle w:val="SOP"/>
      </w:pPr>
      <w:r w:rsidRPr="00E8753E">
        <w:t>The most consequential decision in the project was the move away from the original pressure–volume loop methodology. The initial research plan aimed to investigate myocardial energetics using non-invasive pressure–volume loop-derived measures, including stroke work, pressure–volume area and mechanical efficiency. The 4D-flow component was initially intended as a secondary analysis.</w:t>
      </w:r>
    </w:p>
    <w:p w14:paraId="6E2C4BCF" w14:textId="77777777" w:rsidR="00E8753E" w:rsidRPr="00E8753E" w:rsidRDefault="00E8753E" w:rsidP="006A6784">
      <w:pPr>
        <w:pStyle w:val="SOP"/>
      </w:pPr>
      <w:r w:rsidRPr="00E8753E">
        <w:t>My Gantt chart allocated time for analysis but did not adequately account for the time required to acquire the technical skills necessary to perform and judge the analysis reliably. As practical work progressed, the proportion of the available project period being consumed by training and image-processing increased. The first clear indication that the original plan was becoming unrealistic was not a single failed analysis; it was the accumulating mismatch between the time required to perform the technical work properly and the fixed dissertation completion period.</w:t>
      </w:r>
    </w:p>
    <w:p w14:paraId="346531AC" w14:textId="77777777" w:rsidR="00E8753E" w:rsidRPr="00E8753E" w:rsidRDefault="00E8753E" w:rsidP="006A6784">
      <w:pPr>
        <w:pStyle w:val="SOP"/>
      </w:pPr>
      <w:r w:rsidRPr="00E8753E">
        <w:t xml:space="preserve">At that point, I had to decide whether continuing with the original methodology would allow a scientifically defensible dissertation to be completed. Continuing simply because the original </w:t>
      </w:r>
      <w:r w:rsidRPr="00E8753E">
        <w:lastRenderedPageBreak/>
        <w:t xml:space="preserve">proposal had already been approved would have </w:t>
      </w:r>
      <w:proofErr w:type="spellStart"/>
      <w:r w:rsidRPr="00E8753E">
        <w:t>prioritised</w:t>
      </w:r>
      <w:proofErr w:type="spellEnd"/>
      <w:r w:rsidRPr="00E8753E">
        <w:t xml:space="preserve"> adherence to the initial plan over methodological quality.</w:t>
      </w:r>
    </w:p>
    <w:p w14:paraId="292F557F" w14:textId="77777777" w:rsidR="00E8753E" w:rsidRPr="00E8753E" w:rsidRDefault="00E8753E" w:rsidP="006A6784">
      <w:pPr>
        <w:pStyle w:val="SOP"/>
      </w:pPr>
      <w:r w:rsidRPr="00E8753E">
        <w:t>The decision was made with supervisory input, but the underlying judgement was also mine: the available time, technical learning curve and remaining analytical workload no longer supported completion of the original pressure–volume loop component to an appropriate standard. I therefore reassessed what could realistically be answered using the data and skills that had been developed.</w:t>
      </w:r>
    </w:p>
    <w:p w14:paraId="17EFC3F4" w14:textId="77777777" w:rsidR="00E8753E" w:rsidRPr="00E8753E" w:rsidRDefault="00E8753E" w:rsidP="006A6784">
      <w:pPr>
        <w:pStyle w:val="SOP"/>
      </w:pPr>
      <w:r w:rsidRPr="00E8753E">
        <w:t>This produced the final project. The available datasets contained 4D-flow CMR velocity data from which I derived kinetic energy, vorticity and energy-loss measures using MASS. The 4D-flow component consequently changed from a secondary sub-analysis into the principal analysis.</w:t>
      </w:r>
    </w:p>
    <w:p w14:paraId="643D20CF" w14:textId="42594E36" w:rsidR="00E8753E" w:rsidRPr="00E8753E" w:rsidRDefault="00E8753E" w:rsidP="006A6784">
      <w:pPr>
        <w:pStyle w:val="SOP"/>
      </w:pPr>
      <w:r w:rsidRPr="00E8753E">
        <w:t xml:space="preserve">The pivot involved genuine loss as well as salvage. The pressure–volume loop-specific work could not be completed, and some of the literature and methodological preparation for that component therefore did not directly contribute to the final analysis. In contrast, the training in CMR processing, the developing understanding of 4D-flow </w:t>
      </w:r>
      <w:proofErr w:type="spellStart"/>
      <w:r w:rsidRPr="00E8753E">
        <w:t>haemodynamics</w:t>
      </w:r>
      <w:proofErr w:type="spellEnd"/>
      <w:r w:rsidRPr="00E8753E">
        <w:t xml:space="preserve"> and the literature on flow energetics were retained. Previous work on kinetic energy and vorticity therefore remained relevant to the revised question.</w:t>
      </w:r>
      <w:r w:rsidR="007A50EC">
        <w:fldChar w:fldCharType="begin"/>
      </w:r>
      <w:r w:rsidR="007A50EC">
        <w:instrText xml:space="preserve"> ADDIN ZOTERO_ITEM CSL_CITATION {"citationID":"N9tdMs7z","properties":{"unsorted":false,"formattedCitation":"\\super 3,4\\nosupersub{}","plainCitation":"3,4","noteIndex":0},"citationItems":[{"id":194,"uris":["http://zotero.org/users/16623790/items/XWI294GE"],"itemData":{"id":194,"type":"article-journal","abstract":"The aim of the current study was to assess the scan-rescan reproducibility of left ventricular (LV) kinetic energy (KE), viscous energy loss (EL) and vorticity during diastole from four-dimensional flow magnetic resonance imaging (4D flow MRI) in healthy subjects. Twelve volunteers (age 27 ± 3 years) underwent whole-heart 4D flow MRI twice in one session. In-scan consistency was evaluated by correlation between KE and EL. ELindex was computed to measure the amount of EL relative to KE over diastole. Scan-rescan analysis was performed to test reproducibility of volumetric measurements of KE, EL, ELindex and vorticity in the LV over early (E) and late (A) diastolic filling. In-scan consistency between KE and EL was strong-excellent (E-filling scan1: r = 0.92, P &lt; 0.001; scan2: ρ = 0.96, P &lt; 0.001 and A-filling scan1: ρ = 0.87, P &lt; 0.001; scan2: r = 0.99, P &lt; 0.001). For the majority of subjects (10 out of 12), KE and EL measures showed good to strong reproducibility. However, with a wide range of agreement [intraclass correlation (ICC): 0.64-0.95] and coefficients of variation (CV) ≤ 25%. ELindex showed strong reproducibility for all 12 subjects with a strong ICC (0.94, P &lt; 0.001) and a CV of 9%. Scan-rescan reproducibility of volumetric vorticity showed good-excellent ICCs (0.83-0.95) with CVs ≤ 11%. In conclusion, the current study shows strong-excellent in-scan consistency and overall good agreement between scans for 4D flow MRI assessment of left ventricular kinetic energy, energy loss and vorticity over diastole. However, substantial differences between the scans were also found in some parameters in two out of twelve subjects. Strong reproducibility was found in the dimensionless ELindex, which measures the amount of viscous energy loss relative to the average kinetic energy over diastole.","container-title":"The International Journal of Cardiovascular Imaging","DOI":"10.1007/s10554-017-1291-z","ISSN":"1875-8312","issue":"6","journalAbbreviation":"Int J Cardiovasc Imaging","language":"eng","page":"905-920","PMID":"29305740","source":"PubMed","title":"Scan-rescan reproducibility of diastolic left ventricular kinetic energy, viscous energy loss and vorticity assessment using 4D flow MRI: analysis in healthy subjects","title-short":"Scan-rescan reproducibility of diastolic left ventricular kinetic energy, viscous energy loss and vorticity assessment using 4D flow MRI","volume":"34","author":[{"family":"Kamphuis","given":"Vivian P."},{"family":"Westenberg","given":"Jos J. M."},{"family":"Palen","given":"Roel L. F.","non-dropping-particle":"van der"},{"family":"Boogaard","given":"Pieter J.","non-dropping-particle":"van den"},{"family":"Geest","given":"Rob J.","non-dropping-particle":"van der"},{"family":"Roos","given":"Albert","non-dropping-particle":"de"},{"family":"Blom","given":"Nico A."},{"family":"Roest","given":"Arno A. W."},{"family":"Elbaz","given":"Mohammed S. M."}],"issued":{"date-parts":[["2018",6]]}}},{"id":197,"uris":["http://zotero.org/users/16623790/items/DJ7PPR3F"],"itemData":{"id":197,"type":"article-journal","abstract":"The purpose of this study was to directly assess (patho)physiology of intraventricular hemodynamic interplay between four-dimensional flow cardiovascular magnetic resonance imaging (4D Flow MRI)-derived vorticity with kinetic energy (KE) and viscous energy loss (EL) over the cardiac cycle and their association to ejection fraction (EF) and stroke volume (SV). Fifteen healthy subjects and thirty Fontan patients underwent whole heart 4D Flow MRI. Ventricular vorticity, KE, and EL were computed over systole (vorticity_volavg systole, KEavg systole, and ELavg systole) and diastole (vorticity_volavg diastole, KEavg diastole, and ELavg diastole). The association between vorticity_vol and KE and EL was tested by Spearman correlation. Fontan patients were grouped to normal and impaired EF groups. A significant correlation was found between SV and vorticity in healthy subjects (systolic: ρ = 0.84, P &lt; 0.001; diastolic: ρ = 0.81, P &lt; 0.001) and in Fontan patients (systolic: ρ = 0.61, P &lt; 0.001; diastolic: ρ = 0.54, P = 0.002). Healthy subjects showed positive correlation between vorticity_vol versus KE (systole: ρ = 0.96, P &lt; 0.001; diastole: ρ = 0.90, P &lt; 0.001) and EL (systole: ρ = 0.85, P &lt; 0.001; diastole: ρ = 0.84, P &lt; 0.001). Fontan patients showed significantly elevated vorticity_vol compared with healthy subjects (vorticity_volavg systole: 3.1 [2.3-3.9] vs. 1.7 [1.3-2.4] L/s, P &lt; 0.001; vorticity_volavg diastole: 3.1 [2.0-3.7] vs. 2.1 [1.6-2.8] L/s, P = 0.002). This elevated vorticity in Fontan patients showed strong association with KE (systole: ρ = 0.91, P &lt; 0.001; diastole: ρ = 0.85, P &lt; 0.001) and EL (systole: ρ = 0.82, P &lt; 0.001; diastole: ρ = 0.89, P &lt; 0.001). Fontan patients with normal EF showed significantly higher vorticity_volavg systole and ELavg systole, but significantly decreased KE avg diastole, in the presence of normal SV, compared with healthy subjects. Healthy subjects show strong physiological hemodynamic interplay between vorticity with KE and EL. Fontan patients demonstrate a pathophysiological hemodynamic interplay characterized by correlation of elevated vorticity with KE and EL in the presence of maintained normal stroke volume. Altered vorticity and energetic hemodynamics are found in the presence of normal EF in Fontan patients.NEW &amp; NOTEWORTHY Physiologic intraventricular hemodynamic interplay/coupling is present in the healthy left ventricle between vorticity versus viscous energy loss and kinetic energy from four-dimensional flow cardiovascular magnetic resonance imaging (4D Flow MRI). Conversely, Fontan patients present compensatory pathophysiologic hemodynamic coupling by an increase in intraventricular vorticity that positively correlates to viscous energy loss and kinetic energy levels in the presence of maintained normal stroke volume. Altered vorticity and energetics are found in the presence of normal ejection fraction in Fontan patients.","container-title":"American Journal of Physiology. Heart and Circulatory Physiology","DOI":"10.1152/ajpheart.00806.2020","ISSN":"1522-1539","issue":"4","journalAbbreviation":"Am J Physiol Heart Circ Physiol","language":"eng","page":"H1687-H1698","PMID":"33635164","source":"PubMed","title":"Hemodynamic interplay of vorticity, viscous energy loss, and kinetic energy from 4D Flow MRI and link to cardiac function in healthy subjects and Fontan patients","volume":"320","author":[{"family":"Kamphuis","given":"Vivian P."},{"family":"Roest","given":"Arno A. W."},{"family":"Boogaard","given":"Pieter J.","non-dropping-particle":"van den"},{"family":"Kroft","given":"Lucia J. M."},{"family":"Lamb","given":"Hildo J."},{"family":"Helbing","given":"Willem A."},{"family":"Blom","given":"Nico A."},{"family":"Westenberg","given":"Jos J. M."},{"family":"Elbaz","given":"Mohammed S. M."}],"issued":{"date-parts":[["2021",4,1]]}}}],"schema":"https://github.com/citation-style-language/schema/raw/master/csl-citation.json"} </w:instrText>
      </w:r>
      <w:r w:rsidR="007A50EC">
        <w:fldChar w:fldCharType="separate"/>
      </w:r>
      <w:r w:rsidR="007A50EC" w:rsidRPr="007A50EC">
        <w:rPr>
          <w:kern w:val="0"/>
          <w:vertAlign w:val="superscript"/>
        </w:rPr>
        <w:t>3,4</w:t>
      </w:r>
      <w:r w:rsidR="007A50EC">
        <w:fldChar w:fldCharType="end"/>
      </w:r>
    </w:p>
    <w:p w14:paraId="182095BF" w14:textId="77777777" w:rsidR="00E8753E" w:rsidRPr="00E8753E" w:rsidRDefault="00E8753E" w:rsidP="006A6784">
      <w:pPr>
        <w:pStyle w:val="SOP"/>
      </w:pPr>
      <w:r w:rsidRPr="00E8753E">
        <w:t xml:space="preserve">I consider the final question narrower but methodologically more defensible than the original question given the data </w:t>
      </w:r>
      <w:proofErr w:type="gramStart"/>
      <w:r w:rsidRPr="00E8753E">
        <w:t>actually available</w:t>
      </w:r>
      <w:proofErr w:type="gramEnd"/>
      <w:r w:rsidRPr="00E8753E">
        <w:t>, my technical competence at that stage and the fixed timeframe. This was not simply making the project easier. It was a decision to produce a complete analysis with appropriately bounded claims rather than an incomplete analysis designed around the original proposal.</w:t>
      </w:r>
    </w:p>
    <w:p w14:paraId="351D6D1F" w14:textId="77777777" w:rsidR="00E8753E" w:rsidRPr="00E8753E" w:rsidRDefault="00E8753E" w:rsidP="006A6784">
      <w:pPr>
        <w:pStyle w:val="SOP"/>
      </w:pPr>
      <w:r w:rsidRPr="00E8753E">
        <w:t xml:space="preserve">The principal change I will make in future research is to conduct a formal feasibility and data-availability assessment before committing to a technically complex methodology. This will include </w:t>
      </w:r>
      <w:r w:rsidRPr="00E8753E">
        <w:lastRenderedPageBreak/>
        <w:t>the dataset required, processing time, training requirements, software capability and sufficient time for validation.</w:t>
      </w:r>
    </w:p>
    <w:p w14:paraId="39D25E9B" w14:textId="77777777" w:rsidR="007A50EC" w:rsidRDefault="007A50EC" w:rsidP="006A6784">
      <w:pPr>
        <w:pStyle w:val="SOP"/>
        <w:rPr>
          <w:b/>
          <w:bCs w:val="0"/>
          <w:sz w:val="28"/>
          <w:szCs w:val="28"/>
        </w:rPr>
      </w:pPr>
    </w:p>
    <w:p w14:paraId="44F00299" w14:textId="141662A0" w:rsidR="00E8753E" w:rsidRPr="006A6784" w:rsidRDefault="00E8753E" w:rsidP="006A6784">
      <w:pPr>
        <w:pStyle w:val="SOP"/>
        <w:rPr>
          <w:b/>
          <w:bCs w:val="0"/>
          <w:sz w:val="28"/>
          <w:szCs w:val="28"/>
        </w:rPr>
      </w:pPr>
      <w:r w:rsidRPr="006A6784">
        <w:rPr>
          <w:b/>
          <w:bCs w:val="0"/>
          <w:sz w:val="28"/>
          <w:szCs w:val="28"/>
        </w:rPr>
        <w:t>6. What I Could Legitimately Claim</w:t>
      </w:r>
    </w:p>
    <w:p w14:paraId="46A0743C" w14:textId="77777777" w:rsidR="00E8753E" w:rsidRPr="00E8753E" w:rsidRDefault="00E8753E" w:rsidP="006A6784">
      <w:pPr>
        <w:pStyle w:val="SOP"/>
      </w:pPr>
      <w:r w:rsidRPr="00E8753E">
        <w:t xml:space="preserve">The final dataset also changed how I understood the relationship between data and claims. With five participants in each group, the analysis was exploratory and statistical power was severely limited. I therefore had to distinguish between an observed difference, a plausible interpretation and a conclusion that could be </w:t>
      </w:r>
      <w:proofErr w:type="spellStart"/>
      <w:r w:rsidRPr="00E8753E">
        <w:t>generalised</w:t>
      </w:r>
      <w:proofErr w:type="spellEnd"/>
      <w:r w:rsidRPr="00E8753E">
        <w:t>.</w:t>
      </w:r>
    </w:p>
    <w:p w14:paraId="1497F4AC" w14:textId="77777777" w:rsidR="00E8753E" w:rsidRPr="00E8753E" w:rsidRDefault="00E8753E" w:rsidP="006A6784">
      <w:pPr>
        <w:pStyle w:val="SOP"/>
      </w:pPr>
      <w:r w:rsidRPr="00E8753E">
        <w:t xml:space="preserve">The </w:t>
      </w:r>
      <w:proofErr w:type="spellStart"/>
      <w:r w:rsidRPr="00E8753E">
        <w:t>analysed</w:t>
      </w:r>
      <w:proofErr w:type="spellEnd"/>
      <w:r w:rsidRPr="00E8753E">
        <w:t xml:space="preserve"> datasets were pre-existing registry datasets, and the precise historical selection mechanism could not be independently established. They could not therefore be described as random, consecutive or formally matched. AS severity was also not used as an eligibility, selection or stratification variable. The control group was clinically heterogeneous: two participants had atrial fibrillation, two had oedema, two were New York Heart Association (NYHA) class II, one was a current </w:t>
      </w:r>
      <w:proofErr w:type="gramStart"/>
      <w:r w:rsidRPr="00E8753E">
        <w:t>smoker</w:t>
      </w:r>
      <w:proofErr w:type="gramEnd"/>
      <w:r w:rsidRPr="00E8753E">
        <w:t xml:space="preserve"> and one was an ex-smoker.</w:t>
      </w:r>
    </w:p>
    <w:p w14:paraId="249219EA" w14:textId="77777777" w:rsidR="00E8753E" w:rsidRPr="00E8753E" w:rsidRDefault="00E8753E" w:rsidP="006A6784">
      <w:pPr>
        <w:pStyle w:val="SOP"/>
      </w:pPr>
      <w:r w:rsidRPr="00E8753E">
        <w:t>Most importantly, no valve-related measurements were available for the control datasets. Consequently, absence of AS could not be independently verified from the data available to me. Control status therefore had to be treated as a characteristic of the registry dataset rather than as a diagnosis independently re-established during the present analysis.</w:t>
      </w:r>
    </w:p>
    <w:p w14:paraId="13F8FF07" w14:textId="77777777" w:rsidR="00E8753E" w:rsidRPr="00E8753E" w:rsidRDefault="00E8753E" w:rsidP="006A6784">
      <w:pPr>
        <w:pStyle w:val="SOP"/>
      </w:pPr>
      <w:r w:rsidRPr="00E8753E">
        <w:t xml:space="preserve">The analysis identified higher left ventricular vorticity in AS during the </w:t>
      </w:r>
      <w:proofErr w:type="spellStart"/>
      <w:r w:rsidRPr="00E8753E">
        <w:t>FullRR</w:t>
      </w:r>
      <w:proofErr w:type="spellEnd"/>
      <w:r w:rsidRPr="00E8753E">
        <w:t xml:space="preserve"> and systolic intervals. However, fifteen between-group comparisons were performed without multiplicity correction, and the two significant vorticity findings represented related measurements from the same velocity field rather than independent confirmations of separate effects.</w:t>
      </w:r>
    </w:p>
    <w:p w14:paraId="525C5AED" w14:textId="77777777" w:rsidR="00E8753E" w:rsidRPr="00E8753E" w:rsidRDefault="00E8753E" w:rsidP="006A6784">
      <w:pPr>
        <w:pStyle w:val="SOP"/>
      </w:pPr>
      <w:r w:rsidRPr="00E8753E">
        <w:t>This led me to adopt a three-level framework for interpreting my own work:</w:t>
      </w:r>
    </w:p>
    <w:p w14:paraId="3C191675" w14:textId="77777777" w:rsidR="00E8753E" w:rsidRPr="00E8753E" w:rsidRDefault="00E8753E" w:rsidP="006A6784">
      <w:pPr>
        <w:pStyle w:val="SOP"/>
      </w:pPr>
      <w:r w:rsidRPr="00E8753E">
        <w:lastRenderedPageBreak/>
        <w:t>What the data demonstrate — the directly observed result.</w:t>
      </w:r>
    </w:p>
    <w:p w14:paraId="297F509C" w14:textId="77777777" w:rsidR="00E8753E" w:rsidRPr="00E8753E" w:rsidRDefault="00E8753E" w:rsidP="006A6784">
      <w:pPr>
        <w:pStyle w:val="SOP"/>
      </w:pPr>
      <w:r w:rsidRPr="00E8753E">
        <w:t>What the findings suggest — plausible physiological or methodological interpretations.</w:t>
      </w:r>
    </w:p>
    <w:p w14:paraId="14443CCD" w14:textId="77777777" w:rsidR="00E8753E" w:rsidRPr="00E8753E" w:rsidRDefault="00E8753E" w:rsidP="006A6784">
      <w:pPr>
        <w:pStyle w:val="SOP"/>
      </w:pPr>
      <w:r w:rsidRPr="00E8753E">
        <w:t>What remains uncertain — explanations or conclusions that cannot be established from the available data.</w:t>
      </w:r>
    </w:p>
    <w:p w14:paraId="18DD4CEE" w14:textId="77777777" w:rsidR="00E8753E" w:rsidRPr="00E8753E" w:rsidRDefault="00E8753E" w:rsidP="006A6784">
      <w:pPr>
        <w:pStyle w:val="SOP"/>
      </w:pPr>
      <w:r w:rsidRPr="00E8753E">
        <w:t>This distinction prevented me from trying to make the final dataset conform to the cleaner population originally envisaged in the proposal. Instead, I accepted that some questions could not be answered and stated those uncertainties explicitly. In future research, I will apply the same principle at the design stage: define in advance what evidence would be required to support each major claim.</w:t>
      </w:r>
    </w:p>
    <w:p w14:paraId="452413BF" w14:textId="77777777" w:rsidR="007A50EC" w:rsidRDefault="007A50EC" w:rsidP="006A6784">
      <w:pPr>
        <w:pStyle w:val="SOP"/>
        <w:rPr>
          <w:b/>
          <w:bCs w:val="0"/>
          <w:sz w:val="28"/>
          <w:szCs w:val="28"/>
        </w:rPr>
      </w:pPr>
    </w:p>
    <w:p w14:paraId="7CDD12BC" w14:textId="503966A8" w:rsidR="00E8753E" w:rsidRPr="006A6784" w:rsidRDefault="00E8753E" w:rsidP="006A6784">
      <w:pPr>
        <w:pStyle w:val="SOP"/>
        <w:rPr>
          <w:b/>
          <w:bCs w:val="0"/>
          <w:sz w:val="28"/>
          <w:szCs w:val="28"/>
        </w:rPr>
      </w:pPr>
      <w:r w:rsidRPr="006A6784">
        <w:rPr>
          <w:b/>
          <w:bCs w:val="0"/>
          <w:sz w:val="28"/>
          <w:szCs w:val="28"/>
        </w:rPr>
        <w:t>7. Research Capacity as a Methodological Variable</w:t>
      </w:r>
    </w:p>
    <w:p w14:paraId="4824B30D" w14:textId="77777777" w:rsidR="00E8753E" w:rsidRPr="00E8753E" w:rsidRDefault="00E8753E" w:rsidP="006A6784">
      <w:pPr>
        <w:pStyle w:val="SOP"/>
      </w:pPr>
      <w:r w:rsidRPr="00E8753E">
        <w:t>The project also demonstrated that capacity can directly affect methodological quality. Detailed CMR post-processing requires sustained concentration and precision. When my capacity for prolonged precision-based work was reduced, continuing purely to maintain the timetable risked producing measurements that would subsequently require repetition or exclusion.</w:t>
      </w:r>
    </w:p>
    <w:p w14:paraId="42F5E432" w14:textId="77777777" w:rsidR="00E8753E" w:rsidRPr="00E8753E" w:rsidRDefault="00E8753E" w:rsidP="006A6784">
      <w:pPr>
        <w:pStyle w:val="SOP"/>
      </w:pPr>
      <w:r w:rsidRPr="00E8753E">
        <w:t>I therefore changed how I scheduled technically demanding work. Precision-based analysis was undertaken in shorter, focused periods, with work deferred when the available capacity was insufficient for reliable measurement. This was not simply a strategy for managing workload; it was a quality-control decision.</w:t>
      </w:r>
    </w:p>
    <w:p w14:paraId="6E403046" w14:textId="77777777" w:rsidR="00E8753E" w:rsidRPr="00E8753E" w:rsidRDefault="00E8753E" w:rsidP="006A6784">
      <w:pPr>
        <w:pStyle w:val="SOP"/>
      </w:pPr>
      <w:r w:rsidRPr="00E8753E">
        <w:t>The experience has changed my future planning. I will treat capacity as a methodological consideration when planning technically intensive studies, with a predefined threshold below which precision-dependent measurements should not proceed.</w:t>
      </w:r>
    </w:p>
    <w:p w14:paraId="494AA8C5" w14:textId="77777777" w:rsidR="007A50EC" w:rsidRDefault="007A50EC" w:rsidP="006A6784">
      <w:pPr>
        <w:pStyle w:val="SOP"/>
        <w:rPr>
          <w:b/>
          <w:bCs w:val="0"/>
          <w:sz w:val="28"/>
          <w:szCs w:val="28"/>
        </w:rPr>
      </w:pPr>
    </w:p>
    <w:p w14:paraId="2F88CCAA" w14:textId="3F30AC31" w:rsidR="00E8753E" w:rsidRPr="006A6784" w:rsidRDefault="00E8753E" w:rsidP="006A6784">
      <w:pPr>
        <w:pStyle w:val="SOP"/>
        <w:rPr>
          <w:b/>
          <w:bCs w:val="0"/>
          <w:sz w:val="28"/>
          <w:szCs w:val="28"/>
        </w:rPr>
      </w:pPr>
      <w:r w:rsidRPr="006A6784">
        <w:rPr>
          <w:b/>
          <w:bCs w:val="0"/>
          <w:sz w:val="28"/>
          <w:szCs w:val="28"/>
        </w:rPr>
        <w:lastRenderedPageBreak/>
        <w:t>8. What I Take Forward</w:t>
      </w:r>
    </w:p>
    <w:p w14:paraId="2E206A81" w14:textId="77777777" w:rsidR="00E8753E" w:rsidRPr="00E8753E" w:rsidRDefault="00E8753E" w:rsidP="006A6784">
      <w:pPr>
        <w:pStyle w:val="SOP"/>
      </w:pPr>
      <w:r w:rsidRPr="00E8753E">
        <w:t>The project has given me practical skills in 4D-flow CMR post-processing, CMR volumetric analysis and interpretation of flow-energetic measurements. It has also strengthened my ability to critically appraise methodology, manage references systematically and interpret small datasets conservatively.</w:t>
      </w:r>
    </w:p>
    <w:p w14:paraId="2CA29B0D" w14:textId="77777777" w:rsidR="00E8753E" w:rsidRPr="00E8753E" w:rsidRDefault="00E8753E" w:rsidP="006A6784">
      <w:pPr>
        <w:pStyle w:val="SOP"/>
      </w:pPr>
      <w:r w:rsidRPr="00E8753E">
        <w:t xml:space="preserve">I intend to apply the 4D-flow and CMR analysis skills to future cardiovascular imaging research, particularly projects involving quantitative </w:t>
      </w:r>
      <w:proofErr w:type="spellStart"/>
      <w:r w:rsidRPr="00E8753E">
        <w:t>haemodynamics</w:t>
      </w:r>
      <w:proofErr w:type="spellEnd"/>
      <w:r w:rsidRPr="00E8753E">
        <w:t xml:space="preserve"> and image-derived biomarkers. The critical-appraisal skills developed during the literature review will support both future academic research and interpretation of evidence in clinical practice.</w:t>
      </w:r>
    </w:p>
    <w:p w14:paraId="7523006F" w14:textId="77777777" w:rsidR="00E8753E" w:rsidRPr="00E8753E" w:rsidRDefault="00E8753E" w:rsidP="006A6784">
      <w:pPr>
        <w:pStyle w:val="SOP"/>
      </w:pPr>
      <w:r w:rsidRPr="00E8753E">
        <w:t>My improved statistical and reporting skills will also be transferable to future research projects, particularly when evaluating small datasets where uncertainty and methodological limitations need to be communicated clearly. The reference-management approach developed during this dissertation will become part of my routine research workflow rather than an end-stage administrative task.</w:t>
      </w:r>
    </w:p>
    <w:p w14:paraId="1D2F6B36" w14:textId="77777777" w:rsidR="007A50EC" w:rsidRDefault="007A50EC" w:rsidP="006A6784">
      <w:pPr>
        <w:pStyle w:val="SOP"/>
        <w:rPr>
          <w:b/>
          <w:bCs w:val="0"/>
          <w:sz w:val="28"/>
          <w:szCs w:val="28"/>
        </w:rPr>
      </w:pPr>
    </w:p>
    <w:p w14:paraId="5AD4A3CD" w14:textId="71A334D9" w:rsidR="00E8753E" w:rsidRPr="006A6784" w:rsidRDefault="00E8753E" w:rsidP="006A6784">
      <w:pPr>
        <w:pStyle w:val="SOP"/>
        <w:rPr>
          <w:b/>
          <w:bCs w:val="0"/>
          <w:sz w:val="28"/>
          <w:szCs w:val="28"/>
        </w:rPr>
      </w:pPr>
      <w:r w:rsidRPr="006A6784">
        <w:rPr>
          <w:b/>
          <w:bCs w:val="0"/>
          <w:sz w:val="28"/>
          <w:szCs w:val="28"/>
        </w:rPr>
        <w:t>9. Conclusion</w:t>
      </w:r>
    </w:p>
    <w:p w14:paraId="2A9CC485" w14:textId="77777777" w:rsidR="00E8753E" w:rsidRPr="00E8753E" w:rsidRDefault="00E8753E" w:rsidP="006A6784">
      <w:pPr>
        <w:pStyle w:val="SOP"/>
      </w:pPr>
      <w:r w:rsidRPr="00E8753E">
        <w:t>This research journey changed my understanding of research from a process of executing a predefined protocol to an iterative process of questioning, verification and methodological judgement.</w:t>
      </w:r>
    </w:p>
    <w:p w14:paraId="5B2BDC03" w14:textId="77777777" w:rsidR="00E8753E" w:rsidRPr="00E8753E" w:rsidRDefault="00E8753E" w:rsidP="006A6784">
      <w:pPr>
        <w:pStyle w:val="SOP"/>
      </w:pPr>
      <w:r w:rsidRPr="00E8753E">
        <w:t>The original pressure–volume loop project could not be completed to an appropriate standard within the fixed timeframe. Re-scoping the project to 4D-flow CMR-derived left ventricular flow energetics allowed the available data and acquired technical skills to support a complete exploratory analysis.</w:t>
      </w:r>
    </w:p>
    <w:p w14:paraId="3CA433AF" w14:textId="77777777" w:rsidR="00E8753E" w:rsidRPr="00E8753E" w:rsidRDefault="00E8753E" w:rsidP="006A6784">
      <w:pPr>
        <w:pStyle w:val="SOP"/>
      </w:pPr>
      <w:r w:rsidRPr="00E8753E">
        <w:lastRenderedPageBreak/>
        <w:t>My principal learning is that methodological defensibility depends not only on obtaining results but on understanding how those results were produced, what the data can support and what remains uncertain. I will carry this approach into future research through earlier feasibility assessment, explicit measurement validation, verified reference management and more disciplined boundaries around interpretation.</w:t>
      </w:r>
    </w:p>
    <w:p w14:paraId="62C8D56A" w14:textId="77777777" w:rsidR="006A6784" w:rsidRDefault="006A6784" w:rsidP="006A6784">
      <w:pPr>
        <w:pStyle w:val="SOP"/>
      </w:pPr>
    </w:p>
    <w:p w14:paraId="7D1CE605" w14:textId="77777777" w:rsidR="006A6784" w:rsidRDefault="006A6784" w:rsidP="006A6784">
      <w:pPr>
        <w:pStyle w:val="SOP"/>
      </w:pPr>
    </w:p>
    <w:p w14:paraId="227B850D" w14:textId="77777777" w:rsidR="006A6784" w:rsidRDefault="006A6784" w:rsidP="006A6784">
      <w:pPr>
        <w:pStyle w:val="SOP"/>
      </w:pPr>
    </w:p>
    <w:p w14:paraId="025F9D31" w14:textId="77AC1099" w:rsidR="00E8753E" w:rsidRPr="007A50EC" w:rsidRDefault="00E8753E" w:rsidP="006A6784">
      <w:pPr>
        <w:pStyle w:val="SOP"/>
        <w:rPr>
          <w:b/>
          <w:bCs w:val="0"/>
          <w:sz w:val="28"/>
          <w:szCs w:val="28"/>
        </w:rPr>
      </w:pPr>
      <w:r w:rsidRPr="007A50EC">
        <w:rPr>
          <w:b/>
          <w:bCs w:val="0"/>
          <w:sz w:val="28"/>
          <w:szCs w:val="28"/>
        </w:rPr>
        <w:t>References</w:t>
      </w:r>
      <w:r w:rsidR="006A6784" w:rsidRPr="007A50EC">
        <w:rPr>
          <w:b/>
          <w:bCs w:val="0"/>
          <w:sz w:val="28"/>
          <w:szCs w:val="28"/>
        </w:rPr>
        <w:t>:</w:t>
      </w:r>
    </w:p>
    <w:p w14:paraId="0A89CA41" w14:textId="77777777" w:rsidR="007A50EC" w:rsidRPr="007A50EC" w:rsidRDefault="007A50EC" w:rsidP="007A50EC">
      <w:pPr>
        <w:pStyle w:val="Bibliography"/>
        <w:rPr>
          <w:rFonts w:ascii="Times New Roman" w:hAnsi="Times New Roman" w:cs="Times New Roman"/>
          <w:sz w:val="24"/>
          <w:szCs w:val="24"/>
        </w:rPr>
      </w:pPr>
      <w:r w:rsidRPr="007A50EC">
        <w:rPr>
          <w:rFonts w:ascii="Times New Roman" w:hAnsi="Times New Roman" w:cs="Times New Roman"/>
          <w:sz w:val="24"/>
          <w:szCs w:val="24"/>
        </w:rPr>
        <w:fldChar w:fldCharType="begin"/>
      </w:r>
      <w:r w:rsidRPr="007A50EC">
        <w:rPr>
          <w:rFonts w:ascii="Times New Roman" w:hAnsi="Times New Roman" w:cs="Times New Roman"/>
          <w:sz w:val="24"/>
          <w:szCs w:val="24"/>
        </w:rPr>
        <w:instrText xml:space="preserve"> ADDIN ZOTERO_BIBL {"uncited":[],"omitted":[],"custom":[]} CSL_BIBLIOGRAPHY </w:instrText>
      </w:r>
      <w:r w:rsidRPr="007A50EC">
        <w:rPr>
          <w:rFonts w:ascii="Times New Roman" w:hAnsi="Times New Roman" w:cs="Times New Roman"/>
          <w:sz w:val="24"/>
          <w:szCs w:val="24"/>
        </w:rPr>
        <w:fldChar w:fldCharType="separate"/>
      </w:r>
      <w:r w:rsidRPr="007A50EC">
        <w:rPr>
          <w:rFonts w:ascii="Times New Roman" w:hAnsi="Times New Roman" w:cs="Times New Roman"/>
          <w:sz w:val="24"/>
          <w:szCs w:val="24"/>
        </w:rPr>
        <w:t>1.</w:t>
      </w:r>
      <w:r w:rsidRPr="007A50EC">
        <w:rPr>
          <w:rFonts w:ascii="Times New Roman" w:hAnsi="Times New Roman" w:cs="Times New Roman"/>
          <w:sz w:val="24"/>
          <w:szCs w:val="24"/>
        </w:rPr>
        <w:tab/>
        <w:t xml:space="preserve">Garcia J, Barker AJ, </w:t>
      </w:r>
      <w:proofErr w:type="spellStart"/>
      <w:r w:rsidRPr="007A50EC">
        <w:rPr>
          <w:rFonts w:ascii="Times New Roman" w:hAnsi="Times New Roman" w:cs="Times New Roman"/>
          <w:sz w:val="24"/>
          <w:szCs w:val="24"/>
        </w:rPr>
        <w:t>Markl</w:t>
      </w:r>
      <w:proofErr w:type="spellEnd"/>
      <w:r w:rsidRPr="007A50EC">
        <w:rPr>
          <w:rFonts w:ascii="Times New Roman" w:hAnsi="Times New Roman" w:cs="Times New Roman"/>
          <w:sz w:val="24"/>
          <w:szCs w:val="24"/>
        </w:rPr>
        <w:t xml:space="preserve"> M. The Role of Imaging of Flow Patterns by 4D Flow MRI in Aortic Stenosis. JACC Cardiovasc Imaging. 2019 Feb;12(2):252–66. </w:t>
      </w:r>
      <w:proofErr w:type="gramStart"/>
      <w:r w:rsidRPr="007A50EC">
        <w:rPr>
          <w:rFonts w:ascii="Times New Roman" w:hAnsi="Times New Roman" w:cs="Times New Roman"/>
          <w:sz w:val="24"/>
          <w:szCs w:val="24"/>
        </w:rPr>
        <w:t>doi:10.1016/j.jcmg</w:t>
      </w:r>
      <w:proofErr w:type="gramEnd"/>
      <w:r w:rsidRPr="007A50EC">
        <w:rPr>
          <w:rFonts w:ascii="Times New Roman" w:hAnsi="Times New Roman" w:cs="Times New Roman"/>
          <w:sz w:val="24"/>
          <w:szCs w:val="24"/>
        </w:rPr>
        <w:t>.2018.10.034 PubMed PMID: 30732721.</w:t>
      </w:r>
    </w:p>
    <w:p w14:paraId="6320E538" w14:textId="77777777" w:rsidR="007A50EC" w:rsidRPr="007A50EC" w:rsidRDefault="007A50EC" w:rsidP="007A50EC">
      <w:pPr>
        <w:pStyle w:val="Bibliography"/>
        <w:rPr>
          <w:rFonts w:ascii="Times New Roman" w:hAnsi="Times New Roman" w:cs="Times New Roman"/>
          <w:sz w:val="24"/>
          <w:szCs w:val="24"/>
        </w:rPr>
      </w:pPr>
      <w:r w:rsidRPr="007A50EC">
        <w:rPr>
          <w:rFonts w:ascii="Times New Roman" w:hAnsi="Times New Roman" w:cs="Times New Roman"/>
          <w:sz w:val="24"/>
          <w:szCs w:val="24"/>
        </w:rPr>
        <w:t>2.</w:t>
      </w:r>
      <w:r w:rsidRPr="007A50EC">
        <w:rPr>
          <w:rFonts w:ascii="Times New Roman" w:hAnsi="Times New Roman" w:cs="Times New Roman"/>
          <w:sz w:val="24"/>
          <w:szCs w:val="24"/>
        </w:rPr>
        <w:tab/>
      </w:r>
      <w:proofErr w:type="spellStart"/>
      <w:r w:rsidRPr="007A50EC">
        <w:rPr>
          <w:rFonts w:ascii="Times New Roman" w:hAnsi="Times New Roman" w:cs="Times New Roman"/>
          <w:sz w:val="24"/>
          <w:szCs w:val="24"/>
        </w:rPr>
        <w:t>Dyverfeldt</w:t>
      </w:r>
      <w:proofErr w:type="spellEnd"/>
      <w:r w:rsidRPr="007A50EC">
        <w:rPr>
          <w:rFonts w:ascii="Times New Roman" w:hAnsi="Times New Roman" w:cs="Times New Roman"/>
          <w:sz w:val="24"/>
          <w:szCs w:val="24"/>
        </w:rPr>
        <w:t xml:space="preserve"> P, Bissell M, Barker AJ, Bolger AF, </w:t>
      </w:r>
      <w:proofErr w:type="spellStart"/>
      <w:r w:rsidRPr="007A50EC">
        <w:rPr>
          <w:rFonts w:ascii="Times New Roman" w:hAnsi="Times New Roman" w:cs="Times New Roman"/>
          <w:sz w:val="24"/>
          <w:szCs w:val="24"/>
        </w:rPr>
        <w:t>Carlhäll</w:t>
      </w:r>
      <w:proofErr w:type="spellEnd"/>
      <w:r w:rsidRPr="007A50EC">
        <w:rPr>
          <w:rFonts w:ascii="Times New Roman" w:hAnsi="Times New Roman" w:cs="Times New Roman"/>
          <w:sz w:val="24"/>
          <w:szCs w:val="24"/>
        </w:rPr>
        <w:t xml:space="preserve"> CJ, Ebbers T, et al. 4D flow cardiovascular magnetic resonance consensus statement. J Cardiovasc </w:t>
      </w:r>
      <w:proofErr w:type="spellStart"/>
      <w:r w:rsidRPr="007A50EC">
        <w:rPr>
          <w:rFonts w:ascii="Times New Roman" w:hAnsi="Times New Roman" w:cs="Times New Roman"/>
          <w:sz w:val="24"/>
          <w:szCs w:val="24"/>
        </w:rPr>
        <w:t>Magn</w:t>
      </w:r>
      <w:proofErr w:type="spellEnd"/>
      <w:r w:rsidRPr="007A50EC">
        <w:rPr>
          <w:rFonts w:ascii="Times New Roman" w:hAnsi="Times New Roman" w:cs="Times New Roman"/>
          <w:sz w:val="24"/>
          <w:szCs w:val="24"/>
        </w:rPr>
        <w:t xml:space="preserve"> </w:t>
      </w:r>
      <w:proofErr w:type="spellStart"/>
      <w:r w:rsidRPr="007A50EC">
        <w:rPr>
          <w:rFonts w:ascii="Times New Roman" w:hAnsi="Times New Roman" w:cs="Times New Roman"/>
          <w:sz w:val="24"/>
          <w:szCs w:val="24"/>
        </w:rPr>
        <w:t>Reson</w:t>
      </w:r>
      <w:proofErr w:type="spellEnd"/>
      <w:r w:rsidRPr="007A50EC">
        <w:rPr>
          <w:rFonts w:ascii="Times New Roman" w:hAnsi="Times New Roman" w:cs="Times New Roman"/>
          <w:sz w:val="24"/>
          <w:szCs w:val="24"/>
        </w:rPr>
        <w:t>. 2015 Aug 10;17(1):72. doi:10.1186/s12968-015-0174-5 PubMed PMID: 26257141; PubMed Central PMCID: PMC4530492.</w:t>
      </w:r>
    </w:p>
    <w:p w14:paraId="00068BBC" w14:textId="77777777" w:rsidR="007A50EC" w:rsidRPr="007A50EC" w:rsidRDefault="007A50EC" w:rsidP="007A50EC">
      <w:pPr>
        <w:pStyle w:val="Bibliography"/>
        <w:rPr>
          <w:rFonts w:ascii="Times New Roman" w:hAnsi="Times New Roman" w:cs="Times New Roman"/>
          <w:sz w:val="24"/>
          <w:szCs w:val="24"/>
        </w:rPr>
      </w:pPr>
      <w:r w:rsidRPr="007A50EC">
        <w:rPr>
          <w:rFonts w:ascii="Times New Roman" w:hAnsi="Times New Roman" w:cs="Times New Roman"/>
          <w:sz w:val="24"/>
          <w:szCs w:val="24"/>
        </w:rPr>
        <w:t>3.</w:t>
      </w:r>
      <w:r w:rsidRPr="007A50EC">
        <w:rPr>
          <w:rFonts w:ascii="Times New Roman" w:hAnsi="Times New Roman" w:cs="Times New Roman"/>
          <w:sz w:val="24"/>
          <w:szCs w:val="24"/>
        </w:rPr>
        <w:tab/>
        <w:t xml:space="preserve">Kamphuis VP, Westenberg JJM, van der </w:t>
      </w:r>
      <w:proofErr w:type="spellStart"/>
      <w:r w:rsidRPr="007A50EC">
        <w:rPr>
          <w:rFonts w:ascii="Times New Roman" w:hAnsi="Times New Roman" w:cs="Times New Roman"/>
          <w:sz w:val="24"/>
          <w:szCs w:val="24"/>
        </w:rPr>
        <w:t>Palen</w:t>
      </w:r>
      <w:proofErr w:type="spellEnd"/>
      <w:r w:rsidRPr="007A50EC">
        <w:rPr>
          <w:rFonts w:ascii="Times New Roman" w:hAnsi="Times New Roman" w:cs="Times New Roman"/>
          <w:sz w:val="24"/>
          <w:szCs w:val="24"/>
        </w:rPr>
        <w:t xml:space="preserve"> RLF, van den Boogaard PJ, van der </w:t>
      </w:r>
      <w:proofErr w:type="spellStart"/>
      <w:r w:rsidRPr="007A50EC">
        <w:rPr>
          <w:rFonts w:ascii="Times New Roman" w:hAnsi="Times New Roman" w:cs="Times New Roman"/>
          <w:sz w:val="24"/>
          <w:szCs w:val="24"/>
        </w:rPr>
        <w:t>Geest</w:t>
      </w:r>
      <w:proofErr w:type="spellEnd"/>
      <w:r w:rsidRPr="007A50EC">
        <w:rPr>
          <w:rFonts w:ascii="Times New Roman" w:hAnsi="Times New Roman" w:cs="Times New Roman"/>
          <w:sz w:val="24"/>
          <w:szCs w:val="24"/>
        </w:rPr>
        <w:t xml:space="preserve"> RJ, de </w:t>
      </w:r>
      <w:proofErr w:type="spellStart"/>
      <w:r w:rsidRPr="007A50EC">
        <w:rPr>
          <w:rFonts w:ascii="Times New Roman" w:hAnsi="Times New Roman" w:cs="Times New Roman"/>
          <w:sz w:val="24"/>
          <w:szCs w:val="24"/>
        </w:rPr>
        <w:t>Roos</w:t>
      </w:r>
      <w:proofErr w:type="spellEnd"/>
      <w:r w:rsidRPr="007A50EC">
        <w:rPr>
          <w:rFonts w:ascii="Times New Roman" w:hAnsi="Times New Roman" w:cs="Times New Roman"/>
          <w:sz w:val="24"/>
          <w:szCs w:val="24"/>
        </w:rPr>
        <w:t xml:space="preserve"> A, et al. Scan-rescan reproducibility of diastolic left ventricular kinetic energy, viscous energy loss and vorticity assessment using 4D flow MRI: analysis in healthy subjects. Int J Cardiovasc Imaging. 2018 Jun;34(6):905–20. doi:10.1007/s10554-017-1291-z PubMed PMID: 29305740.</w:t>
      </w:r>
    </w:p>
    <w:p w14:paraId="162B5E7A" w14:textId="77777777" w:rsidR="007A50EC" w:rsidRPr="007A50EC" w:rsidRDefault="007A50EC" w:rsidP="007A50EC">
      <w:pPr>
        <w:pStyle w:val="Bibliography"/>
        <w:rPr>
          <w:rFonts w:ascii="Times New Roman" w:hAnsi="Times New Roman" w:cs="Times New Roman"/>
          <w:sz w:val="24"/>
          <w:szCs w:val="24"/>
        </w:rPr>
      </w:pPr>
      <w:r w:rsidRPr="007A50EC">
        <w:rPr>
          <w:rFonts w:ascii="Times New Roman" w:hAnsi="Times New Roman" w:cs="Times New Roman"/>
          <w:sz w:val="24"/>
          <w:szCs w:val="24"/>
        </w:rPr>
        <w:t>4.</w:t>
      </w:r>
      <w:r w:rsidRPr="007A50EC">
        <w:rPr>
          <w:rFonts w:ascii="Times New Roman" w:hAnsi="Times New Roman" w:cs="Times New Roman"/>
          <w:sz w:val="24"/>
          <w:szCs w:val="24"/>
        </w:rPr>
        <w:tab/>
        <w:t xml:space="preserve">Kamphuis VP, </w:t>
      </w:r>
      <w:proofErr w:type="spellStart"/>
      <w:r w:rsidRPr="007A50EC">
        <w:rPr>
          <w:rFonts w:ascii="Times New Roman" w:hAnsi="Times New Roman" w:cs="Times New Roman"/>
          <w:sz w:val="24"/>
          <w:szCs w:val="24"/>
        </w:rPr>
        <w:t>Roest</w:t>
      </w:r>
      <w:proofErr w:type="spellEnd"/>
      <w:r w:rsidRPr="007A50EC">
        <w:rPr>
          <w:rFonts w:ascii="Times New Roman" w:hAnsi="Times New Roman" w:cs="Times New Roman"/>
          <w:sz w:val="24"/>
          <w:szCs w:val="24"/>
        </w:rPr>
        <w:t xml:space="preserve"> AAW, van den Boogaard PJ, Kroft LJM, Lamb HJ, Helbing WA, et al. Hemodynamic interplay of vorticity, viscous energy loss, and kinetic energy from 4D Flow MRI and link to cardiac function in healthy subjects and Fontan patients. Am J </w:t>
      </w:r>
      <w:proofErr w:type="spellStart"/>
      <w:r w:rsidRPr="007A50EC">
        <w:rPr>
          <w:rFonts w:ascii="Times New Roman" w:hAnsi="Times New Roman" w:cs="Times New Roman"/>
          <w:sz w:val="24"/>
          <w:szCs w:val="24"/>
        </w:rPr>
        <w:t>Physiol</w:t>
      </w:r>
      <w:proofErr w:type="spellEnd"/>
      <w:r w:rsidRPr="007A50EC">
        <w:rPr>
          <w:rFonts w:ascii="Times New Roman" w:hAnsi="Times New Roman" w:cs="Times New Roman"/>
          <w:sz w:val="24"/>
          <w:szCs w:val="24"/>
        </w:rPr>
        <w:t xml:space="preserve"> Heart </w:t>
      </w:r>
      <w:proofErr w:type="spellStart"/>
      <w:r w:rsidRPr="007A50EC">
        <w:rPr>
          <w:rFonts w:ascii="Times New Roman" w:hAnsi="Times New Roman" w:cs="Times New Roman"/>
          <w:sz w:val="24"/>
          <w:szCs w:val="24"/>
        </w:rPr>
        <w:t>Circ</w:t>
      </w:r>
      <w:proofErr w:type="spellEnd"/>
      <w:r w:rsidRPr="007A50EC">
        <w:rPr>
          <w:rFonts w:ascii="Times New Roman" w:hAnsi="Times New Roman" w:cs="Times New Roman"/>
          <w:sz w:val="24"/>
          <w:szCs w:val="24"/>
        </w:rPr>
        <w:t xml:space="preserve"> Physiol. 2021 Apr 1;320(4):H1687–98. doi:10.1152/ajpheart.00806.2020 PubMed PMID: 33635164.</w:t>
      </w:r>
    </w:p>
    <w:p w14:paraId="36A583ED" w14:textId="011D6517" w:rsidR="006A6784" w:rsidRPr="00E8753E" w:rsidRDefault="007A50EC" w:rsidP="006A6784">
      <w:pPr>
        <w:pStyle w:val="SOP"/>
      </w:pPr>
      <w:r w:rsidRPr="007A50EC">
        <w:fldChar w:fldCharType="end"/>
      </w:r>
    </w:p>
    <w:p w14:paraId="5D0DA22A" w14:textId="3ECA1541" w:rsidR="00635BCE" w:rsidRPr="00635BCE" w:rsidRDefault="00635BCE" w:rsidP="006A6784">
      <w:pPr>
        <w:pStyle w:val="SOP"/>
      </w:pPr>
    </w:p>
    <w:sectPr w:rsidR="00635BCE" w:rsidRPr="00635B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94889"/>
    <w:multiLevelType w:val="multilevel"/>
    <w:tmpl w:val="CCF8C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0B5012"/>
    <w:multiLevelType w:val="multilevel"/>
    <w:tmpl w:val="F5DC7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E746C0"/>
    <w:multiLevelType w:val="multilevel"/>
    <w:tmpl w:val="E3A27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AB4E4B"/>
    <w:multiLevelType w:val="multilevel"/>
    <w:tmpl w:val="90E2C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A36359"/>
    <w:multiLevelType w:val="multilevel"/>
    <w:tmpl w:val="51384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F237B0"/>
    <w:multiLevelType w:val="multilevel"/>
    <w:tmpl w:val="1DC6A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890CC6"/>
    <w:multiLevelType w:val="multilevel"/>
    <w:tmpl w:val="6C709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89023E"/>
    <w:multiLevelType w:val="multilevel"/>
    <w:tmpl w:val="752CA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065786"/>
    <w:multiLevelType w:val="multilevel"/>
    <w:tmpl w:val="CB120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844793">
    <w:abstractNumId w:val="1"/>
  </w:num>
  <w:num w:numId="2" w16cid:durableId="1657222655">
    <w:abstractNumId w:val="7"/>
  </w:num>
  <w:num w:numId="3" w16cid:durableId="1135559238">
    <w:abstractNumId w:val="8"/>
  </w:num>
  <w:num w:numId="4" w16cid:durableId="1315571912">
    <w:abstractNumId w:val="4"/>
  </w:num>
  <w:num w:numId="5" w16cid:durableId="1172454954">
    <w:abstractNumId w:val="0"/>
  </w:num>
  <w:num w:numId="6" w16cid:durableId="1883666405">
    <w:abstractNumId w:val="3"/>
  </w:num>
  <w:num w:numId="7" w16cid:durableId="2109427984">
    <w:abstractNumId w:val="5"/>
  </w:num>
  <w:num w:numId="8" w16cid:durableId="834150044">
    <w:abstractNumId w:val="2"/>
  </w:num>
  <w:num w:numId="9" w16cid:durableId="11544482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625"/>
    <w:rsid w:val="00143547"/>
    <w:rsid w:val="003E7949"/>
    <w:rsid w:val="0056793A"/>
    <w:rsid w:val="00635BCE"/>
    <w:rsid w:val="006A6784"/>
    <w:rsid w:val="00754ECE"/>
    <w:rsid w:val="007A50EC"/>
    <w:rsid w:val="008B2E56"/>
    <w:rsid w:val="00A879A5"/>
    <w:rsid w:val="00B76EFA"/>
    <w:rsid w:val="00C94625"/>
    <w:rsid w:val="00DF69BD"/>
    <w:rsid w:val="00E8753E"/>
    <w:rsid w:val="00F765C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7388F"/>
  <w15:chartTrackingRefBased/>
  <w15:docId w15:val="{A9E26A12-EC0E-4046-A74E-C190CD077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946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6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6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6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6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62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C9462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C9462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C9462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C9462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C9462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9462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9462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9462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94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62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946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62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94625"/>
    <w:pPr>
      <w:spacing w:before="160"/>
      <w:jc w:val="center"/>
    </w:pPr>
    <w:rPr>
      <w:i/>
      <w:iCs/>
      <w:color w:val="404040" w:themeColor="text1" w:themeTint="BF"/>
    </w:rPr>
  </w:style>
  <w:style w:type="character" w:customStyle="1" w:styleId="QuoteChar">
    <w:name w:val="Quote Char"/>
    <w:basedOn w:val="DefaultParagraphFont"/>
    <w:link w:val="Quote"/>
    <w:uiPriority w:val="29"/>
    <w:rsid w:val="00C94625"/>
    <w:rPr>
      <w:i/>
      <w:iCs/>
      <w:color w:val="404040" w:themeColor="text1" w:themeTint="BF"/>
      <w:lang w:val="en-GB"/>
    </w:rPr>
  </w:style>
  <w:style w:type="paragraph" w:styleId="ListParagraph">
    <w:name w:val="List Paragraph"/>
    <w:basedOn w:val="Normal"/>
    <w:uiPriority w:val="34"/>
    <w:qFormat/>
    <w:rsid w:val="00C94625"/>
    <w:pPr>
      <w:ind w:left="720"/>
      <w:contextualSpacing/>
    </w:pPr>
  </w:style>
  <w:style w:type="character" w:styleId="IntenseEmphasis">
    <w:name w:val="Intense Emphasis"/>
    <w:basedOn w:val="DefaultParagraphFont"/>
    <w:uiPriority w:val="21"/>
    <w:qFormat/>
    <w:rsid w:val="00C94625"/>
    <w:rPr>
      <w:i/>
      <w:iCs/>
      <w:color w:val="0F4761" w:themeColor="accent1" w:themeShade="BF"/>
    </w:rPr>
  </w:style>
  <w:style w:type="paragraph" w:styleId="IntenseQuote">
    <w:name w:val="Intense Quote"/>
    <w:basedOn w:val="Normal"/>
    <w:next w:val="Normal"/>
    <w:link w:val="IntenseQuoteChar"/>
    <w:uiPriority w:val="30"/>
    <w:qFormat/>
    <w:rsid w:val="00C946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625"/>
    <w:rPr>
      <w:i/>
      <w:iCs/>
      <w:color w:val="0F4761" w:themeColor="accent1" w:themeShade="BF"/>
      <w:lang w:val="en-GB"/>
    </w:rPr>
  </w:style>
  <w:style w:type="character" w:styleId="IntenseReference">
    <w:name w:val="Intense Reference"/>
    <w:basedOn w:val="DefaultParagraphFont"/>
    <w:uiPriority w:val="32"/>
    <w:qFormat/>
    <w:rsid w:val="00C94625"/>
    <w:rPr>
      <w:b/>
      <w:bCs/>
      <w:smallCaps/>
      <w:color w:val="0F4761" w:themeColor="accent1" w:themeShade="BF"/>
      <w:spacing w:val="5"/>
    </w:rPr>
  </w:style>
  <w:style w:type="paragraph" w:customStyle="1" w:styleId="SOP">
    <w:name w:val="SOP"/>
    <w:basedOn w:val="Normal"/>
    <w:link w:val="SOPChar"/>
    <w:qFormat/>
    <w:rsid w:val="006A6784"/>
    <w:pPr>
      <w:spacing w:after="0" w:line="480" w:lineRule="auto"/>
      <w:jc w:val="both"/>
    </w:pPr>
    <w:rPr>
      <w:rFonts w:ascii="Times New Roman" w:hAnsi="Times New Roman" w:cs="Times New Roman"/>
      <w:bCs/>
      <w:color w:val="000000" w:themeColor="text1"/>
      <w:sz w:val="24"/>
      <w:szCs w:val="24"/>
      <w:lang w:val="en-US"/>
    </w:rPr>
  </w:style>
  <w:style w:type="character" w:customStyle="1" w:styleId="SOPChar">
    <w:name w:val="SOP Char"/>
    <w:basedOn w:val="DefaultParagraphFont"/>
    <w:link w:val="SOP"/>
    <w:rsid w:val="006A6784"/>
    <w:rPr>
      <w:rFonts w:ascii="Times New Roman" w:hAnsi="Times New Roman" w:cs="Times New Roman"/>
      <w:bCs/>
      <w:color w:val="000000" w:themeColor="text1"/>
      <w:sz w:val="24"/>
      <w:szCs w:val="24"/>
    </w:rPr>
  </w:style>
  <w:style w:type="paragraph" w:styleId="Bibliography">
    <w:name w:val="Bibliography"/>
    <w:basedOn w:val="Normal"/>
    <w:next w:val="Normal"/>
    <w:uiPriority w:val="37"/>
    <w:unhideWhenUsed/>
    <w:rsid w:val="007A50EC"/>
    <w:pPr>
      <w:tabs>
        <w:tab w:val="left" w:pos="264"/>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662186">
      <w:bodyDiv w:val="1"/>
      <w:marLeft w:val="0"/>
      <w:marRight w:val="0"/>
      <w:marTop w:val="0"/>
      <w:marBottom w:val="0"/>
      <w:divBdr>
        <w:top w:val="none" w:sz="0" w:space="0" w:color="auto"/>
        <w:left w:val="none" w:sz="0" w:space="0" w:color="auto"/>
        <w:bottom w:val="none" w:sz="0" w:space="0" w:color="auto"/>
        <w:right w:val="none" w:sz="0" w:space="0" w:color="auto"/>
      </w:divBdr>
    </w:div>
    <w:div w:id="467744525">
      <w:bodyDiv w:val="1"/>
      <w:marLeft w:val="0"/>
      <w:marRight w:val="0"/>
      <w:marTop w:val="0"/>
      <w:marBottom w:val="0"/>
      <w:divBdr>
        <w:top w:val="none" w:sz="0" w:space="0" w:color="auto"/>
        <w:left w:val="none" w:sz="0" w:space="0" w:color="auto"/>
        <w:bottom w:val="none" w:sz="0" w:space="0" w:color="auto"/>
        <w:right w:val="none" w:sz="0" w:space="0" w:color="auto"/>
      </w:divBdr>
      <w:divsChild>
        <w:div w:id="40399161">
          <w:blockQuote w:val="1"/>
          <w:marLeft w:val="720"/>
          <w:marRight w:val="720"/>
          <w:marTop w:val="100"/>
          <w:marBottom w:val="100"/>
          <w:divBdr>
            <w:top w:val="none" w:sz="0" w:space="0" w:color="auto"/>
            <w:left w:val="none" w:sz="0" w:space="0" w:color="auto"/>
            <w:bottom w:val="none" w:sz="0" w:space="0" w:color="auto"/>
            <w:right w:val="none" w:sz="0" w:space="0" w:color="auto"/>
          </w:divBdr>
        </w:div>
        <w:div w:id="86143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489819">
      <w:bodyDiv w:val="1"/>
      <w:marLeft w:val="0"/>
      <w:marRight w:val="0"/>
      <w:marTop w:val="0"/>
      <w:marBottom w:val="0"/>
      <w:divBdr>
        <w:top w:val="none" w:sz="0" w:space="0" w:color="auto"/>
        <w:left w:val="none" w:sz="0" w:space="0" w:color="auto"/>
        <w:bottom w:val="none" w:sz="0" w:space="0" w:color="auto"/>
        <w:right w:val="none" w:sz="0" w:space="0" w:color="auto"/>
      </w:divBdr>
    </w:div>
    <w:div w:id="675772344">
      <w:bodyDiv w:val="1"/>
      <w:marLeft w:val="0"/>
      <w:marRight w:val="0"/>
      <w:marTop w:val="0"/>
      <w:marBottom w:val="0"/>
      <w:divBdr>
        <w:top w:val="none" w:sz="0" w:space="0" w:color="auto"/>
        <w:left w:val="none" w:sz="0" w:space="0" w:color="auto"/>
        <w:bottom w:val="none" w:sz="0" w:space="0" w:color="auto"/>
        <w:right w:val="none" w:sz="0" w:space="0" w:color="auto"/>
      </w:divBdr>
    </w:div>
    <w:div w:id="758797231">
      <w:bodyDiv w:val="1"/>
      <w:marLeft w:val="0"/>
      <w:marRight w:val="0"/>
      <w:marTop w:val="0"/>
      <w:marBottom w:val="0"/>
      <w:divBdr>
        <w:top w:val="none" w:sz="0" w:space="0" w:color="auto"/>
        <w:left w:val="none" w:sz="0" w:space="0" w:color="auto"/>
        <w:bottom w:val="none" w:sz="0" w:space="0" w:color="auto"/>
        <w:right w:val="none" w:sz="0" w:space="0" w:color="auto"/>
      </w:divBdr>
    </w:div>
    <w:div w:id="782265786">
      <w:bodyDiv w:val="1"/>
      <w:marLeft w:val="0"/>
      <w:marRight w:val="0"/>
      <w:marTop w:val="0"/>
      <w:marBottom w:val="0"/>
      <w:divBdr>
        <w:top w:val="none" w:sz="0" w:space="0" w:color="auto"/>
        <w:left w:val="none" w:sz="0" w:space="0" w:color="auto"/>
        <w:bottom w:val="none" w:sz="0" w:space="0" w:color="auto"/>
        <w:right w:val="none" w:sz="0" w:space="0" w:color="auto"/>
      </w:divBdr>
    </w:div>
    <w:div w:id="1113094906">
      <w:bodyDiv w:val="1"/>
      <w:marLeft w:val="0"/>
      <w:marRight w:val="0"/>
      <w:marTop w:val="0"/>
      <w:marBottom w:val="0"/>
      <w:divBdr>
        <w:top w:val="none" w:sz="0" w:space="0" w:color="auto"/>
        <w:left w:val="none" w:sz="0" w:space="0" w:color="auto"/>
        <w:bottom w:val="none" w:sz="0" w:space="0" w:color="auto"/>
        <w:right w:val="none" w:sz="0" w:space="0" w:color="auto"/>
      </w:divBdr>
      <w:divsChild>
        <w:div w:id="1501119964">
          <w:blockQuote w:val="1"/>
          <w:marLeft w:val="720"/>
          <w:marRight w:val="720"/>
          <w:marTop w:val="100"/>
          <w:marBottom w:val="100"/>
          <w:divBdr>
            <w:top w:val="none" w:sz="0" w:space="0" w:color="auto"/>
            <w:left w:val="none" w:sz="0" w:space="0" w:color="auto"/>
            <w:bottom w:val="none" w:sz="0" w:space="0" w:color="auto"/>
            <w:right w:val="none" w:sz="0" w:space="0" w:color="auto"/>
          </w:divBdr>
        </w:div>
        <w:div w:id="626203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6896274">
      <w:bodyDiv w:val="1"/>
      <w:marLeft w:val="0"/>
      <w:marRight w:val="0"/>
      <w:marTop w:val="0"/>
      <w:marBottom w:val="0"/>
      <w:divBdr>
        <w:top w:val="none" w:sz="0" w:space="0" w:color="auto"/>
        <w:left w:val="none" w:sz="0" w:space="0" w:color="auto"/>
        <w:bottom w:val="none" w:sz="0" w:space="0" w:color="auto"/>
        <w:right w:val="none" w:sz="0" w:space="0" w:color="auto"/>
      </w:divBdr>
    </w:div>
    <w:div w:id="1516532333">
      <w:bodyDiv w:val="1"/>
      <w:marLeft w:val="0"/>
      <w:marRight w:val="0"/>
      <w:marTop w:val="0"/>
      <w:marBottom w:val="0"/>
      <w:divBdr>
        <w:top w:val="none" w:sz="0" w:space="0" w:color="auto"/>
        <w:left w:val="none" w:sz="0" w:space="0" w:color="auto"/>
        <w:bottom w:val="none" w:sz="0" w:space="0" w:color="auto"/>
        <w:right w:val="none" w:sz="0" w:space="0" w:color="auto"/>
      </w:divBdr>
    </w:div>
    <w:div w:id="1605335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9</Pages>
  <Words>4205</Words>
  <Characters>23971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Moied Hossen</dc:creator>
  <cp:keywords/>
  <dc:description/>
  <cp:lastModifiedBy>Md Moied Hossen</cp:lastModifiedBy>
  <cp:revision>6</cp:revision>
  <dcterms:created xsi:type="dcterms:W3CDTF">2026-08-25T21:30:00Z</dcterms:created>
  <dcterms:modified xsi:type="dcterms:W3CDTF">2026-08-26T01:04:00Z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id="LBmVxo3a"/&gt;&lt;style id="http://www.zotero.org/styles/nlm-citation-sequence-superscript" locale="en-GB" hasBibliography="1" bibliographyStyleHasBeenSet="1"/&gt;&lt;prefs&gt;&lt;pref name="fieldType" value="Field</vt:lpwstr>
  </property>
  <property fmtid="{D5CDD505-2E9C-101B-9397-08002B2CF9AE}" pid="3" name="ZOTERO_PREF_2">
    <vt:lpwstr>"/&gt;&lt;/prefs&gt;&lt;/data&gt;</vt:lpwstr>
  </property>
</Properties>
</file>