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F1A4D"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 Methods</w:t>
      </w:r>
    </w:p>
    <w:p w14:paraId="43C0A9D4"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2.1 Study design and setting</w:t>
      </w:r>
    </w:p>
    <w:p w14:paraId="51400A26"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This was an exploratory retrospective comparative analysis of existing cardiovascular magnetic resonance (CMR) data comprising five participants with aortic stenosis (AS) and five control participants. The analysis was undertaken at Norfolk and Norwich University Hospital (NNUH), Norwich, UK, using pre-existing datasets from the PREFER-CMR registry. The registry contains both AS and control arms, as confirmed by the supervisory research team. The five AS datasets analysed in the present study formed part of the AS cohort reported in the published PREFER-CMR study,¹ whereas the control datasets analysed here have not been reported in a published study.</w:t>
      </w:r>
    </w:p>
    <w:p w14:paraId="20D22F5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published PREFER-CMR study reported 30 participants with AS.¹ Ten control datasets were available from the registry, of which five were analysed in the present study. The precise historical mechanism by which the analysed datasets were selected from the available datasets could not be independently established from the records available to the researcher and was therefore not described as random, consecutive or formally matched. The reduction to five participants per group reflected the practical constraints associated with CMR contouring, quality control and 4D-flow analysis within the dissertation timeframe.</w:t>
      </w:r>
    </w:p>
    <w:p w14:paraId="3A7001A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present analysis focused on left ventricular (LV) blood-flow energetics derived from four-dimensional flow CMR (4D-flow CMR), specifically kinetic energy (KE), vorticity and energy loss. The published PREFER-CMR study investigated 4D-flow CMR-derived aortic haemodynamic measures in AS; the present study used the existing registry datasets for a secondary analysis of LV flow-energetic parameters.¹</w:t>
      </w:r>
    </w:p>
    <w:p w14:paraId="75FBB7E8"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Non-invasive pressure-volume (PV) loop reconstruction formed part of the original research proposal but was not completed within the dissertation timeframe. Consequently, PV-loop-derived stroke work, pressure-volume area (PVA) and myocardial efficiency were not included among the completed analyses.</w:t>
      </w:r>
    </w:p>
    <w:p w14:paraId="54CB3C7C"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study was single-centre, as both analysed groups were derived from the PREFER-CMR registry at NNUH.</w:t>
      </w:r>
    </w:p>
    <w:p w14:paraId="13DC4EF8"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2.2 Study population</w:t>
      </w:r>
    </w:p>
    <w:p w14:paraId="05CE457B"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2.2.1 Aortic stenosis cohort</w:t>
      </w:r>
    </w:p>
    <w:p w14:paraId="554C3ACD"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published PREFER-CMR study included adults with AS diagnosed by transthoracic echocardiography (TTE). Participants with contraindications to CMR, including incompatible implanted defibrillators, claustrophobia and estimated glomerular filtration rate &lt;30 mL/min/1.73 m², were excluded. Participants who had undergone previous surgical or transcatheter aortic-valve intervention were also excluded. Atrial fibrillation (AF) was not an exclusion criterion.¹</w:t>
      </w:r>
    </w:p>
    <w:p w14:paraId="6878B05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Five AS datasets were included in the present analysis. The datasets were selected from the available PREFER-CMR AS dataset within the practical constraints of the dissertation. AS </w:t>
      </w:r>
      <w:r w:rsidRPr="00B225BD">
        <w:rPr>
          <w:rFonts w:ascii="Times New Roman" w:hAnsi="Times New Roman" w:cs="Times New Roman"/>
          <w:sz w:val="24"/>
          <w:szCs w:val="24"/>
          <w:lang w:val="en-US"/>
        </w:rPr>
        <w:lastRenderedPageBreak/>
        <w:t>severity was not used as an eligibility criterion or for selection or stratification in the present analysis. The selection process may therefore represent a potential source of selection bias.</w:t>
      </w:r>
    </w:p>
    <w:p w14:paraId="79132DE9"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Baseline demographic and clinical characteristics for the AS participants were obtained from the available PREFER-CMR clinical dataset.</w:t>
      </w:r>
    </w:p>
    <w:p w14:paraId="6FD53815"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No independent echocardiographic or CMR reassessment of AS severity was undertaken as part of the present analysis. Severity-related variables reported in the Results were obtained from the available PREFER-CMR clinical dataset. These included CMR-derived peak aortic velocity, echocardiographic peak aortic velocity, mean transvalvular pressure gradient and aortic valve area (AVA). AVA was taken from the AVA_VTI field in the source dataset. Because the timing of echocardiographic and CMR examinations was not identical for all participants, these measurements were not treated as contemporaneous measurements for formal reassessment of AS severity.</w:t>
      </w:r>
    </w:p>
    <w:p w14:paraId="61D561F5"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analysed cohort included participants with documented concomitant valvular abnormalities. Aortic regurgitation (AR) was recorded descriptively from the available PREFER-CMR clinical dataset; among the five analysed participants, AR was nil in two and mild in three, with no mild-to-moderate AR recorded. Concomitant valve disease was therefore retained as a clinical characteristic rather than used as an exclusion criterion.</w:t>
      </w:r>
    </w:p>
    <w:p w14:paraId="521BD63C"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2.2.2 Control cohort</w:t>
      </w:r>
    </w:p>
    <w:p w14:paraId="10F69AA9"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Ten pre-existing control datasets from the PREFER-CMR registry were available to the research team, as confirmed by the supervisory research team. Five control datasets were analysed in the present study. The control participants were not prospectively recruited specifically for this dissertation.</w:t>
      </w:r>
    </w:p>
    <w:p w14:paraId="5F97F738"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control datasets represented the registry control arm rather than a separately recruited healthy-volunteer cohort. The control participants had undergone CMR as part of the registry framework and therefore did not have an absolute contraindication to undergoing CMR.</w:t>
      </w:r>
    </w:p>
    <w:p w14:paraId="63F41787"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Available baseline information included age, sex, height, weight, body mass index (BMI), New York Heart Association (NYHA) functional class, breathlessness, oedema, hypertension, diabetes mellitus, AF, ischaemic heart disease (IHD), chronic obstructive pulmonary disease (COPD) and smoking status. Three of the five controls were recorded as NYHA functional class I and two as class II. Two controls had documented AF and two had documented oedema. One control was recorded as a current smoker and one as an ex-smoker. These observations indicate that absence of symptoms, AF, oedema or smoking was not a defining requirement for the analysed control group. Hypertension, diabetes mellitus, IHD and COPD were absent in the five analysed controls; these observed characteristics were not interpreted as evidence of formal exclusion criteria.</w:t>
      </w:r>
    </w:p>
    <w:p w14:paraId="26377D5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The control cohort was not assumed to represent a uniformly healthy volunteer population. The operational criteria by which absence of AS was originally established for the registry control arm could not be independently verified from the records available to the researcher. No independent echocardiographic or CMR reassessment of AS status was undertaken as part of the </w:t>
      </w:r>
      <w:r w:rsidRPr="00B225BD">
        <w:rPr>
          <w:rFonts w:ascii="Times New Roman" w:hAnsi="Times New Roman" w:cs="Times New Roman"/>
          <w:sz w:val="24"/>
          <w:szCs w:val="24"/>
          <w:lang w:val="en-US"/>
        </w:rPr>
        <w:lastRenderedPageBreak/>
        <w:t>present analysis. No valve-related measurements were available for the control datasets in the source data, including CMR-derived peak aortic velocity, echocardiographic peak aortic velocity, mean transvalvular gradient, AVA or AR status.</w:t>
      </w:r>
    </w:p>
    <w:p w14:paraId="39D16B7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Smoking status was reported according to the information available in the source datasets. The control dataset distinguished current smoking, ex-smoking and never-smoking, whereas the AS source variable was recorded as a binary field; these variables were therefore reported descriptively rather than assumed to represent identical definitions across groups.</w:t>
      </w:r>
    </w:p>
    <w:p w14:paraId="3215B3A4"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2.2.3 Dataset requirements and shared CMR-derived measures</w:t>
      </w:r>
    </w:p>
    <w:p w14:paraId="05995F8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For inclusion in the present flow-energetic analysis, the selected datasets had to contain an available 4D-flow CMR acquisition covering the LV and cine imaging adequate for LV endocardial contouring. The datasets also required sufficient image quality for contour review and extraction of the predefined flow-energetic measurements. The three flow-energetic outcomes had to be available across the five predefined cardiac intervals for inclusion in the comparative analysis. These requirements describe the characteristics of the datasets analysed and should not be interpreted as the historical eligibility criteria used to select participants into the PREFER-CMR registry.</w:t>
      </w:r>
    </w:p>
    <w:p w14:paraId="67F2029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CMR-derived LV end-diastolic volume (EDV), end-systolic volume (ESV), stroke volume and left ventricular ejection fraction (LVEF) were obtained from the MASS analyses performed during the present study for both groups. LV mass was not available from the MASS analysis for either group and was therefore not included as a comparative CMR variable.</w:t>
      </w:r>
    </w:p>
    <w:p w14:paraId="4A5B8C64"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2.3 CMR acquisition</w:t>
      </w:r>
    </w:p>
    <w:p w14:paraId="3525B11E"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For the AS datasets, the CMR acquisition methodology was based on the published PREFER-CMR protocol, as confirmed by the supervisory research team.¹ The published protocol used a 1.5-T Siemens Magnetom Sola scanner (Siemens Healthineers, Erlangen, Germany) with BioMatrix Body 18 coil technology.¹</w:t>
      </w:r>
    </w:p>
    <w:p w14:paraId="0208AF1C"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Cine imaging was performed using balanced steady-state free-precession imaging in standard long-axis views and a contiguous short-axis stack covering the LV. Cine imaging was acquired during an end-expiratory breath-hold. Reported cine parameters included TR 2.71 ms, TE 1.13 ms, field of view (FOV) 360 × 289 mm², flip angle 80°, slice thickness 8 mm and GRAPPA acceleration factor 2.¹</w:t>
      </w:r>
    </w:p>
    <w:p w14:paraId="2232652B"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4D-flow acquisition comprised a three-dimensional axial volume covering the thoracic aorta, with retrospective ECG gating and free breathing. Thirty cardiac phases were reconstructed with a temporal resolution of 40 ms. Reported acquisition parameters included TR 4.98 ms, TE 1.13 ms, FOV 200 × 256 mm², flip angle 5° and GRAPPA acceleration factors of 2 in the phase-encoding direction and 1 in the slice direction.¹</w:t>
      </w:r>
    </w:p>
    <w:p w14:paraId="025FEB9C"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same published PREFER-CMR acquisition protocol was used for the control datasets included in the present analysis, according to protocol information confirmed by the supervisory research team.</w:t>
      </w:r>
    </w:p>
    <w:p w14:paraId="34DE60A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lastRenderedPageBreak/>
        <w:t>The available project information indicated an initial velocity-encoding (VENC) setting of 150–200 cm/s. Individual final VENC values for each analysed dataset were not available to the researcher. VENC was therefore not treated as a dataset-specific analytical variable.</w:t>
      </w:r>
    </w:p>
    <w:p w14:paraId="522E4A6C"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published PREFER-CMR paper did not report the acquired spatial voxel size for the 4D-flow sequence.¹ Consequently, no specific voxel dimension is reported here as an acquisition parameter.</w:t>
      </w:r>
    </w:p>
    <w:p w14:paraId="54E9EFB8"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published PREFER-CMR analysis used CVI42 version 5.14 for its original 4D-flow post-processing.¹ The present study used MASS for the secondary LV flow-energetic analysis.</w:t>
      </w:r>
    </w:p>
    <w:p w14:paraId="2D9E418F"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2.4 LV segmentation and contouring</w:t>
      </w:r>
    </w:p>
    <w:p w14:paraId="2B45CB0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LV segmentation was performed using MASS V2025-EXP. AI-assisted contouring was initially used to generate the LV contours, after which the contours were manually reviewed and corrected by the researcher where necessary.</w:t>
      </w:r>
    </w:p>
    <w:p w14:paraId="2F8A178B"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LV endocardial contour was used to define the LV blood-pool region of interest for the subsequent flow-energetic analysis. Epicardial contours were generated during the image-analysis workflow but were not used in the 4D-flow blood-pool measurements.</w:t>
      </w:r>
    </w:p>
    <w:p w14:paraId="5FB60716"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papillary muscles were included within the LV endocardial contour and therefore within the defined LV blood-pool region. This approach was applied consistently across all analysed datasets. This differs from previous 4D-flow CMR work in AS in which papillary muscles were excluded from the LV blood-pool contour.²</w:t>
      </w:r>
    </w:p>
    <w:p w14:paraId="653ABDCB"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researcher was aware of group allocation during contour review. Dr Rui Li subsequently performed quality-control review of the contours. The available records do not document whether this supervisory review was blinded to group allocation or whether all ten datasets were reviewed using a formal blinded procedure.</w:t>
      </w:r>
    </w:p>
    <w:p w14:paraId="198FF6AE"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Particular attention was given to the basal LV contour and exclusion of the aortic-valve/LVOT region from the analysed LV volume. The contours were reviewed and corrected where necessary before extraction of the flow-energetic measurements. No formal intra-observer or inter-observer reproducibility assessment was undertaken.</w:t>
      </w:r>
    </w:p>
    <w:p w14:paraId="42F73432"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2.5 4D-flow CMR analysis</w:t>
      </w:r>
    </w:p>
    <w:p w14:paraId="209A4AD7"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4D-flow datasets were analysed using MASS V2025-EXP. Three LV blood-flow energetic parameters were assessed:</w:t>
      </w:r>
    </w:p>
    <w:p w14:paraId="5A35EA6D" w14:textId="77777777" w:rsidR="00B225BD" w:rsidRPr="00B225BD" w:rsidRDefault="00B225BD" w:rsidP="00B225BD">
      <w:pPr>
        <w:numPr>
          <w:ilvl w:val="0"/>
          <w:numId w:val="11"/>
        </w:numPr>
        <w:rPr>
          <w:rFonts w:ascii="Times New Roman" w:hAnsi="Times New Roman" w:cs="Times New Roman"/>
          <w:sz w:val="24"/>
          <w:szCs w:val="24"/>
          <w:lang w:val="en-US"/>
        </w:rPr>
      </w:pPr>
      <w:r w:rsidRPr="00B225BD">
        <w:rPr>
          <w:rFonts w:ascii="Times New Roman" w:hAnsi="Times New Roman" w:cs="Times New Roman"/>
          <w:sz w:val="24"/>
          <w:szCs w:val="24"/>
          <w:lang w:val="en-US"/>
        </w:rPr>
        <w:t>EDV-normalised kinetic energy;</w:t>
      </w:r>
    </w:p>
    <w:p w14:paraId="616F4D02" w14:textId="77777777" w:rsidR="00B225BD" w:rsidRPr="00B225BD" w:rsidRDefault="00B225BD" w:rsidP="00B225BD">
      <w:pPr>
        <w:numPr>
          <w:ilvl w:val="0"/>
          <w:numId w:val="11"/>
        </w:numPr>
        <w:rPr>
          <w:rFonts w:ascii="Times New Roman" w:hAnsi="Times New Roman" w:cs="Times New Roman"/>
          <w:sz w:val="24"/>
          <w:szCs w:val="24"/>
          <w:lang w:val="en-US"/>
        </w:rPr>
      </w:pPr>
      <w:r w:rsidRPr="00B225BD">
        <w:rPr>
          <w:rFonts w:ascii="Times New Roman" w:hAnsi="Times New Roman" w:cs="Times New Roman"/>
          <w:sz w:val="24"/>
          <w:szCs w:val="24"/>
          <w:lang w:val="en-US"/>
        </w:rPr>
        <w:t>vorticity;</w:t>
      </w:r>
    </w:p>
    <w:p w14:paraId="05EA37C5" w14:textId="77777777" w:rsidR="00B225BD" w:rsidRPr="00B225BD" w:rsidRDefault="00B225BD" w:rsidP="00B225BD">
      <w:pPr>
        <w:numPr>
          <w:ilvl w:val="0"/>
          <w:numId w:val="11"/>
        </w:numPr>
        <w:rPr>
          <w:rFonts w:ascii="Times New Roman" w:hAnsi="Times New Roman" w:cs="Times New Roman"/>
          <w:sz w:val="24"/>
          <w:szCs w:val="24"/>
          <w:lang w:val="en-US"/>
        </w:rPr>
      </w:pPr>
      <w:r w:rsidRPr="00B225BD">
        <w:rPr>
          <w:rFonts w:ascii="Times New Roman" w:hAnsi="Times New Roman" w:cs="Times New Roman"/>
          <w:sz w:val="24"/>
          <w:szCs w:val="24"/>
          <w:lang w:val="en-US"/>
        </w:rPr>
        <w:t>energy loss.</w:t>
      </w:r>
    </w:p>
    <w:p w14:paraId="056A459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Each parameter was assessed across five predefined cardiac intervals:</w:t>
      </w:r>
    </w:p>
    <w:p w14:paraId="58FBFD68" w14:textId="77777777" w:rsidR="00B225BD" w:rsidRPr="00B225BD" w:rsidRDefault="00B225BD" w:rsidP="00B225BD">
      <w:pPr>
        <w:numPr>
          <w:ilvl w:val="0"/>
          <w:numId w:val="12"/>
        </w:numPr>
        <w:rPr>
          <w:rFonts w:ascii="Times New Roman" w:hAnsi="Times New Roman" w:cs="Times New Roman"/>
          <w:sz w:val="24"/>
          <w:szCs w:val="24"/>
          <w:lang w:val="en-US"/>
        </w:rPr>
      </w:pPr>
      <w:r w:rsidRPr="00B225BD">
        <w:rPr>
          <w:rFonts w:ascii="Times New Roman" w:hAnsi="Times New Roman" w:cs="Times New Roman"/>
          <w:sz w:val="24"/>
          <w:szCs w:val="24"/>
          <w:lang w:val="en-US"/>
        </w:rPr>
        <w:t>FullRR;</w:t>
      </w:r>
    </w:p>
    <w:p w14:paraId="563552ED" w14:textId="77777777" w:rsidR="00B225BD" w:rsidRPr="00B225BD" w:rsidRDefault="00B225BD" w:rsidP="00B225BD">
      <w:pPr>
        <w:numPr>
          <w:ilvl w:val="0"/>
          <w:numId w:val="12"/>
        </w:numPr>
        <w:rPr>
          <w:rFonts w:ascii="Times New Roman" w:hAnsi="Times New Roman" w:cs="Times New Roman"/>
          <w:sz w:val="24"/>
          <w:szCs w:val="24"/>
          <w:lang w:val="en-US"/>
        </w:rPr>
      </w:pPr>
      <w:r w:rsidRPr="00B225BD">
        <w:rPr>
          <w:rFonts w:ascii="Times New Roman" w:hAnsi="Times New Roman" w:cs="Times New Roman"/>
          <w:sz w:val="24"/>
          <w:szCs w:val="24"/>
          <w:lang w:val="en-US"/>
        </w:rPr>
        <w:lastRenderedPageBreak/>
        <w:t>systole;</w:t>
      </w:r>
    </w:p>
    <w:p w14:paraId="56BB2743" w14:textId="77777777" w:rsidR="00B225BD" w:rsidRPr="00B225BD" w:rsidRDefault="00B225BD" w:rsidP="00B225BD">
      <w:pPr>
        <w:numPr>
          <w:ilvl w:val="0"/>
          <w:numId w:val="12"/>
        </w:numPr>
        <w:rPr>
          <w:rFonts w:ascii="Times New Roman" w:hAnsi="Times New Roman" w:cs="Times New Roman"/>
          <w:sz w:val="24"/>
          <w:szCs w:val="24"/>
          <w:lang w:val="en-US"/>
        </w:rPr>
      </w:pPr>
      <w:r w:rsidRPr="00B225BD">
        <w:rPr>
          <w:rFonts w:ascii="Times New Roman" w:hAnsi="Times New Roman" w:cs="Times New Roman"/>
          <w:sz w:val="24"/>
          <w:szCs w:val="24"/>
          <w:lang w:val="en-US"/>
        </w:rPr>
        <w:t>diastole;</w:t>
      </w:r>
    </w:p>
    <w:p w14:paraId="64DE1505" w14:textId="77777777" w:rsidR="00B225BD" w:rsidRPr="00B225BD" w:rsidRDefault="00B225BD" w:rsidP="00B225BD">
      <w:pPr>
        <w:numPr>
          <w:ilvl w:val="0"/>
          <w:numId w:val="12"/>
        </w:numPr>
        <w:rPr>
          <w:rFonts w:ascii="Times New Roman" w:hAnsi="Times New Roman" w:cs="Times New Roman"/>
          <w:sz w:val="24"/>
          <w:szCs w:val="24"/>
          <w:lang w:val="en-US"/>
        </w:rPr>
      </w:pPr>
      <w:r w:rsidRPr="00B225BD">
        <w:rPr>
          <w:rFonts w:ascii="Times New Roman" w:hAnsi="Times New Roman" w:cs="Times New Roman"/>
          <w:sz w:val="24"/>
          <w:szCs w:val="24"/>
          <w:lang w:val="en-US"/>
        </w:rPr>
        <w:t>E-wave;</w:t>
      </w:r>
    </w:p>
    <w:p w14:paraId="36D95F4C" w14:textId="77777777" w:rsidR="00B225BD" w:rsidRPr="00B225BD" w:rsidRDefault="00B225BD" w:rsidP="00B225BD">
      <w:pPr>
        <w:numPr>
          <w:ilvl w:val="0"/>
          <w:numId w:val="12"/>
        </w:numPr>
        <w:rPr>
          <w:rFonts w:ascii="Times New Roman" w:hAnsi="Times New Roman" w:cs="Times New Roman"/>
          <w:sz w:val="24"/>
          <w:szCs w:val="24"/>
          <w:lang w:val="en-US"/>
        </w:rPr>
      </w:pPr>
      <w:r w:rsidRPr="00B225BD">
        <w:rPr>
          <w:rFonts w:ascii="Times New Roman" w:hAnsi="Times New Roman" w:cs="Times New Roman"/>
          <w:sz w:val="24"/>
          <w:szCs w:val="24"/>
          <w:lang w:val="en-US"/>
        </w:rPr>
        <w:t>A-wave.</w:t>
      </w:r>
    </w:p>
    <w:p w14:paraId="4C29B176"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cardiac intervals were defined within the MASS analysis workflow and applied consistently across the analysed datasets. The resulting phase-specific measurements were extracted for statistical analysis. All selected datasets had complete outcome measurements for the three parameters across the five predefined intervals; therefore, no outcome data imputation was required.</w:t>
      </w:r>
    </w:p>
    <w:p w14:paraId="7689E750"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Before statistical analysis, the exported dataset was checked for participant allocation, outcome parameter, cardiac phase and measurement units.</w:t>
      </w:r>
    </w:p>
    <w:p w14:paraId="237BD409"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2.6 Flow-energetic outcome measures</w:t>
      </w:r>
    </w:p>
    <w:p w14:paraId="60822D5E"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2.6.1 EDV-normalised LV kinetic energy</w:t>
      </w:r>
    </w:p>
    <w:p w14:paraId="7D134FA7"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LV blood-flow kinetic energy was calculated within the LV endocardial region and normalised to LV EDV using the MASS built-in “Normalized by EDV” option. This normalisation procedure was applied to both AS and control datasets. The resulting values were expressed as µJ/mL.</w:t>
      </w:r>
    </w:p>
    <w:p w14:paraId="68E3B812"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2.6.2 LV vorticity</w:t>
      </w:r>
    </w:p>
    <w:p w14:paraId="031974DE"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Vorticity was assessed within the LV endocardial region using the MASS 4D-flow analysis and expressed in s⁻¹. The reported value represented the LV-region summary generated by MASS for each predefined cardiac interval. The available project documentation does not provide a sufficiently detailed software definition to independently characterise the reported value as peak, volume-integrated or another specific vorticity metric; therefore, it is reported using the MASS parameter terminology.</w:t>
      </w:r>
    </w:p>
    <w:p w14:paraId="02A51276"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2.6.3 LV energy loss</w:t>
      </w:r>
    </w:p>
    <w:p w14:paraId="11C1F9FC"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LV energy loss was obtained from the MASS 4D-flow analysis and expressed in µW. The exact mathematical formulation implemented by the MASS energy-loss parameter was not independently established from the available project documentation. The parameter was therefore retained using the software-generated terminology rather than being reclassified as viscous energy loss or turbulent kinetic energy.</w:t>
      </w:r>
    </w:p>
    <w:p w14:paraId="599FFD1A"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2.7 Statistical analysis</w:t>
      </w:r>
    </w:p>
    <w:p w14:paraId="69BDA860"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Statistical analyses were performed using IBM SPSS Statistics version 32. The final analytical dataset comprised five AS participants and five controls. Given the small sample size, the analysis was exploratory and hypothesis-generating.</w:t>
      </w:r>
    </w:p>
    <w:p w14:paraId="2BF16203"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Three flow-energetic outcomes were assessed across five predefined cardiac intervals, resulting in 15 planned between-group comparisons.</w:t>
      </w:r>
    </w:p>
    <w:p w14:paraId="6649DF95"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lastRenderedPageBreak/>
        <w:t xml:space="preserve">Continuous variables were assessed using descriptive statistics and graphical assessment of distribution. The Shapiro–Wilk test was used to assess normality. Independent-samples </w:t>
      </w:r>
      <w:r w:rsidRPr="00B225BD">
        <w:rPr>
          <w:rFonts w:ascii="Times New Roman" w:hAnsi="Times New Roman" w:cs="Times New Roman"/>
          <w:i/>
          <w:iCs/>
          <w:sz w:val="24"/>
          <w:szCs w:val="24"/>
          <w:lang w:val="en-US"/>
        </w:rPr>
        <w:t>t</w:t>
      </w:r>
      <w:r w:rsidRPr="00B225BD">
        <w:rPr>
          <w:rFonts w:ascii="Times New Roman" w:hAnsi="Times New Roman" w:cs="Times New Roman"/>
          <w:sz w:val="24"/>
          <w:szCs w:val="24"/>
          <w:lang w:val="en-US"/>
        </w:rPr>
        <w:t xml:space="preserve">-tests were used for approximately normally distributed outcomes. Welch's </w:t>
      </w:r>
      <w:r w:rsidRPr="00B225BD">
        <w:rPr>
          <w:rFonts w:ascii="Times New Roman" w:hAnsi="Times New Roman" w:cs="Times New Roman"/>
          <w:i/>
          <w:iCs/>
          <w:sz w:val="24"/>
          <w:szCs w:val="24"/>
          <w:lang w:val="en-US"/>
        </w:rPr>
        <w:t>t</w:t>
      </w:r>
      <w:r w:rsidRPr="00B225BD">
        <w:rPr>
          <w:rFonts w:ascii="Times New Roman" w:hAnsi="Times New Roman" w:cs="Times New Roman"/>
          <w:sz w:val="24"/>
          <w:szCs w:val="24"/>
          <w:lang w:val="en-US"/>
        </w:rPr>
        <w:t xml:space="preserve">-test was examined as a sensitivity analysis for all independent-samples </w:t>
      </w:r>
      <w:r w:rsidRPr="00B225BD">
        <w:rPr>
          <w:rFonts w:ascii="Times New Roman" w:hAnsi="Times New Roman" w:cs="Times New Roman"/>
          <w:i/>
          <w:iCs/>
          <w:sz w:val="24"/>
          <w:szCs w:val="24"/>
          <w:lang w:val="en-US"/>
        </w:rPr>
        <w:t>t</w:t>
      </w:r>
      <w:r w:rsidRPr="00B225BD">
        <w:rPr>
          <w:rFonts w:ascii="Times New Roman" w:hAnsi="Times New Roman" w:cs="Times New Roman"/>
          <w:sz w:val="24"/>
          <w:szCs w:val="24"/>
          <w:lang w:val="en-US"/>
        </w:rPr>
        <w:t>-test comparisons. The Mann–Whitney U test was used for the diastolic and A-wave kinetic-energy comparisons.</w:t>
      </w:r>
    </w:p>
    <w:p w14:paraId="3B1356C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Diastolic kinetic energy showed evidence of non-normality in the control group on Shapiro–Wilk testing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 0.004), whereas the corresponding AS result was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 0.382. For A-wave kinetic energy, Shapiro–Wilk testing gave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 0.057 in controls and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 0.065 in AS; these borderline distributional findings, together with graphical assessment, supported use of the non-parametric test for this comparison.</w:t>
      </w:r>
    </w:p>
    <w:p w14:paraId="6FF60A74"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Variables analysed using parametric tests were summarised as mean ± standard deviation (SD), whereas variables analysed using the Mann–Whitney U test were summarised as median (interquartile range, IQR).</w:t>
      </w:r>
    </w:p>
    <w:p w14:paraId="4CFBFA61"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Between-group differences were reported with two-tailed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values and 95% confidence intervals (CIs), where applicable. The nominal statistical significance threshold was </w:t>
      </w:r>
      <w:r w:rsidRPr="00B225BD">
        <w:rPr>
          <w:rFonts w:ascii="Times New Roman" w:hAnsi="Times New Roman" w:cs="Times New Roman"/>
          <w:i/>
          <w:iCs/>
          <w:sz w:val="24"/>
          <w:szCs w:val="24"/>
          <w:lang w:val="en-US"/>
        </w:rPr>
        <w:t>p</w:t>
      </w:r>
      <w:r w:rsidRPr="00B225BD">
        <w:rPr>
          <w:rFonts w:ascii="Times New Roman" w:hAnsi="Times New Roman" w:cs="Times New Roman"/>
          <w:sz w:val="24"/>
          <w:szCs w:val="24"/>
          <w:lang w:val="en-US"/>
        </w:rPr>
        <w:t xml:space="preserve"> &lt; 0.05.</w:t>
      </w:r>
    </w:p>
    <w:p w14:paraId="79C126FD"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Hedges' </w:t>
      </w:r>
      <w:r w:rsidRPr="00B225BD">
        <w:rPr>
          <w:rFonts w:ascii="Times New Roman" w:hAnsi="Times New Roman" w:cs="Times New Roman"/>
          <w:i/>
          <w:iCs/>
          <w:sz w:val="24"/>
          <w:szCs w:val="24"/>
          <w:lang w:val="en-US"/>
        </w:rPr>
        <w:t>g</w:t>
      </w:r>
      <w:r w:rsidRPr="00B225BD">
        <w:rPr>
          <w:rFonts w:ascii="Times New Roman" w:hAnsi="Times New Roman" w:cs="Times New Roman"/>
          <w:sz w:val="24"/>
          <w:szCs w:val="24"/>
          <w:lang w:val="en-US"/>
        </w:rPr>
        <w:t xml:space="preserve"> was used as the standardised effect-size measure for independent-samples </w:t>
      </w:r>
      <w:r w:rsidRPr="00B225BD">
        <w:rPr>
          <w:rFonts w:ascii="Times New Roman" w:hAnsi="Times New Roman" w:cs="Times New Roman"/>
          <w:i/>
          <w:iCs/>
          <w:sz w:val="24"/>
          <w:szCs w:val="24"/>
          <w:lang w:val="en-US"/>
        </w:rPr>
        <w:t>t</w:t>
      </w:r>
      <w:r w:rsidRPr="00B225BD">
        <w:rPr>
          <w:rFonts w:ascii="Times New Roman" w:hAnsi="Times New Roman" w:cs="Times New Roman"/>
          <w:sz w:val="24"/>
          <w:szCs w:val="24"/>
          <w:lang w:val="en-US"/>
        </w:rPr>
        <w:t>-test comparisons because of the small sample size. No rank-biserial correlation was reported for the Mann–Whitney U comparisons.</w:t>
      </w:r>
    </w:p>
    <w:p w14:paraId="0201AA41"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No formal adjustment for multiple comparisons was applied. The five cardiac-phase measurements represent related components of the cardiac cycle, and FullRR encompasses the systolic and diastolic periods. The 15 comparisons were therefore not treated as fully independent observations.</w:t>
      </w:r>
    </w:p>
    <w:p w14:paraId="14ED3A49"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One AS participant and two control participants had documented AF. AF was considered when interpreting phase-specific measurements because beat-to-beat variation and R-to-R variability may affect 4D-flow measurements through averaging across cardiac cycles, particularly for time-resolved flow measurements.¹</w:t>
      </w:r>
    </w:p>
    <w:p w14:paraId="6BE1BE9D"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Baseline demographic and clinical characteristics were summarised descriptively. No formal statistical hypothesis testing of baseline characteristics was undertaken because of the small sample size and the exploratory purpose of the study.</w:t>
      </w:r>
    </w:p>
    <w:p w14:paraId="4E5A7170"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For AS haemodynamic descriptors, descriptive measures were reported using the available number of participants for whom each parameter was recorded. Mean transvalvular pressure gradient was available for all five analysed AS participants.</w:t>
      </w:r>
    </w:p>
    <w:p w14:paraId="7EBEBECF"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No multivariable modelling, regression analysis or missing-data imputation was undertaken.</w:t>
      </w:r>
    </w:p>
    <w:p w14:paraId="76AB0554"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2.8 Ethical considerations and data governance</w:t>
      </w:r>
    </w:p>
    <w:p w14:paraId="19F86AB8"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The AS and control datasets originated from the PREFER-CMR registry. The published PREFER-CMR study reported approval from the National Research Ethics Service under REC </w:t>
      </w:r>
      <w:r w:rsidRPr="00B225BD">
        <w:rPr>
          <w:rFonts w:ascii="Times New Roman" w:hAnsi="Times New Roman" w:cs="Times New Roman"/>
          <w:sz w:val="24"/>
          <w:szCs w:val="24"/>
          <w:lang w:val="en-US"/>
        </w:rPr>
        <w:lastRenderedPageBreak/>
        <w:t>reference 21/NE/0149, with pragmatic opt-out consent, and registration under NCT05114785. The study was conducted in accordance with the Declaration of Helsinki.¹</w:t>
      </w:r>
    </w:p>
    <w:p w14:paraId="6A22CA6A"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present dissertation involved secondary analysis of pre-existing, anonymised human CMR data. No new participants were recruited and no additional CMR examinations were undertaken specifically for this analysis.</w:t>
      </w:r>
    </w:p>
    <w:p w14:paraId="53BC3FD7"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ethical and governance arrangements applicable to the present analysis were those of the parent PREFER-CMR registry, as confirmed by the supervisory research team. The present study therefore used existing registry data within the established ethical and governance framework of the parent study.</w:t>
      </w:r>
    </w:p>
    <w:p w14:paraId="77E9F431"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Access to the datasets was provided through the supervisory research team in accordance with the established PREFER-CMR research governance arrangements. Data were handled as pre-existing anonymised research data, and data storage, access control and retention followed the established arrangements of the PREFER-CMR registry. No data were used for purposes outside the approved secondary analysis.</w:t>
      </w:r>
    </w:p>
    <w:p w14:paraId="6549FAE1"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Participants are referred to in the dissertation using sequential pseudonyms rather than the original research identifiers. The original identifiers are not reported because they contain potentially identifying scan information.</w:t>
      </w:r>
    </w:p>
    <w:p w14:paraId="622A65F9"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Declaration of contributions</w:t>
      </w:r>
    </w:p>
    <w:p w14:paraId="0F96F24D" w14:textId="77777777" w:rsidR="00B225BD" w:rsidRPr="00B225BD" w:rsidRDefault="00B225BD" w:rsidP="00B225BD">
      <w:pPr>
        <w:rPr>
          <w:rFonts w:ascii="Times New Roman" w:hAnsi="Times New Roman" w:cs="Times New Roman"/>
          <w:sz w:val="24"/>
          <w:szCs w:val="24"/>
          <w:lang w:val="en-US"/>
        </w:rPr>
      </w:pPr>
      <w:r w:rsidRPr="00B225BD">
        <w:rPr>
          <w:rFonts w:ascii="Times New Roman" w:hAnsi="Times New Roman" w:cs="Times New Roman"/>
          <w:sz w:val="24"/>
          <w:szCs w:val="24"/>
          <w:lang w:val="en-US"/>
        </w:rPr>
        <w:t>The researcher undertook the CMR image review and LV contouring, 4D-flow CMR analysis, data extraction, quality checks and statistical analysis for the present study. Dr Rui Li provided supervisory quality-control review of the LV contours and methodological guidance. The supervisory research team provided access to the pre-existing PREFER-CMR datasets and relevant CMR acquisition and protocol information. The supervisory team also confirmed the registry provenance and the ethical and governance framework applicable to the secondary analysis.</w:t>
      </w:r>
    </w:p>
    <w:p w14:paraId="2CDA3C94" w14:textId="77777777" w:rsidR="00B225BD" w:rsidRPr="00B225BD" w:rsidRDefault="00B225BD" w:rsidP="00B225BD">
      <w:pPr>
        <w:rPr>
          <w:rFonts w:ascii="Times New Roman" w:hAnsi="Times New Roman" w:cs="Times New Roman"/>
          <w:b/>
          <w:bCs/>
          <w:sz w:val="24"/>
          <w:szCs w:val="24"/>
          <w:lang w:val="en-US"/>
        </w:rPr>
      </w:pPr>
      <w:r w:rsidRPr="00B225BD">
        <w:rPr>
          <w:rFonts w:ascii="Times New Roman" w:hAnsi="Times New Roman" w:cs="Times New Roman"/>
          <w:b/>
          <w:bCs/>
          <w:sz w:val="24"/>
          <w:szCs w:val="24"/>
          <w:lang w:val="en-US"/>
        </w:rPr>
        <w:t>References — Methods</w:t>
      </w:r>
    </w:p>
    <w:p w14:paraId="4B52D3FB" w14:textId="77777777" w:rsidR="00B225BD" w:rsidRPr="00B225BD" w:rsidRDefault="00B225BD" w:rsidP="00B225BD">
      <w:pPr>
        <w:numPr>
          <w:ilvl w:val="0"/>
          <w:numId w:val="13"/>
        </w:num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Grafton-Clarke C, Assadi H, Li R, Mehmood Z, Hall R, Matthews G, et al. Four-dimensional flow provides incremental diagnostic value over echocardiography in aortic stenosis. </w:t>
      </w:r>
      <w:r w:rsidRPr="00B225BD">
        <w:rPr>
          <w:rFonts w:ascii="Times New Roman" w:hAnsi="Times New Roman" w:cs="Times New Roman"/>
          <w:i/>
          <w:iCs/>
          <w:sz w:val="24"/>
          <w:szCs w:val="24"/>
          <w:lang w:val="en-US"/>
        </w:rPr>
        <w:t>Open Heart</w:t>
      </w:r>
      <w:r w:rsidRPr="00B225BD">
        <w:rPr>
          <w:rFonts w:ascii="Times New Roman" w:hAnsi="Times New Roman" w:cs="Times New Roman"/>
          <w:sz w:val="24"/>
          <w:szCs w:val="24"/>
          <w:lang w:val="en-US"/>
        </w:rPr>
        <w:t>. 2025;12(1):e003081.</w:t>
      </w:r>
    </w:p>
    <w:p w14:paraId="439B1255" w14:textId="77777777" w:rsidR="00B225BD" w:rsidRPr="00B225BD" w:rsidRDefault="00B225BD" w:rsidP="00B225BD">
      <w:pPr>
        <w:numPr>
          <w:ilvl w:val="0"/>
          <w:numId w:val="13"/>
        </w:numPr>
        <w:rPr>
          <w:rFonts w:ascii="Times New Roman" w:hAnsi="Times New Roman" w:cs="Times New Roman"/>
          <w:sz w:val="24"/>
          <w:szCs w:val="24"/>
          <w:lang w:val="en-US"/>
        </w:rPr>
      </w:pPr>
      <w:r w:rsidRPr="00B225BD">
        <w:rPr>
          <w:rFonts w:ascii="Times New Roman" w:hAnsi="Times New Roman" w:cs="Times New Roman"/>
          <w:sz w:val="24"/>
          <w:szCs w:val="24"/>
          <w:lang w:val="en-US"/>
        </w:rPr>
        <w:t xml:space="preserve">Elhawaz A, Archer GT, Zafar H, Fidock B, Barker N, Jones R, et al. Left ventricular blood flow kinetic energy is associated with the six-minute walk test and left ventricular remodelling post valvular intervention in aortic stenosis. </w:t>
      </w:r>
      <w:r w:rsidRPr="00B225BD">
        <w:rPr>
          <w:rFonts w:ascii="Times New Roman" w:hAnsi="Times New Roman" w:cs="Times New Roman"/>
          <w:i/>
          <w:iCs/>
          <w:sz w:val="24"/>
          <w:szCs w:val="24"/>
          <w:lang w:val="en-US"/>
        </w:rPr>
        <w:t>Quant Imaging Med Surg</w:t>
      </w:r>
      <w:r w:rsidRPr="00B225BD">
        <w:rPr>
          <w:rFonts w:ascii="Times New Roman" w:hAnsi="Times New Roman" w:cs="Times New Roman"/>
          <w:sz w:val="24"/>
          <w:szCs w:val="24"/>
          <w:lang w:val="en-US"/>
        </w:rPr>
        <w:t>. 2021;11(4):1470–1482.</w:t>
      </w:r>
    </w:p>
    <w:p w14:paraId="2186B810" w14:textId="4767D595" w:rsidR="00E675A6" w:rsidRPr="00B225BD" w:rsidRDefault="00E675A6" w:rsidP="00E675A6">
      <w:pPr>
        <w:rPr>
          <w:rFonts w:ascii="Times New Roman" w:hAnsi="Times New Roman" w:cs="Times New Roman"/>
          <w:sz w:val="24"/>
          <w:szCs w:val="24"/>
          <w:lang w:val="en-US"/>
        </w:rPr>
      </w:pPr>
    </w:p>
    <w:sectPr w:rsidR="00E675A6" w:rsidRPr="00B22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7A6F"/>
    <w:multiLevelType w:val="multilevel"/>
    <w:tmpl w:val="7D50C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84503"/>
    <w:multiLevelType w:val="multilevel"/>
    <w:tmpl w:val="700C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16B3"/>
    <w:multiLevelType w:val="multilevel"/>
    <w:tmpl w:val="0FB04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967CF"/>
    <w:multiLevelType w:val="multilevel"/>
    <w:tmpl w:val="92543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87DD0"/>
    <w:multiLevelType w:val="multilevel"/>
    <w:tmpl w:val="CFD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252B2"/>
    <w:multiLevelType w:val="multilevel"/>
    <w:tmpl w:val="9A320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E7FE0"/>
    <w:multiLevelType w:val="multilevel"/>
    <w:tmpl w:val="EC5C1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186924"/>
    <w:multiLevelType w:val="multilevel"/>
    <w:tmpl w:val="CAEC5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C330FD"/>
    <w:multiLevelType w:val="multilevel"/>
    <w:tmpl w:val="0BA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28215A"/>
    <w:multiLevelType w:val="multilevel"/>
    <w:tmpl w:val="3F3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53C2E"/>
    <w:multiLevelType w:val="multilevel"/>
    <w:tmpl w:val="EF6A6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B5549D"/>
    <w:multiLevelType w:val="multilevel"/>
    <w:tmpl w:val="86D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F11065"/>
    <w:multiLevelType w:val="multilevel"/>
    <w:tmpl w:val="3D7E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1752129">
    <w:abstractNumId w:val="5"/>
  </w:num>
  <w:num w:numId="2" w16cid:durableId="1847940602">
    <w:abstractNumId w:val="2"/>
  </w:num>
  <w:num w:numId="3" w16cid:durableId="1916352168">
    <w:abstractNumId w:val="4"/>
  </w:num>
  <w:num w:numId="4" w16cid:durableId="932202055">
    <w:abstractNumId w:val="6"/>
  </w:num>
  <w:num w:numId="5" w16cid:durableId="2103332307">
    <w:abstractNumId w:val="9"/>
  </w:num>
  <w:num w:numId="6" w16cid:durableId="1665354619">
    <w:abstractNumId w:val="10"/>
  </w:num>
  <w:num w:numId="7" w16cid:durableId="115100308">
    <w:abstractNumId w:val="1"/>
  </w:num>
  <w:num w:numId="8" w16cid:durableId="1625430289">
    <w:abstractNumId w:val="3"/>
  </w:num>
  <w:num w:numId="9" w16cid:durableId="2103989785">
    <w:abstractNumId w:val="11"/>
  </w:num>
  <w:num w:numId="10" w16cid:durableId="1657144395">
    <w:abstractNumId w:val="7"/>
  </w:num>
  <w:num w:numId="11" w16cid:durableId="591863677">
    <w:abstractNumId w:val="0"/>
  </w:num>
  <w:num w:numId="12" w16cid:durableId="2055040740">
    <w:abstractNumId w:val="8"/>
  </w:num>
  <w:num w:numId="13" w16cid:durableId="18549996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512"/>
    <w:rsid w:val="000F55B9"/>
    <w:rsid w:val="001E0950"/>
    <w:rsid w:val="006B2CBB"/>
    <w:rsid w:val="006B3FA2"/>
    <w:rsid w:val="00744BCE"/>
    <w:rsid w:val="00757512"/>
    <w:rsid w:val="008B2E56"/>
    <w:rsid w:val="009A57B2"/>
    <w:rsid w:val="009F1EE6"/>
    <w:rsid w:val="00B225BD"/>
    <w:rsid w:val="00B76EFA"/>
    <w:rsid w:val="00DF69BD"/>
    <w:rsid w:val="00E675A6"/>
    <w:rsid w:val="00F36CBB"/>
    <w:rsid w:val="00F765C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75072"/>
  <w15:chartTrackingRefBased/>
  <w15:docId w15:val="{7EF43864-C69D-4ADD-8728-44B62EC3A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FA2"/>
    <w:rPr>
      <w:lang w:val="en-GB"/>
    </w:rPr>
  </w:style>
  <w:style w:type="paragraph" w:styleId="Heading1">
    <w:name w:val="heading 1"/>
    <w:basedOn w:val="Normal"/>
    <w:next w:val="Normal"/>
    <w:link w:val="Heading1Char"/>
    <w:uiPriority w:val="9"/>
    <w:qFormat/>
    <w:rsid w:val="007575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5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5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5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5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5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5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5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5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1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5751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5751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57512"/>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57512"/>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57512"/>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57512"/>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57512"/>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57512"/>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575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51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575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51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57512"/>
    <w:pPr>
      <w:spacing w:before="160"/>
      <w:jc w:val="center"/>
    </w:pPr>
    <w:rPr>
      <w:i/>
      <w:iCs/>
      <w:color w:val="404040" w:themeColor="text1" w:themeTint="BF"/>
    </w:rPr>
  </w:style>
  <w:style w:type="character" w:customStyle="1" w:styleId="QuoteChar">
    <w:name w:val="Quote Char"/>
    <w:basedOn w:val="DefaultParagraphFont"/>
    <w:link w:val="Quote"/>
    <w:uiPriority w:val="29"/>
    <w:rsid w:val="00757512"/>
    <w:rPr>
      <w:i/>
      <w:iCs/>
      <w:color w:val="404040" w:themeColor="text1" w:themeTint="BF"/>
      <w:lang w:val="en-GB"/>
    </w:rPr>
  </w:style>
  <w:style w:type="paragraph" w:styleId="ListParagraph">
    <w:name w:val="List Paragraph"/>
    <w:basedOn w:val="Normal"/>
    <w:uiPriority w:val="34"/>
    <w:qFormat/>
    <w:rsid w:val="00757512"/>
    <w:pPr>
      <w:ind w:left="720"/>
      <w:contextualSpacing/>
    </w:pPr>
  </w:style>
  <w:style w:type="character" w:styleId="IntenseEmphasis">
    <w:name w:val="Intense Emphasis"/>
    <w:basedOn w:val="DefaultParagraphFont"/>
    <w:uiPriority w:val="21"/>
    <w:qFormat/>
    <w:rsid w:val="00757512"/>
    <w:rPr>
      <w:i/>
      <w:iCs/>
      <w:color w:val="0F4761" w:themeColor="accent1" w:themeShade="BF"/>
    </w:rPr>
  </w:style>
  <w:style w:type="paragraph" w:styleId="IntenseQuote">
    <w:name w:val="Intense Quote"/>
    <w:basedOn w:val="Normal"/>
    <w:next w:val="Normal"/>
    <w:link w:val="IntenseQuoteChar"/>
    <w:uiPriority w:val="30"/>
    <w:qFormat/>
    <w:rsid w:val="007575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512"/>
    <w:rPr>
      <w:i/>
      <w:iCs/>
      <w:color w:val="0F4761" w:themeColor="accent1" w:themeShade="BF"/>
      <w:lang w:val="en-GB"/>
    </w:rPr>
  </w:style>
  <w:style w:type="character" w:styleId="IntenseReference">
    <w:name w:val="Intense Reference"/>
    <w:basedOn w:val="DefaultParagraphFont"/>
    <w:uiPriority w:val="32"/>
    <w:qFormat/>
    <w:rsid w:val="007575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6185">
      <w:bodyDiv w:val="1"/>
      <w:marLeft w:val="0"/>
      <w:marRight w:val="0"/>
      <w:marTop w:val="0"/>
      <w:marBottom w:val="0"/>
      <w:divBdr>
        <w:top w:val="none" w:sz="0" w:space="0" w:color="auto"/>
        <w:left w:val="none" w:sz="0" w:space="0" w:color="auto"/>
        <w:bottom w:val="none" w:sz="0" w:space="0" w:color="auto"/>
        <w:right w:val="none" w:sz="0" w:space="0" w:color="auto"/>
      </w:divBdr>
    </w:div>
    <w:div w:id="323241783">
      <w:bodyDiv w:val="1"/>
      <w:marLeft w:val="0"/>
      <w:marRight w:val="0"/>
      <w:marTop w:val="0"/>
      <w:marBottom w:val="0"/>
      <w:divBdr>
        <w:top w:val="none" w:sz="0" w:space="0" w:color="auto"/>
        <w:left w:val="none" w:sz="0" w:space="0" w:color="auto"/>
        <w:bottom w:val="none" w:sz="0" w:space="0" w:color="auto"/>
        <w:right w:val="none" w:sz="0" w:space="0" w:color="auto"/>
      </w:divBdr>
    </w:div>
    <w:div w:id="759644717">
      <w:bodyDiv w:val="1"/>
      <w:marLeft w:val="0"/>
      <w:marRight w:val="0"/>
      <w:marTop w:val="0"/>
      <w:marBottom w:val="0"/>
      <w:divBdr>
        <w:top w:val="none" w:sz="0" w:space="0" w:color="auto"/>
        <w:left w:val="none" w:sz="0" w:space="0" w:color="auto"/>
        <w:bottom w:val="none" w:sz="0" w:space="0" w:color="auto"/>
        <w:right w:val="none" w:sz="0" w:space="0" w:color="auto"/>
      </w:divBdr>
    </w:div>
    <w:div w:id="1209494938">
      <w:bodyDiv w:val="1"/>
      <w:marLeft w:val="0"/>
      <w:marRight w:val="0"/>
      <w:marTop w:val="0"/>
      <w:marBottom w:val="0"/>
      <w:divBdr>
        <w:top w:val="none" w:sz="0" w:space="0" w:color="auto"/>
        <w:left w:val="none" w:sz="0" w:space="0" w:color="auto"/>
        <w:bottom w:val="none" w:sz="0" w:space="0" w:color="auto"/>
        <w:right w:val="none" w:sz="0" w:space="0" w:color="auto"/>
      </w:divBdr>
    </w:div>
    <w:div w:id="1459566918">
      <w:bodyDiv w:val="1"/>
      <w:marLeft w:val="0"/>
      <w:marRight w:val="0"/>
      <w:marTop w:val="0"/>
      <w:marBottom w:val="0"/>
      <w:divBdr>
        <w:top w:val="none" w:sz="0" w:space="0" w:color="auto"/>
        <w:left w:val="none" w:sz="0" w:space="0" w:color="auto"/>
        <w:bottom w:val="none" w:sz="0" w:space="0" w:color="auto"/>
        <w:right w:val="none" w:sz="0" w:space="0" w:color="auto"/>
      </w:divBdr>
    </w:div>
    <w:div w:id="1560750503">
      <w:bodyDiv w:val="1"/>
      <w:marLeft w:val="0"/>
      <w:marRight w:val="0"/>
      <w:marTop w:val="0"/>
      <w:marBottom w:val="0"/>
      <w:divBdr>
        <w:top w:val="none" w:sz="0" w:space="0" w:color="auto"/>
        <w:left w:val="none" w:sz="0" w:space="0" w:color="auto"/>
        <w:bottom w:val="none" w:sz="0" w:space="0" w:color="auto"/>
        <w:right w:val="none" w:sz="0" w:space="0" w:color="auto"/>
      </w:divBdr>
    </w:div>
    <w:div w:id="1644652840">
      <w:bodyDiv w:val="1"/>
      <w:marLeft w:val="0"/>
      <w:marRight w:val="0"/>
      <w:marTop w:val="0"/>
      <w:marBottom w:val="0"/>
      <w:divBdr>
        <w:top w:val="none" w:sz="0" w:space="0" w:color="auto"/>
        <w:left w:val="none" w:sz="0" w:space="0" w:color="auto"/>
        <w:bottom w:val="none" w:sz="0" w:space="0" w:color="auto"/>
        <w:right w:val="none" w:sz="0" w:space="0" w:color="auto"/>
      </w:divBdr>
    </w:div>
    <w:div w:id="1772241776">
      <w:bodyDiv w:val="1"/>
      <w:marLeft w:val="0"/>
      <w:marRight w:val="0"/>
      <w:marTop w:val="0"/>
      <w:marBottom w:val="0"/>
      <w:divBdr>
        <w:top w:val="none" w:sz="0" w:space="0" w:color="auto"/>
        <w:left w:val="none" w:sz="0" w:space="0" w:color="auto"/>
        <w:bottom w:val="none" w:sz="0" w:space="0" w:color="auto"/>
        <w:right w:val="none" w:sz="0" w:space="0" w:color="auto"/>
      </w:divBdr>
    </w:div>
    <w:div w:id="1820684495">
      <w:bodyDiv w:val="1"/>
      <w:marLeft w:val="0"/>
      <w:marRight w:val="0"/>
      <w:marTop w:val="0"/>
      <w:marBottom w:val="0"/>
      <w:divBdr>
        <w:top w:val="none" w:sz="0" w:space="0" w:color="auto"/>
        <w:left w:val="none" w:sz="0" w:space="0" w:color="auto"/>
        <w:bottom w:val="none" w:sz="0" w:space="0" w:color="auto"/>
        <w:right w:val="none" w:sz="0" w:space="0" w:color="auto"/>
      </w:divBdr>
    </w:div>
    <w:div w:id="191157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2818</Words>
  <Characters>16063</Characters>
  <Application>Microsoft Office Word</Application>
  <DocSecurity>0</DocSecurity>
  <Lines>133</Lines>
  <Paragraphs>37</Paragraphs>
  <ScaleCrop>false</ScaleCrop>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Moied Hossen</dc:creator>
  <cp:keywords/>
  <dc:description/>
  <cp:lastModifiedBy>Md Moied Hossen</cp:lastModifiedBy>
  <cp:revision>6</cp:revision>
  <dcterms:created xsi:type="dcterms:W3CDTF">2026-08-24T12:50:00Z</dcterms:created>
  <dcterms:modified xsi:type="dcterms:W3CDTF">2026-08-25T17:39:00Z</dcterms:modified>
</cp:coreProperties>
</file>