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C58943"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 Discussion</w:t>
      </w:r>
    </w:p>
    <w:p w14:paraId="1A2F9DB8"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4.1 Principal findings</w:t>
      </w:r>
    </w:p>
    <w:p w14:paraId="2FC24F2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This exploratory retrospective comparative analysis investigated differences in LV flow energetics between five participants with AS and five control participants using 4D-flow CMR. The principal finding was that LV vorticity was significantly higher in the AS group during both the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and systolic intervals.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vorticity was 315.10 ± 59.91 s⁻¹ in AS compared with 239.22 ± 27.01 s⁻¹ in controls, corresponding to a mean difference of −75.87 s⁻¹ (95% CI −143.65 to −8.10; </w:t>
      </w:r>
      <w:r w:rsidRPr="0019689F">
        <w:rPr>
          <w:rFonts w:ascii="Times New Roman" w:hAnsi="Times New Roman" w:cs="Times New Roman"/>
          <w:i/>
          <w:iCs/>
          <w:lang w:val="en-US"/>
        </w:rPr>
        <w:t>p</w:t>
      </w:r>
      <w:r w:rsidRPr="0019689F">
        <w:rPr>
          <w:rFonts w:ascii="Times New Roman" w:hAnsi="Times New Roman" w:cs="Times New Roman"/>
          <w:lang w:val="en-US"/>
        </w:rPr>
        <w:t xml:space="preserve"> = 0.033; Hedges' </w:t>
      </w:r>
      <w:r w:rsidRPr="0019689F">
        <w:rPr>
          <w:rFonts w:ascii="Times New Roman" w:hAnsi="Times New Roman" w:cs="Times New Roman"/>
          <w:i/>
          <w:iCs/>
          <w:lang w:val="en-US"/>
        </w:rPr>
        <w:t>g</w:t>
      </w:r>
      <w:r w:rsidRPr="0019689F">
        <w:rPr>
          <w:rFonts w:ascii="Times New Roman" w:hAnsi="Times New Roman" w:cs="Times New Roman"/>
          <w:lang w:val="en-US"/>
        </w:rPr>
        <w:t xml:space="preserve"> = −1.474). Systolic vorticity was similarly higher in AS, at 308.67 ± 44.46 s⁻¹ compared with 237.33 ± 34.49 s⁻¹ in controls, with a mean difference of −71.34 s⁻¹ (95% CI −129.37 to −13.31; </w:t>
      </w:r>
      <w:r w:rsidRPr="0019689F">
        <w:rPr>
          <w:rFonts w:ascii="Times New Roman" w:hAnsi="Times New Roman" w:cs="Times New Roman"/>
          <w:i/>
          <w:iCs/>
          <w:lang w:val="en-US"/>
        </w:rPr>
        <w:t>p</w:t>
      </w:r>
      <w:r w:rsidRPr="0019689F">
        <w:rPr>
          <w:rFonts w:ascii="Times New Roman" w:hAnsi="Times New Roman" w:cs="Times New Roman"/>
          <w:lang w:val="en-US"/>
        </w:rPr>
        <w:t xml:space="preserve"> = 0.022; Hedges' </w:t>
      </w:r>
      <w:r w:rsidRPr="0019689F">
        <w:rPr>
          <w:rFonts w:ascii="Times New Roman" w:hAnsi="Times New Roman" w:cs="Times New Roman"/>
          <w:i/>
          <w:iCs/>
          <w:lang w:val="en-US"/>
        </w:rPr>
        <w:t>g</w:t>
      </w:r>
      <w:r w:rsidRPr="0019689F">
        <w:rPr>
          <w:rFonts w:ascii="Times New Roman" w:hAnsi="Times New Roman" w:cs="Times New Roman"/>
          <w:lang w:val="en-US"/>
        </w:rPr>
        <w:t xml:space="preserve"> = −1.619). Both findings remained statistically significant in the Welch unequal-variance sensitivity analysis (</w:t>
      </w:r>
      <w:r w:rsidRPr="0019689F">
        <w:rPr>
          <w:rFonts w:ascii="Times New Roman" w:hAnsi="Times New Roman" w:cs="Times New Roman"/>
          <w:i/>
          <w:iCs/>
          <w:lang w:val="en-US"/>
        </w:rPr>
        <w:t>p</w:t>
      </w:r>
      <w:r w:rsidRPr="0019689F">
        <w:rPr>
          <w:rFonts w:ascii="Times New Roman" w:hAnsi="Times New Roman" w:cs="Times New Roman"/>
          <w:lang w:val="en-US"/>
        </w:rPr>
        <w:t xml:space="preserve"> = 0.045 and 0.023, respectively).</w:t>
      </w:r>
    </w:p>
    <w:p w14:paraId="4C640EB8"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None of the five kinetic-energy comparisons or five energy-loss comparisons reached the nominal significance threshold of </w:t>
      </w:r>
      <w:r w:rsidRPr="0019689F">
        <w:rPr>
          <w:rFonts w:ascii="Times New Roman" w:hAnsi="Times New Roman" w:cs="Times New Roman"/>
          <w:i/>
          <w:iCs/>
          <w:lang w:val="en-US"/>
        </w:rPr>
        <w:t>p</w:t>
      </w:r>
      <w:r w:rsidRPr="0019689F">
        <w:rPr>
          <w:rFonts w:ascii="Times New Roman" w:hAnsi="Times New Roman" w:cs="Times New Roman"/>
          <w:lang w:val="en-US"/>
        </w:rPr>
        <w:t xml:space="preserve"> &lt; 0.05. However, the non-significant findings should be interpreted as estimates rather than evidence of absence of an effect. For example, the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energy-loss difference was −665.41 µW, with a 95% CI from −1467.05 to 136.22 µW, illustrating the limited precision of the estimate.</w:t>
      </w:r>
    </w:p>
    <w:p w14:paraId="35958A7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two significant vorticity findings should not be interpreted as independent confirmations of separate effects.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and systolic vorticity are related measurements derived from the same underlying velocity field, with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encompassing the systolic period. The findings therefore provide convergent evidence of a difference in the measured vorticity parameter across related cardiac intervals rather than two independent observations.</w:t>
      </w:r>
    </w:p>
    <w:p w14:paraId="44EE37C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Given the small cohort, the data cannot reliably distinguish a biological difference from sampling variability. The findings should therefore be regarded as exploratory and hypothesis-generating rather than confirmatory.</w:t>
      </w:r>
    </w:p>
    <w:p w14:paraId="01DF5FE9"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4.2 LV vorticity</w:t>
      </w:r>
    </w:p>
    <w:p w14:paraId="716F161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higher LV vorticity observed during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and systole suggests altered </w:t>
      </w:r>
      <w:proofErr w:type="spellStart"/>
      <w:r w:rsidRPr="0019689F">
        <w:rPr>
          <w:rFonts w:ascii="Times New Roman" w:hAnsi="Times New Roman" w:cs="Times New Roman"/>
          <w:lang w:val="en-US"/>
        </w:rPr>
        <w:t>organisation</w:t>
      </w:r>
      <w:proofErr w:type="spellEnd"/>
      <w:r w:rsidRPr="0019689F">
        <w:rPr>
          <w:rFonts w:ascii="Times New Roman" w:hAnsi="Times New Roman" w:cs="Times New Roman"/>
          <w:lang w:val="en-US"/>
        </w:rPr>
        <w:t xml:space="preserve"> of intracavitary flow in AS. Four-dimensional flow CMR provides time-resolved three-dimensional velocity information that can </w:t>
      </w:r>
      <w:proofErr w:type="spellStart"/>
      <w:r w:rsidRPr="0019689F">
        <w:rPr>
          <w:rFonts w:ascii="Times New Roman" w:hAnsi="Times New Roman" w:cs="Times New Roman"/>
          <w:lang w:val="en-US"/>
        </w:rPr>
        <w:t>characterise</w:t>
      </w:r>
      <w:proofErr w:type="spellEnd"/>
      <w:r w:rsidRPr="0019689F">
        <w:rPr>
          <w:rFonts w:ascii="Times New Roman" w:hAnsi="Times New Roman" w:cs="Times New Roman"/>
          <w:lang w:val="en-US"/>
        </w:rPr>
        <w:t xml:space="preserve"> complex cardiovascular flow patterns beyond conventional scalar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measures.¹ Existing 4D-flow research in AS has predominantly focused on aortic flow and its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consequences, whereas quantitative assessment of LV vorticity in AS remains less established.</w:t>
      </w:r>
    </w:p>
    <w:p w14:paraId="4DAFE6F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systolic finding is physiologically plausible because AS increases resistance to LV ejection and alters the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environment during ventricular outflow. These changes may influence the </w:t>
      </w:r>
      <w:proofErr w:type="spellStart"/>
      <w:r w:rsidRPr="0019689F">
        <w:rPr>
          <w:rFonts w:ascii="Times New Roman" w:hAnsi="Times New Roman" w:cs="Times New Roman"/>
          <w:lang w:val="en-US"/>
        </w:rPr>
        <w:t>organisation</w:t>
      </w:r>
      <w:proofErr w:type="spellEnd"/>
      <w:r w:rsidRPr="0019689F">
        <w:rPr>
          <w:rFonts w:ascii="Times New Roman" w:hAnsi="Times New Roman" w:cs="Times New Roman"/>
          <w:lang w:val="en-US"/>
        </w:rPr>
        <w:t xml:space="preserve"> of intracavitary flow during systole. However, the present analysis cannot establish that AS itself caused the observed increase in vorticity, because ventricular geometry, loading conditions and characteristics of the measured velocity field may also influence this parameter.</w:t>
      </w:r>
    </w:p>
    <w:p w14:paraId="703BBA49"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A potential segmentation-related source of error was specifically considered. The basal LV contour was positioned to exclude the aortic-valve and LVOT region from the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LV volume, reducing the likelihood that inclusion of the high-velocity transvalvular jet or LVOT flow explains the observed systolic finding. The contours were also subsequently reviewed as part of supervisory quality control. However, the available records do not establish whether this review was blinded to group allocation or performed using a formal blinded procedure.</w:t>
      </w:r>
    </w:p>
    <w:p w14:paraId="3E6683B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lastRenderedPageBreak/>
        <w:t xml:space="preserve">Previous studies provide relevant context. Schäfer et al. reported reduced LV diastolic vorticity in patients with mild-to-moderate COPD, while </w:t>
      </w:r>
      <w:proofErr w:type="spellStart"/>
      <w:r w:rsidRPr="0019689F">
        <w:rPr>
          <w:rFonts w:ascii="Times New Roman" w:hAnsi="Times New Roman" w:cs="Times New Roman"/>
          <w:lang w:val="en-US"/>
        </w:rPr>
        <w:t>Demirkiran</w:t>
      </w:r>
      <w:proofErr w:type="spellEnd"/>
      <w:r w:rsidRPr="0019689F">
        <w:rPr>
          <w:rFonts w:ascii="Times New Roman" w:hAnsi="Times New Roman" w:cs="Times New Roman"/>
          <w:lang w:val="en-US"/>
        </w:rPr>
        <w:t xml:space="preserve"> et al. reported lower mean and peak LV vorticity in patients with chronic myocardial infarction compared with controls.²˒³ The present observation of higher vorticity in AS therefore differs in direction from these disease-associated reductions. This may reflect differences in disease mechanism, ventricular loading conditions, cardiac phase or study population. These studies support the feasibility of assessing LV vorticity using 4D-flow CMR but do not establish a disease-specific response applicable to AS.</w:t>
      </w:r>
    </w:p>
    <w:p w14:paraId="7DD7233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COPD does not provide an alternative explanation for the observed vorticity difference in the present dataset because COPD was absent in all five AS participants and all five controls.² This removes one specific potential competing explanation, although the small sample size means that the absence of COPD in this cohort does not exclude its relevance in larger AS populations.</w:t>
      </w:r>
    </w:p>
    <w:p w14:paraId="416E25B5"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Atrial fibrillation represents another important potential confounder. AF was present in one AS participant and two controls, making it more prevalent in the control group. The published PREFER-CMR analysis reported that R-R variability and averaging across multiple heartbeats in AF may affect 4D-flow measurements, including peak-velocity measurements.⁴ Because vorticity depends on spatial velocity gradients, averaging dissimilar cardiac cycles could alter the measured velocity field and potentially attenuate temporal variations in these gradients. The greater prevalence of AF in controls could therefore have contributed to lower measured vorticity in the control group and potentially increased the apparent AS–control difference. This remains speculative because the present study was not designed to quantify the effect of AF on vorticity and no post-hoc subgroup analysis was undertaken.</w:t>
      </w:r>
    </w:p>
    <w:p w14:paraId="39A96400"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Stroke volume provides another relevant consideration. Stroke volume was lower in AS than controls (78.2 ± 17.0 versus 88.5 ± 24.3 mL), as was LVEF (46.0 ± 23.3 versus 54.9 ± 4.7%). Kamphuis et al. reported positive associations between stroke volume and vorticity, including strong systolic and diastolic correlations in healthy participants and associations in Fontan patients.⁵ Because the group with higher vorticity in the present study had the lower stroke volume, greater flow volume alone is unlikely to explain the observed difference. This reduces one potential alternative explanation but does not establish a causal effect of AS.</w:t>
      </w:r>
    </w:p>
    <w:p w14:paraId="326E2646"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Interpretation is also constrained by uncertainty regarding the precise MASS vorticity summary metric. The available documentation does not establish whether the reported regional value represents a peak, volume-integrated or another specific summary formulation. Consequently, the results should be interpreted specifically as the MASS-derived vorticity output used in this analysis rather than assumed to correspond directly to a particular vorticity metric used in other 4D-flow studies.</w:t>
      </w:r>
    </w:p>
    <w:p w14:paraId="46BF0FD7"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Technical factors also require consideration. Four-dimensional flow measurements are influenced by acquisition and post-processing characteristics, including spatial resolution, temporal resolution and velocity encoding.⁶ The individual final VENC values were not available for the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datasets, although the available project information indicated an initial range of 150–200 cm/s.</w:t>
      </w:r>
    </w:p>
    <w:p w14:paraId="2ACF7EB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The published PREFER-CMR processing pipeline documented screening for aliasing artefacts and manual correction using established phase-unwrapping methods.⁴ However, it was not established whether those specific processing corrections were fully propagated or reproduced during the secondary MASS analysis undertaken here. This distinction is important because the published PREFER-CMR analysis used CVI42, whereas the present secondary analysis used MASS.</w:t>
      </w:r>
    </w:p>
    <w:p w14:paraId="753D7451"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Spatial-resolution limitations should also be considered. Previous work has demonstrated sensitivity of 4D-flow-derived energetic measurements to spatial resolution, particularly for viscous energy-loss </w:t>
      </w:r>
      <w:r w:rsidRPr="0019689F">
        <w:rPr>
          <w:rFonts w:ascii="Times New Roman" w:hAnsi="Times New Roman" w:cs="Times New Roman"/>
          <w:lang w:val="en-US"/>
        </w:rPr>
        <w:lastRenderedPageBreak/>
        <w:t xml:space="preserve">estimation.⁷ </w:t>
      </w:r>
      <w:proofErr w:type="spellStart"/>
      <w:r w:rsidRPr="0019689F">
        <w:rPr>
          <w:rFonts w:ascii="Times New Roman" w:hAnsi="Times New Roman" w:cs="Times New Roman"/>
          <w:lang w:val="en-US"/>
        </w:rPr>
        <w:t>Binter</w:t>
      </w:r>
      <w:proofErr w:type="spellEnd"/>
      <w:r w:rsidRPr="0019689F">
        <w:rPr>
          <w:rFonts w:ascii="Times New Roman" w:hAnsi="Times New Roman" w:cs="Times New Roman"/>
          <w:lang w:val="en-US"/>
        </w:rPr>
        <w:t xml:space="preserve"> et al. demonstrated that increasing voxel size from 0.625 to 2.5 mm produced substantial underestimation of viscous energy losses under the conditions tested.⁷ The effect of the available acquisition characteristics on the specific MASS-derived vorticity metric used here cannot be quantified, and therefore the magnitude of the vorticity difference should be interpreted cautiously.</w:t>
      </w:r>
    </w:p>
    <w:p w14:paraId="51A443F5"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Aortic regurgitation provides an additional clinical consideration. AR was recorded as nil in two AS participants and mild in three, with no mild-to-moderate AR recorded. AR status was not available for the control datasets, so its potential contribution to between-group differences cannot be directly assessed.</w:t>
      </w:r>
    </w:p>
    <w:p w14:paraId="25CFE3A6"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4.3 EDV-</w:t>
      </w:r>
      <w:proofErr w:type="spellStart"/>
      <w:r w:rsidRPr="0019689F">
        <w:rPr>
          <w:rFonts w:ascii="Times New Roman" w:hAnsi="Times New Roman" w:cs="Times New Roman"/>
          <w:b/>
          <w:bCs/>
          <w:lang w:val="en-US"/>
        </w:rPr>
        <w:t>normalised</w:t>
      </w:r>
      <w:proofErr w:type="spellEnd"/>
      <w:r w:rsidRPr="0019689F">
        <w:rPr>
          <w:rFonts w:ascii="Times New Roman" w:hAnsi="Times New Roman" w:cs="Times New Roman"/>
          <w:b/>
          <w:bCs/>
          <w:lang w:val="en-US"/>
        </w:rPr>
        <w:t xml:space="preserve"> kinetic energy</w:t>
      </w:r>
    </w:p>
    <w:p w14:paraId="335D226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EDV-</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kinetic energy was numerically higher in the AS group across all five cardiac intervals, although none of the comparisons reached statistical significance.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kinetic energy was 14.15 ± 3.54 µJ/mL in AS compared with 9.82 ± 3.27 µJ/mL in controls (</w:t>
      </w:r>
      <w:r w:rsidRPr="0019689F">
        <w:rPr>
          <w:rFonts w:ascii="Times New Roman" w:hAnsi="Times New Roman" w:cs="Times New Roman"/>
          <w:i/>
          <w:iCs/>
          <w:lang w:val="en-US"/>
        </w:rPr>
        <w:t>p</w:t>
      </w:r>
      <w:r w:rsidRPr="0019689F">
        <w:rPr>
          <w:rFonts w:ascii="Times New Roman" w:hAnsi="Times New Roman" w:cs="Times New Roman"/>
          <w:lang w:val="en-US"/>
        </w:rPr>
        <w:t xml:space="preserve"> = 0.079). Similar numerical differences were observed during systole, diastole, E-wave and A-wave.</w:t>
      </w:r>
    </w:p>
    <w:p w14:paraId="16FCE398"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direction of these findings is of interest because previous work has demonstrated relationships between LV blood-flow kinetic energy, functional capacity and LV </w:t>
      </w:r>
      <w:proofErr w:type="spellStart"/>
      <w:r w:rsidRPr="0019689F">
        <w:rPr>
          <w:rFonts w:ascii="Times New Roman" w:hAnsi="Times New Roman" w:cs="Times New Roman"/>
          <w:lang w:val="en-US"/>
        </w:rPr>
        <w:t>remodelling</w:t>
      </w:r>
      <w:proofErr w:type="spellEnd"/>
      <w:r w:rsidRPr="0019689F">
        <w:rPr>
          <w:rFonts w:ascii="Times New Roman" w:hAnsi="Times New Roman" w:cs="Times New Roman"/>
          <w:lang w:val="en-US"/>
        </w:rPr>
        <w:t xml:space="preserve"> in AS. </w:t>
      </w:r>
      <w:proofErr w:type="spellStart"/>
      <w:r w:rsidRPr="0019689F">
        <w:rPr>
          <w:rFonts w:ascii="Times New Roman" w:hAnsi="Times New Roman" w:cs="Times New Roman"/>
          <w:lang w:val="en-US"/>
        </w:rPr>
        <w:t>Elhawaz</w:t>
      </w:r>
      <w:proofErr w:type="spellEnd"/>
      <w:r w:rsidRPr="0019689F">
        <w:rPr>
          <w:rFonts w:ascii="Times New Roman" w:hAnsi="Times New Roman" w:cs="Times New Roman"/>
          <w:lang w:val="en-US"/>
        </w:rPr>
        <w:t xml:space="preserve"> et al. investigated LV blood-flow kinetic energy in patients with AS undergoing valve intervention and reported associations with the six-minute walk test and subsequent LV </w:t>
      </w:r>
      <w:proofErr w:type="spellStart"/>
      <w:r w:rsidRPr="0019689F">
        <w:rPr>
          <w:rFonts w:ascii="Times New Roman" w:hAnsi="Times New Roman" w:cs="Times New Roman"/>
          <w:lang w:val="en-US"/>
        </w:rPr>
        <w:t>remodelling</w:t>
      </w:r>
      <w:proofErr w:type="spellEnd"/>
      <w:r w:rsidRPr="0019689F">
        <w:rPr>
          <w:rFonts w:ascii="Times New Roman" w:hAnsi="Times New Roman" w:cs="Times New Roman"/>
          <w:lang w:val="en-US"/>
        </w:rPr>
        <w:t>.⁸ The present study differs from that work in its exploratory case–control design, small sample size and use of EDV-</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kinetic energy across predefined cardiac intervals rather than longitudinal assessment following intervention.</w:t>
      </w:r>
    </w:p>
    <w:p w14:paraId="7EB3F776"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The absence of statistical significance should not be interpreted as evidence that kinetic energy is unchanged in AS. The small sample size provides limited statistical power and several estimates had substantial uncertainty. The consistent numerical direction across all five intervals may therefore warrant investigation in larger cohorts. However, the absence of multiplicity correction and the exploratory design mean that these observations remain hypothesis-generating.</w:t>
      </w:r>
    </w:p>
    <w:p w14:paraId="59296160"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LV volume measurements provide additional context. Mean LV EDV was 230.8 ± 170.2 mL in AS compared with 160.8 ± 39.3 mL in controls. Thus, the AS group had a larger mean LV volume despite substantial variability. Because kinetic energy was </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to EDV, the higher numerical kinetic-energy values in AS cannot simply be attributed to the larger LV volume denominator. Indeed, higher EDV-</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kinetic energy was observed despite the larger mean EDV in the AS group. Nevertheless, the marked variability in LV volume means that the relationship between ventricular size and </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kinetic energy remains uncertain.</w:t>
      </w:r>
    </w:p>
    <w:p w14:paraId="2389954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Papillary-muscle treatment represents another methodological consideration. Papillary muscles were included within the LV endocardial contour and therefore within the LV blood-pool region used for analysis. This differs from previous 4D-flow CMR work in AS in which papillary muscles were excluded.⁹ Inclusion of papillary muscles may alter the defined blood-pool volume and consequently the EDV denominator used for kinetic-energy </w:t>
      </w:r>
      <w:proofErr w:type="spellStart"/>
      <w:r w:rsidRPr="0019689F">
        <w:rPr>
          <w:rFonts w:ascii="Times New Roman" w:hAnsi="Times New Roman" w:cs="Times New Roman"/>
          <w:lang w:val="en-US"/>
        </w:rPr>
        <w:t>normalisation</w:t>
      </w:r>
      <w:proofErr w:type="spellEnd"/>
      <w:r w:rsidRPr="0019689F">
        <w:rPr>
          <w:rFonts w:ascii="Times New Roman" w:hAnsi="Times New Roman" w:cs="Times New Roman"/>
          <w:lang w:val="en-US"/>
        </w:rPr>
        <w:t>. Because ventricular morphology may differ between groups, the magnitude and direction of any resulting group asymmetry cannot be determined from the present data.</w:t>
      </w:r>
    </w:p>
    <w:p w14:paraId="7031038F"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4.4 Energy loss</w:t>
      </w:r>
    </w:p>
    <w:p w14:paraId="23627053"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Energy loss was numerically higher in the AS group across all five intervals, but none of the comparisons reached statistical significance.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energy loss was 1245.26 ± 729.98 µW in AS compared with </w:t>
      </w:r>
      <w:r w:rsidRPr="0019689F">
        <w:rPr>
          <w:rFonts w:ascii="Times New Roman" w:hAnsi="Times New Roman" w:cs="Times New Roman"/>
          <w:lang w:val="en-US"/>
        </w:rPr>
        <w:lastRenderedPageBreak/>
        <w:t xml:space="preserve">579.85 ± 267.13 µW in controls, with a mean difference of −665.41 µW (95% CI −1467.05 to 136.22; </w:t>
      </w:r>
      <w:r w:rsidRPr="0019689F">
        <w:rPr>
          <w:rFonts w:ascii="Times New Roman" w:hAnsi="Times New Roman" w:cs="Times New Roman"/>
          <w:i/>
          <w:iCs/>
          <w:lang w:val="en-US"/>
        </w:rPr>
        <w:t>p</w:t>
      </w:r>
      <w:r w:rsidRPr="0019689F">
        <w:rPr>
          <w:rFonts w:ascii="Times New Roman" w:hAnsi="Times New Roman" w:cs="Times New Roman"/>
          <w:lang w:val="en-US"/>
        </w:rPr>
        <w:t xml:space="preserve"> = 0.092). Similar numerical differences were observed during systole, diastole, E-wave and A-wave.</w:t>
      </w:r>
    </w:p>
    <w:p w14:paraId="127BDEDF"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consistently higher energy-loss measurements in AS may indicate altered intracavitary flow </w:t>
      </w:r>
      <w:proofErr w:type="spellStart"/>
      <w:r w:rsidRPr="0019689F">
        <w:rPr>
          <w:rFonts w:ascii="Times New Roman" w:hAnsi="Times New Roman" w:cs="Times New Roman"/>
          <w:lang w:val="en-US"/>
        </w:rPr>
        <w:t>organisation</w:t>
      </w:r>
      <w:proofErr w:type="spellEnd"/>
      <w:r w:rsidRPr="0019689F">
        <w:rPr>
          <w:rFonts w:ascii="Times New Roman" w:hAnsi="Times New Roman" w:cs="Times New Roman"/>
          <w:lang w:val="en-US"/>
        </w:rPr>
        <w:t xml:space="preserve"> and increased energy dissipation, but the confidence intervals were wide and crossed zero. The findings therefore do not establish a statistically significant difference or demonstrate equivalence between groups.</w:t>
      </w:r>
    </w:p>
    <w:p w14:paraId="3521C5C3"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Unlike kinetic energy, the energy-loss parameter was not </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to LV EDV in the present analysis. This is relevant because the AS group had a larger mean LV EDV than controls (230.8 ± 170.2 versus 160.8 ± 39.3 mL). Consequently, the higher absolute energy-loss values observed in AS may partly reflect differences in ventricular volume rather than greater energy dissipation per unit volume. The present data cannot separate these effects, and future studies should consider both absolute and volume-</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energy-loss measures.</w:t>
      </w:r>
    </w:p>
    <w:p w14:paraId="6BAC9EE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Interpretation is further limited because the exact mathematical formulation implemented by the MASS energy-loss parameter could not be independently established from the available project documentation. The parameter was therefore retained using the MASS-generated terminology rather than being reclassified as viscous energy loss or turbulent kinetic energy. Comparisons with studies using differently defined energy-loss metrics should consequently be made cautiously.</w:t>
      </w:r>
    </w:p>
    <w:p w14:paraId="58582429"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Previous 4D-flow studies have demonstrated that energetic measurements can provide information about the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consequences of AS. </w:t>
      </w:r>
      <w:proofErr w:type="spellStart"/>
      <w:r w:rsidRPr="0019689F">
        <w:rPr>
          <w:rFonts w:ascii="Times New Roman" w:hAnsi="Times New Roman" w:cs="Times New Roman"/>
          <w:lang w:val="en-US"/>
        </w:rPr>
        <w:t>Dyverfeldt</w:t>
      </w:r>
      <w:proofErr w:type="spellEnd"/>
      <w:r w:rsidRPr="0019689F">
        <w:rPr>
          <w:rFonts w:ascii="Times New Roman" w:hAnsi="Times New Roman" w:cs="Times New Roman"/>
          <w:lang w:val="en-US"/>
        </w:rPr>
        <w:t xml:space="preserve"> et al. demonstrated a relationship between aortic turbulent kinetic energy and irreversible pressure loss in AS, while </w:t>
      </w:r>
      <w:proofErr w:type="spellStart"/>
      <w:r w:rsidRPr="0019689F">
        <w:rPr>
          <w:rFonts w:ascii="Times New Roman" w:hAnsi="Times New Roman" w:cs="Times New Roman"/>
          <w:lang w:val="en-US"/>
        </w:rPr>
        <w:t>Binter</w:t>
      </w:r>
      <w:proofErr w:type="spellEnd"/>
      <w:r w:rsidRPr="0019689F">
        <w:rPr>
          <w:rFonts w:ascii="Times New Roman" w:hAnsi="Times New Roman" w:cs="Times New Roman"/>
          <w:lang w:val="en-US"/>
        </w:rPr>
        <w:t xml:space="preserve"> et al. subsequently showed that turbulent kinetic energy could provide additional information relative to conventional echocardiographic measures of AS severity.¹⁰˒¹¹ These studies examined aortic rather than LV flow and used different energetic metrics from the MASS-derived parameter used here. They therefore provide physiological context rather than direct reference ranges for the present measurements.</w:t>
      </w:r>
    </w:p>
    <w:p w14:paraId="48700DA3"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Spatial resolution is particularly relevant to energy-loss estimation. </w:t>
      </w:r>
      <w:proofErr w:type="spellStart"/>
      <w:r w:rsidRPr="0019689F">
        <w:rPr>
          <w:rFonts w:ascii="Times New Roman" w:hAnsi="Times New Roman" w:cs="Times New Roman"/>
          <w:lang w:val="en-US"/>
        </w:rPr>
        <w:t>Binter</w:t>
      </w:r>
      <w:proofErr w:type="spellEnd"/>
      <w:r w:rsidRPr="0019689F">
        <w:rPr>
          <w:rFonts w:ascii="Times New Roman" w:hAnsi="Times New Roman" w:cs="Times New Roman"/>
          <w:lang w:val="en-US"/>
        </w:rPr>
        <w:t xml:space="preserve"> et al. demonstrated that increasing voxel size from 0.625 to 2.5 mm resulted in substantial underestimation of viscous energy losses under the conditions tested.⁷ The present study did not have sufficient acquisition documentation to determine the precise spatial-resolution characteristics of the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datasets. Absolute energy-loss values should therefore be interpreted cautiously, particularly when comparing them with studies using different acquisition and analysis methods.</w:t>
      </w:r>
    </w:p>
    <w:p w14:paraId="0DC810C4"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4.5 Strengths and limitations</w:t>
      </w:r>
    </w:p>
    <w:p w14:paraId="4F37EDEB"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A major strength of this study is that it provides an exploratory assessment of multiple LV flow-energetic parameters across several cardiac intervals within an existing CMR research dataset. The analysis used the same predefined approach across the AS and control datasets and applied consistent LV contouring and MASS-based processing. Stroke volume and LVEF were also examined, providing useful context for interpreting the vorticity findings.</w:t>
      </w:r>
    </w:p>
    <w:p w14:paraId="2FAF2B7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The availability of a control arm is also a strength compared with studies that evaluate LV flow energetics within AS without a comparator group. However, the control cohort should not be interpreted as a uniformly healthy volunteer population. Two controls had AF, two had oedema and two were recorded as NYHA class II.</w:t>
      </w:r>
    </w:p>
    <w:p w14:paraId="6E240917"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baseline characteristics demonstrated important between-group imbalance. The AS participants were older than the controls, with mean ages of 73.6 ± 9.6 and 57.6 ± 17.0 years, respectively. Hypertension </w:t>
      </w:r>
      <w:r w:rsidRPr="0019689F">
        <w:rPr>
          <w:rFonts w:ascii="Times New Roman" w:hAnsi="Times New Roman" w:cs="Times New Roman"/>
          <w:lang w:val="en-US"/>
        </w:rPr>
        <w:lastRenderedPageBreak/>
        <w:t>was present in four of five AS participants compared with none of the controls, while IHD was present in two AS participants and none of the controls. These differences represent potential confounding factors because age and cardiovascular comorbidity may influence ventricular structure, function and intracavitary flow independently of AS. Given the sample size, reliable statistical adjustment for these factors was not possible and was not undertaken.</w:t>
      </w:r>
    </w:p>
    <w:p w14:paraId="777D9769"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AS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measurements also demonstrated cross-modality discordance between CMR- and echocardiographic-derived valve measurements in two participants. The available CMR peak velocity, echocardiographic peak velocity, mean transvalvular gradient and AVA measurements were therefore reported descriptively rather than used to assign a single categorical AS severity classification. The absence of an independent contemporaneous reassessment means that AS severity cannot be treated as a precisely defined explanatory variable in the present analysis. Severity was also not used as an eligibility criterion, selection criterion or stratification variable.</w:t>
      </w:r>
    </w:p>
    <w:p w14:paraId="28269241"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datasets were selected from a larger available pool under the practical constraints of the dissertation. Ten control datasets were available and five were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while five AS datasets were selected from the wider available AS dataset. The precise historical selection mechanism could not be independently established and was not described as random, consecutive or formally matched. This introduces potential selection bias and limits the representativeness of the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xml:space="preserve"> sample.</w:t>
      </w:r>
    </w:p>
    <w:p w14:paraId="6AC58BDF"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Although both groups originated from the same PREFER-CMR registry, the operational basis for control status could not be independently verified from the data available to the researcher. No valve-related measurements were available for the control datasets, including CMR or echocardiographic peak velocity, mean transvalvular gradient, AVA or AR status. Consequently, the absence of AS in the control group could not be independently re-established in the present analysis and rests on the registry group assignment. This limits certainty regarding comparator status and should be addressed explicitly in future registry analyses.</w:t>
      </w:r>
    </w:p>
    <w:p w14:paraId="3793D60F"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The study was conducted using datasets from a single-</w:t>
      </w:r>
      <w:proofErr w:type="spellStart"/>
      <w:r w:rsidRPr="0019689F">
        <w:rPr>
          <w:rFonts w:ascii="Times New Roman" w:hAnsi="Times New Roman" w:cs="Times New Roman"/>
          <w:lang w:val="en-US"/>
        </w:rPr>
        <w:t>centre</w:t>
      </w:r>
      <w:proofErr w:type="spellEnd"/>
      <w:r w:rsidRPr="0019689F">
        <w:rPr>
          <w:rFonts w:ascii="Times New Roman" w:hAnsi="Times New Roman" w:cs="Times New Roman"/>
          <w:lang w:val="en-US"/>
        </w:rPr>
        <w:t xml:space="preserve"> registry at NNUH. The single-</w:t>
      </w:r>
      <w:proofErr w:type="spellStart"/>
      <w:r w:rsidRPr="0019689F">
        <w:rPr>
          <w:rFonts w:ascii="Times New Roman" w:hAnsi="Times New Roman" w:cs="Times New Roman"/>
          <w:lang w:val="en-US"/>
        </w:rPr>
        <w:t>centre</w:t>
      </w:r>
      <w:proofErr w:type="spellEnd"/>
      <w:r w:rsidRPr="0019689F">
        <w:rPr>
          <w:rFonts w:ascii="Times New Roman" w:hAnsi="Times New Roman" w:cs="Times New Roman"/>
          <w:lang w:val="en-US"/>
        </w:rPr>
        <w:t xml:space="preserve"> nature of the dataset may limit </w:t>
      </w:r>
      <w:proofErr w:type="spellStart"/>
      <w:r w:rsidRPr="0019689F">
        <w:rPr>
          <w:rFonts w:ascii="Times New Roman" w:hAnsi="Times New Roman" w:cs="Times New Roman"/>
          <w:lang w:val="en-US"/>
        </w:rPr>
        <w:t>generalisability</w:t>
      </w:r>
      <w:proofErr w:type="spellEnd"/>
      <w:r w:rsidRPr="0019689F">
        <w:rPr>
          <w:rFonts w:ascii="Times New Roman" w:hAnsi="Times New Roman" w:cs="Times New Roman"/>
          <w:lang w:val="en-US"/>
        </w:rPr>
        <w:t xml:space="preserve"> to other populations, institutions, scanners and acquisition protocols.</w:t>
      </w:r>
    </w:p>
    <w:p w14:paraId="3D87D497"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five AS datasets formed part of the cohort reported in the published PREFER-CMR study.⁴ The present analysis therefore represents a secondary analysis rather than an independently recruited replication cohort. The published study focused on aortic </w:t>
      </w:r>
      <w:proofErr w:type="spellStart"/>
      <w:r w:rsidRPr="0019689F">
        <w:rPr>
          <w:rFonts w:ascii="Times New Roman" w:hAnsi="Times New Roman" w:cs="Times New Roman"/>
          <w:lang w:val="en-US"/>
        </w:rPr>
        <w:t>haemodynamic</w:t>
      </w:r>
      <w:proofErr w:type="spellEnd"/>
      <w:r w:rsidRPr="0019689F">
        <w:rPr>
          <w:rFonts w:ascii="Times New Roman" w:hAnsi="Times New Roman" w:cs="Times New Roman"/>
          <w:lang w:val="en-US"/>
        </w:rPr>
        <w:t xml:space="preserve"> measures, whereas the present analysis examined LV flow-energetic parameters. This provides a complementary analysis of the existing registry data but means that the AS cohort should not be considered an independent replication sample.</w:t>
      </w:r>
    </w:p>
    <w:p w14:paraId="1EF38836"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researcher was aware of group allocation during contour review. Dr Rui Li subsequently performed quality-control review, but the available records do not establish whether this review was blinded to group allocation or whether all ten datasets were reviewed using a formal blinded procedure. No formal intra-observer or inter-observer reproducibility assessment was undertaken. Previous work demonstrated scan–rescan reproducibility of LV kinetic energy, viscous energy loss and vorticity during diastolic filling in healthy subjects, but this does not establish reproducibility of the present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or systolic vorticity measurements in AS.¹²</w:t>
      </w:r>
    </w:p>
    <w:p w14:paraId="7FBD53E8"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AI-assisted contouring was initially used to generate LV contours, followed by manual review and correction. Although this provided an efficient starting point for segmentation, differences in contour placement may influence the LV region included in the flow analysis. Papillary muscles were consistently included within the LV endocardial contour, differing from some previous 4D-flow CMR work in AS.⁹ </w:t>
      </w:r>
      <w:r w:rsidRPr="0019689F">
        <w:rPr>
          <w:rFonts w:ascii="Times New Roman" w:hAnsi="Times New Roman" w:cs="Times New Roman"/>
          <w:lang w:val="en-US"/>
        </w:rPr>
        <w:lastRenderedPageBreak/>
        <w:t>This may influence the defined LV volume and the derived energetic measurements. Because ventricular morphology may differ between groups, the magnitude and direction of any resulting group asymmetry cannot be determined from the present data.</w:t>
      </w:r>
    </w:p>
    <w:p w14:paraId="1D48F8C0"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Finally, the parent registry's published analysis and the present secondary analysis used different post-processing environments. The published PREFER-CMR analysis used CVI42, whereas the present analysis used MASS. Although the same underlying 4D-flow datasets were </w:t>
      </w:r>
      <w:proofErr w:type="spellStart"/>
      <w:r w:rsidRPr="0019689F">
        <w:rPr>
          <w:rFonts w:ascii="Times New Roman" w:hAnsi="Times New Roman" w:cs="Times New Roman"/>
          <w:lang w:val="en-US"/>
        </w:rPr>
        <w:t>analysed</w:t>
      </w:r>
      <w:proofErr w:type="spellEnd"/>
      <w:r w:rsidRPr="0019689F">
        <w:rPr>
          <w:rFonts w:ascii="Times New Roman" w:hAnsi="Times New Roman" w:cs="Times New Roman"/>
          <w:lang w:val="en-US"/>
        </w:rPr>
        <w:t>, differences between software platforms may affect derived flow-energetic parameters. The present study therefore provides an exploratory analysis rather than a software-independent validation of LV flow-energetic measurements.</w:t>
      </w:r>
    </w:p>
    <w:p w14:paraId="137B8ED5"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4.6 Implications and future research</w:t>
      </w:r>
    </w:p>
    <w:p w14:paraId="062333E2"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present findings support further investigation of LV vorticity as a potential marker of altered intracavitary flow in AS. However, the current evidence is insufficient to support its use as a disease-specific or clinically applicable biomarker. Future studies should use substantially larger cohorts with prospectively defined inclusion and exclusion criteria, clearly defined control status and </w:t>
      </w:r>
      <w:proofErr w:type="spellStart"/>
      <w:r w:rsidRPr="0019689F">
        <w:rPr>
          <w:rFonts w:ascii="Times New Roman" w:hAnsi="Times New Roman" w:cs="Times New Roman"/>
          <w:lang w:val="en-US"/>
        </w:rPr>
        <w:t>standardised</w:t>
      </w:r>
      <w:proofErr w:type="spellEnd"/>
      <w:r w:rsidRPr="0019689F">
        <w:rPr>
          <w:rFonts w:ascii="Times New Roman" w:hAnsi="Times New Roman" w:cs="Times New Roman"/>
          <w:lang w:val="en-US"/>
        </w:rPr>
        <w:t xml:space="preserve"> CMR acquisition and post-processing protocols.</w:t>
      </w:r>
    </w:p>
    <w:p w14:paraId="0F8A28E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Future registry analyses should explicitly document the eligibility criteria and operational definition of the control arm, including how absence of AS is established. This would reduce uncertainty arising from reliance on dataset assignment and improve comparability between groups. </w:t>
      </w:r>
      <w:proofErr w:type="spellStart"/>
      <w:r w:rsidRPr="0019689F">
        <w:rPr>
          <w:rFonts w:ascii="Times New Roman" w:hAnsi="Times New Roman" w:cs="Times New Roman"/>
          <w:lang w:val="en-US"/>
        </w:rPr>
        <w:t>Multicentre</w:t>
      </w:r>
      <w:proofErr w:type="spellEnd"/>
      <w:r w:rsidRPr="0019689F">
        <w:rPr>
          <w:rFonts w:ascii="Times New Roman" w:hAnsi="Times New Roman" w:cs="Times New Roman"/>
          <w:lang w:val="en-US"/>
        </w:rPr>
        <w:t xml:space="preserve"> recruitment would also improve </w:t>
      </w:r>
      <w:proofErr w:type="spellStart"/>
      <w:r w:rsidRPr="0019689F">
        <w:rPr>
          <w:rFonts w:ascii="Times New Roman" w:hAnsi="Times New Roman" w:cs="Times New Roman"/>
          <w:lang w:val="en-US"/>
        </w:rPr>
        <w:t>generalisability</w:t>
      </w:r>
      <w:proofErr w:type="spellEnd"/>
      <w:r w:rsidRPr="0019689F">
        <w:rPr>
          <w:rFonts w:ascii="Times New Roman" w:hAnsi="Times New Roman" w:cs="Times New Roman"/>
          <w:lang w:val="en-US"/>
        </w:rPr>
        <w:t xml:space="preserve"> and reduce the influence of </w:t>
      </w:r>
      <w:proofErr w:type="spellStart"/>
      <w:r w:rsidRPr="0019689F">
        <w:rPr>
          <w:rFonts w:ascii="Times New Roman" w:hAnsi="Times New Roman" w:cs="Times New Roman"/>
          <w:lang w:val="en-US"/>
        </w:rPr>
        <w:t>centre</w:t>
      </w:r>
      <w:proofErr w:type="spellEnd"/>
      <w:r w:rsidRPr="0019689F">
        <w:rPr>
          <w:rFonts w:ascii="Times New Roman" w:hAnsi="Times New Roman" w:cs="Times New Roman"/>
          <w:lang w:val="en-US"/>
        </w:rPr>
        <w:t>-specific acquisition and processing practices.</w:t>
      </w:r>
    </w:p>
    <w:p w14:paraId="42505B3F"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Future studies should prospectively record complete acquisition and processing histories, including dataset-specific VENC, spatial and temporal resolution, and the handling of aliasing and phase-unwrapping corrections. Where secondary analyses are undertaken, the propagation of these processing steps from the parent pipeline into the software used for re-analysis should be explicitly documented.</w:t>
      </w:r>
    </w:p>
    <w:p w14:paraId="1FC9493E" w14:textId="77777777" w:rsidR="0019689F" w:rsidRPr="0019689F" w:rsidRDefault="0019689F" w:rsidP="0019689F">
      <w:pPr>
        <w:rPr>
          <w:rFonts w:ascii="Times New Roman" w:hAnsi="Times New Roman" w:cs="Times New Roman"/>
          <w:lang w:val="en-US"/>
        </w:rPr>
      </w:pPr>
      <w:proofErr w:type="spellStart"/>
      <w:r w:rsidRPr="0019689F">
        <w:rPr>
          <w:rFonts w:ascii="Times New Roman" w:hAnsi="Times New Roman" w:cs="Times New Roman"/>
          <w:lang w:val="en-US"/>
        </w:rPr>
        <w:t>Standardised</w:t>
      </w:r>
      <w:proofErr w:type="spellEnd"/>
      <w:r w:rsidRPr="0019689F">
        <w:rPr>
          <w:rFonts w:ascii="Times New Roman" w:hAnsi="Times New Roman" w:cs="Times New Roman"/>
          <w:lang w:val="en-US"/>
        </w:rPr>
        <w:t xml:space="preserve"> contouring protocols should be established before analysis, including predefined conventions for papillary-muscle treatment and basal LV/LVOT boundaries. AI-assisted segmentation may improve efficiency, but its use should be accompanied by systematic quality-control procedures and formal intra- and inter-observer reproducibility assessment.</w:t>
      </w:r>
    </w:p>
    <w:p w14:paraId="080BA2B3"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The relationship between LV vorticity, ventricular volumes, stroke volume, LVEF and clinical measures should also be investigated in larger cohorts. Longitudinal studies could determine whether changes in LV flow energetics accompany disease progression or change following aortic-valve intervention.</w:t>
      </w:r>
    </w:p>
    <w:p w14:paraId="416D51F8"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non-invasive pressure–volume loop component originally proposed for this project was not completed within the dissertation timeframe and should be considered in future work. Pressure-volume-derived measures such as stroke work and pressure-volume area describe myocardial mechanical energetics, whereas 4D-flow-derived kinetic energy, vorticity and energy-loss measures describe blood-flow energetics.¹³ Combining these complementary domains may provide a more comprehensive assessment of ventricular mechanical efficiency and intracavitary flow </w:t>
      </w:r>
      <w:proofErr w:type="spellStart"/>
      <w:r w:rsidRPr="0019689F">
        <w:rPr>
          <w:rFonts w:ascii="Times New Roman" w:hAnsi="Times New Roman" w:cs="Times New Roman"/>
          <w:lang w:val="en-US"/>
        </w:rPr>
        <w:t>behaviour</w:t>
      </w:r>
      <w:proofErr w:type="spellEnd"/>
      <w:r w:rsidRPr="0019689F">
        <w:rPr>
          <w:rFonts w:ascii="Times New Roman" w:hAnsi="Times New Roman" w:cs="Times New Roman"/>
          <w:lang w:val="en-US"/>
        </w:rPr>
        <w:t xml:space="preserve"> rather than treating them as interchangeable measures.</w:t>
      </w:r>
    </w:p>
    <w:p w14:paraId="19EE5FA1"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Future work should also investigate the influence of rhythm, particularly AF, on phase-specific 4D-flow measurements. Analyses stratified by rhythm or using </w:t>
      </w:r>
      <w:proofErr w:type="spellStart"/>
      <w:r w:rsidRPr="0019689F">
        <w:rPr>
          <w:rFonts w:ascii="Times New Roman" w:hAnsi="Times New Roman" w:cs="Times New Roman"/>
          <w:lang w:val="en-US"/>
        </w:rPr>
        <w:t>standardised</w:t>
      </w:r>
      <w:proofErr w:type="spellEnd"/>
      <w:r w:rsidRPr="0019689F">
        <w:rPr>
          <w:rFonts w:ascii="Times New Roman" w:hAnsi="Times New Roman" w:cs="Times New Roman"/>
          <w:lang w:val="en-US"/>
        </w:rPr>
        <w:t xml:space="preserve"> beat-selection and averaging approaches may help determine whether the observed vorticity differences persist after accounting for R-R variability.</w:t>
      </w:r>
    </w:p>
    <w:p w14:paraId="68D7505E"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lastRenderedPageBreak/>
        <w:t>4.7 Conclusion</w:t>
      </w:r>
    </w:p>
    <w:p w14:paraId="27331EC9"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This exploratory analysis identified higher LV vorticity in participants with AS during the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and systolic intervals, while EDV-</w:t>
      </w:r>
      <w:proofErr w:type="spellStart"/>
      <w:r w:rsidRPr="0019689F">
        <w:rPr>
          <w:rFonts w:ascii="Times New Roman" w:hAnsi="Times New Roman" w:cs="Times New Roman"/>
          <w:lang w:val="en-US"/>
        </w:rPr>
        <w:t>normalised</w:t>
      </w:r>
      <w:proofErr w:type="spellEnd"/>
      <w:r w:rsidRPr="0019689F">
        <w:rPr>
          <w:rFonts w:ascii="Times New Roman" w:hAnsi="Times New Roman" w:cs="Times New Roman"/>
          <w:lang w:val="en-US"/>
        </w:rPr>
        <w:t xml:space="preserve"> kinetic energy and energy loss were numerically higher but not statistically significantly different across the assessed cardiac intervals. The findings partially support the study hypothesis and suggest that LV vorticity may capture alterations in intracavitary flow that are not explained solely by stroke volume or LVEF.</w:t>
      </w:r>
    </w:p>
    <w:p w14:paraId="6F30C96D"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However, the small sample, baseline age and comorbidity imbalance, potential selection bias, clinical heterogeneity of the control cohort, inability to independently verify the absence of AS in the control datasets, single-</w:t>
      </w:r>
      <w:proofErr w:type="spellStart"/>
      <w:r w:rsidRPr="0019689F">
        <w:rPr>
          <w:rFonts w:ascii="Times New Roman" w:hAnsi="Times New Roman" w:cs="Times New Roman"/>
          <w:lang w:val="en-US"/>
        </w:rPr>
        <w:t>centre</w:t>
      </w:r>
      <w:proofErr w:type="spellEnd"/>
      <w:r w:rsidRPr="0019689F">
        <w:rPr>
          <w:rFonts w:ascii="Times New Roman" w:hAnsi="Times New Roman" w:cs="Times New Roman"/>
          <w:lang w:val="en-US"/>
        </w:rPr>
        <w:t xml:space="preserve"> provenance, technical uncertainties, methodological differences between CVI42 and MASS, lack of formal reproducibility assessment and lack of multiplicity correction substantially limit inference.</w:t>
      </w:r>
    </w:p>
    <w:p w14:paraId="3DAC5495"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lang w:val="en-US"/>
        </w:rPr>
        <w:t xml:space="preserve">The </w:t>
      </w:r>
      <w:proofErr w:type="spellStart"/>
      <w:r w:rsidRPr="0019689F">
        <w:rPr>
          <w:rFonts w:ascii="Times New Roman" w:hAnsi="Times New Roman" w:cs="Times New Roman"/>
          <w:lang w:val="en-US"/>
        </w:rPr>
        <w:t>FullRR</w:t>
      </w:r>
      <w:proofErr w:type="spellEnd"/>
      <w:r w:rsidRPr="0019689F">
        <w:rPr>
          <w:rFonts w:ascii="Times New Roman" w:hAnsi="Times New Roman" w:cs="Times New Roman"/>
          <w:lang w:val="en-US"/>
        </w:rPr>
        <w:t xml:space="preserve"> and systolic vorticity findings should therefore be regarded as related exploratory observations rather than independent confirmations of a disease-specific effect. The present findings do not establish LV vorticity as a disease-specific or clinically applicable marker of AS. Larger, prospectively designed, </w:t>
      </w:r>
      <w:proofErr w:type="spellStart"/>
      <w:r w:rsidRPr="0019689F">
        <w:rPr>
          <w:rFonts w:ascii="Times New Roman" w:hAnsi="Times New Roman" w:cs="Times New Roman"/>
          <w:lang w:val="en-US"/>
        </w:rPr>
        <w:t>multicentre</w:t>
      </w:r>
      <w:proofErr w:type="spellEnd"/>
      <w:r w:rsidRPr="0019689F">
        <w:rPr>
          <w:rFonts w:ascii="Times New Roman" w:hAnsi="Times New Roman" w:cs="Times New Roman"/>
          <w:lang w:val="en-US"/>
        </w:rPr>
        <w:t xml:space="preserve"> studies with clearly defined control eligibility, </w:t>
      </w:r>
      <w:proofErr w:type="spellStart"/>
      <w:r w:rsidRPr="0019689F">
        <w:rPr>
          <w:rFonts w:ascii="Times New Roman" w:hAnsi="Times New Roman" w:cs="Times New Roman"/>
          <w:lang w:val="en-US"/>
        </w:rPr>
        <w:t>standardised</w:t>
      </w:r>
      <w:proofErr w:type="spellEnd"/>
      <w:r w:rsidRPr="0019689F">
        <w:rPr>
          <w:rFonts w:ascii="Times New Roman" w:hAnsi="Times New Roman" w:cs="Times New Roman"/>
          <w:lang w:val="en-US"/>
        </w:rPr>
        <w:t xml:space="preserve"> acquisition and processing, and formal reproducibility assessment are required to determine whether LV vorticity provides reproducible and clinically meaningful information in AS.</w:t>
      </w:r>
    </w:p>
    <w:p w14:paraId="1735A6E2" w14:textId="7A6582F6" w:rsidR="0019689F" w:rsidRPr="0019689F" w:rsidRDefault="0019689F" w:rsidP="0019689F">
      <w:pPr>
        <w:rPr>
          <w:rFonts w:ascii="Times New Roman" w:hAnsi="Times New Roman" w:cs="Times New Roman"/>
          <w:lang w:val="en-US"/>
        </w:rPr>
      </w:pPr>
    </w:p>
    <w:p w14:paraId="004FDBE9" w14:textId="77777777" w:rsidR="0019689F" w:rsidRPr="0019689F" w:rsidRDefault="0019689F" w:rsidP="0019689F">
      <w:pPr>
        <w:rPr>
          <w:rFonts w:ascii="Times New Roman" w:hAnsi="Times New Roman" w:cs="Times New Roman"/>
          <w:b/>
          <w:bCs/>
          <w:lang w:val="en-US"/>
        </w:rPr>
      </w:pPr>
      <w:r w:rsidRPr="0019689F">
        <w:rPr>
          <w:rFonts w:ascii="Times New Roman" w:hAnsi="Times New Roman" w:cs="Times New Roman"/>
          <w:b/>
          <w:bCs/>
          <w:lang w:val="en-US"/>
        </w:rPr>
        <w:t>Discussion-only reference list</w:t>
      </w:r>
    </w:p>
    <w:p w14:paraId="12B428C7"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1.</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Dyverfeldt</w:t>
      </w:r>
      <w:proofErr w:type="spellEnd"/>
      <w:r w:rsidRPr="0019689F">
        <w:rPr>
          <w:rFonts w:ascii="Times New Roman" w:hAnsi="Times New Roman" w:cs="Times New Roman"/>
          <w:lang w:val="en-US"/>
        </w:rPr>
        <w:t xml:space="preserve"> P, et al. 4D flow cardiovascular magnetic resonance consensus statement. </w:t>
      </w:r>
      <w:r w:rsidRPr="0019689F">
        <w:rPr>
          <w:rFonts w:ascii="Times New Roman" w:hAnsi="Times New Roman" w:cs="Times New Roman"/>
          <w:i/>
          <w:iCs/>
          <w:lang w:val="en-US"/>
        </w:rPr>
        <w:t xml:space="preserve">J Cardiovasc </w:t>
      </w:r>
      <w:proofErr w:type="spellStart"/>
      <w:r w:rsidRPr="0019689F">
        <w:rPr>
          <w:rFonts w:ascii="Times New Roman" w:hAnsi="Times New Roman" w:cs="Times New Roman"/>
          <w:i/>
          <w:iCs/>
          <w:lang w:val="en-US"/>
        </w:rPr>
        <w:t>Magn</w:t>
      </w:r>
      <w:proofErr w:type="spellEnd"/>
      <w:r w:rsidRPr="0019689F">
        <w:rPr>
          <w:rFonts w:ascii="Times New Roman" w:hAnsi="Times New Roman" w:cs="Times New Roman"/>
          <w:i/>
          <w:iCs/>
          <w:lang w:val="en-US"/>
        </w:rPr>
        <w:t xml:space="preserve"> </w:t>
      </w:r>
      <w:proofErr w:type="spellStart"/>
      <w:r w:rsidRPr="0019689F">
        <w:rPr>
          <w:rFonts w:ascii="Times New Roman" w:hAnsi="Times New Roman" w:cs="Times New Roman"/>
          <w:i/>
          <w:iCs/>
          <w:lang w:val="en-US"/>
        </w:rPr>
        <w:t>Reson</w:t>
      </w:r>
      <w:proofErr w:type="spellEnd"/>
      <w:r w:rsidRPr="0019689F">
        <w:rPr>
          <w:rFonts w:ascii="Times New Roman" w:hAnsi="Times New Roman" w:cs="Times New Roman"/>
          <w:lang w:val="en-US"/>
        </w:rPr>
        <w:t>. 2015.</w:t>
      </w:r>
    </w:p>
    <w:p w14:paraId="248D1770"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2.</w:t>
      </w:r>
      <w:r w:rsidRPr="0019689F">
        <w:rPr>
          <w:rFonts w:ascii="Times New Roman" w:hAnsi="Times New Roman" w:cs="Times New Roman"/>
          <w:lang w:val="en-US"/>
        </w:rPr>
        <w:t xml:space="preserve"> Schäfer M, et al. Left ventricular diastolic flow patterns and vorticity in patients with chronic obstructive pulmonary disease. [Use the verified bibliographic record from your master reference library.]</w:t>
      </w:r>
    </w:p>
    <w:p w14:paraId="53C8EDE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3.</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Demirkiran</w:t>
      </w:r>
      <w:proofErr w:type="spellEnd"/>
      <w:r w:rsidRPr="0019689F">
        <w:rPr>
          <w:rFonts w:ascii="Times New Roman" w:hAnsi="Times New Roman" w:cs="Times New Roman"/>
          <w:lang w:val="en-US"/>
        </w:rPr>
        <w:t xml:space="preserve"> A, et al. Left ventricular flow patterns and vorticity in patients with chronic myocardial infarction. [Use the verified bibliographic record from your master reference library.]</w:t>
      </w:r>
    </w:p>
    <w:p w14:paraId="5E5C58AA"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4.</w:t>
      </w:r>
      <w:r w:rsidRPr="0019689F">
        <w:rPr>
          <w:rFonts w:ascii="Times New Roman" w:hAnsi="Times New Roman" w:cs="Times New Roman"/>
          <w:lang w:val="en-US"/>
        </w:rPr>
        <w:t xml:space="preserve"> Grafton-Clarke C, et al. The PREFER-CMR study: 4D-flow cardiovascular magnetic resonance assessment of aortic </w:t>
      </w:r>
      <w:proofErr w:type="spellStart"/>
      <w:r w:rsidRPr="0019689F">
        <w:rPr>
          <w:rFonts w:ascii="Times New Roman" w:hAnsi="Times New Roman" w:cs="Times New Roman"/>
          <w:lang w:val="en-US"/>
        </w:rPr>
        <w:t>haemodynamics</w:t>
      </w:r>
      <w:proofErr w:type="spellEnd"/>
      <w:r w:rsidRPr="0019689F">
        <w:rPr>
          <w:rFonts w:ascii="Times New Roman" w:hAnsi="Times New Roman" w:cs="Times New Roman"/>
          <w:lang w:val="en-US"/>
        </w:rPr>
        <w:t xml:space="preserve"> in patients with aortic stenosis. [Use the verified bibliographic record from your master reference library.]</w:t>
      </w:r>
    </w:p>
    <w:p w14:paraId="17C25B1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5.</w:t>
      </w:r>
      <w:r w:rsidRPr="0019689F">
        <w:rPr>
          <w:rFonts w:ascii="Times New Roman" w:hAnsi="Times New Roman" w:cs="Times New Roman"/>
          <w:lang w:val="en-US"/>
        </w:rPr>
        <w:t xml:space="preserve"> Kamphuis VP, et al. Associations between left ventricular flow energetics, stroke volume and vorticity. </w:t>
      </w:r>
      <w:r w:rsidRPr="0019689F">
        <w:rPr>
          <w:rFonts w:ascii="Times New Roman" w:hAnsi="Times New Roman" w:cs="Times New Roman"/>
          <w:i/>
          <w:iCs/>
          <w:lang w:val="en-US"/>
        </w:rPr>
        <w:t xml:space="preserve">Am J </w:t>
      </w:r>
      <w:proofErr w:type="spellStart"/>
      <w:r w:rsidRPr="0019689F">
        <w:rPr>
          <w:rFonts w:ascii="Times New Roman" w:hAnsi="Times New Roman" w:cs="Times New Roman"/>
          <w:i/>
          <w:iCs/>
          <w:lang w:val="en-US"/>
        </w:rPr>
        <w:t>Physiol</w:t>
      </w:r>
      <w:proofErr w:type="spellEnd"/>
      <w:r w:rsidRPr="0019689F">
        <w:rPr>
          <w:rFonts w:ascii="Times New Roman" w:hAnsi="Times New Roman" w:cs="Times New Roman"/>
          <w:i/>
          <w:iCs/>
          <w:lang w:val="en-US"/>
        </w:rPr>
        <w:t xml:space="preserve"> Heart Circ Physiol</w:t>
      </w:r>
      <w:r w:rsidRPr="0019689F">
        <w:rPr>
          <w:rFonts w:ascii="Times New Roman" w:hAnsi="Times New Roman" w:cs="Times New Roman"/>
          <w:lang w:val="en-US"/>
        </w:rPr>
        <w:t>. 2021.</w:t>
      </w:r>
    </w:p>
    <w:p w14:paraId="162E037C"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6.</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Dyverfeldt</w:t>
      </w:r>
      <w:proofErr w:type="spellEnd"/>
      <w:r w:rsidRPr="0019689F">
        <w:rPr>
          <w:rFonts w:ascii="Times New Roman" w:hAnsi="Times New Roman" w:cs="Times New Roman"/>
          <w:lang w:val="en-US"/>
        </w:rPr>
        <w:t xml:space="preserve"> P, et al. Four-dimensional flow cardiovascular magnetic resonance assessment of turbulent kinetic energy and pressure loss in aortic stenosis. [Use the verified bibliographic record from your master reference library.]</w:t>
      </w:r>
    </w:p>
    <w:p w14:paraId="7E487C5E"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7.</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Binter</w:t>
      </w:r>
      <w:proofErr w:type="spellEnd"/>
      <w:r w:rsidRPr="0019689F">
        <w:rPr>
          <w:rFonts w:ascii="Times New Roman" w:hAnsi="Times New Roman" w:cs="Times New Roman"/>
          <w:lang w:val="en-US"/>
        </w:rPr>
        <w:t xml:space="preserve"> C, et al. Effect of spatial resolution on 4D-flow-derived energetic measures and viscous energy loss. </w:t>
      </w:r>
      <w:proofErr w:type="spellStart"/>
      <w:r w:rsidRPr="0019689F">
        <w:rPr>
          <w:rFonts w:ascii="Times New Roman" w:hAnsi="Times New Roman" w:cs="Times New Roman"/>
          <w:i/>
          <w:iCs/>
          <w:lang w:val="en-US"/>
        </w:rPr>
        <w:t>Magn</w:t>
      </w:r>
      <w:proofErr w:type="spellEnd"/>
      <w:r w:rsidRPr="0019689F">
        <w:rPr>
          <w:rFonts w:ascii="Times New Roman" w:hAnsi="Times New Roman" w:cs="Times New Roman"/>
          <w:i/>
          <w:iCs/>
          <w:lang w:val="en-US"/>
        </w:rPr>
        <w:t xml:space="preserve"> </w:t>
      </w:r>
      <w:proofErr w:type="spellStart"/>
      <w:r w:rsidRPr="0019689F">
        <w:rPr>
          <w:rFonts w:ascii="Times New Roman" w:hAnsi="Times New Roman" w:cs="Times New Roman"/>
          <w:i/>
          <w:iCs/>
          <w:lang w:val="en-US"/>
        </w:rPr>
        <w:t>Reson</w:t>
      </w:r>
      <w:proofErr w:type="spellEnd"/>
      <w:r w:rsidRPr="0019689F">
        <w:rPr>
          <w:rFonts w:ascii="Times New Roman" w:hAnsi="Times New Roman" w:cs="Times New Roman"/>
          <w:i/>
          <w:iCs/>
          <w:lang w:val="en-US"/>
        </w:rPr>
        <w:t xml:space="preserve"> Med</w:t>
      </w:r>
      <w:r w:rsidRPr="0019689F">
        <w:rPr>
          <w:rFonts w:ascii="Times New Roman" w:hAnsi="Times New Roman" w:cs="Times New Roman"/>
          <w:lang w:val="en-US"/>
        </w:rPr>
        <w:t>. 2016.</w:t>
      </w:r>
    </w:p>
    <w:p w14:paraId="3DD81790"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8.</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Elhawaz</w:t>
      </w:r>
      <w:proofErr w:type="spellEnd"/>
      <w:r w:rsidRPr="0019689F">
        <w:rPr>
          <w:rFonts w:ascii="Times New Roman" w:hAnsi="Times New Roman" w:cs="Times New Roman"/>
          <w:lang w:val="en-US"/>
        </w:rPr>
        <w:t xml:space="preserve"> A, et al. Left ventricular blood-flow kinetic energy and functional/</w:t>
      </w:r>
      <w:proofErr w:type="spellStart"/>
      <w:r w:rsidRPr="0019689F">
        <w:rPr>
          <w:rFonts w:ascii="Times New Roman" w:hAnsi="Times New Roman" w:cs="Times New Roman"/>
          <w:lang w:val="en-US"/>
        </w:rPr>
        <w:t>remodelling</w:t>
      </w:r>
      <w:proofErr w:type="spellEnd"/>
      <w:r w:rsidRPr="0019689F">
        <w:rPr>
          <w:rFonts w:ascii="Times New Roman" w:hAnsi="Times New Roman" w:cs="Times New Roman"/>
          <w:lang w:val="en-US"/>
        </w:rPr>
        <w:t xml:space="preserve"> measures in patients with aortic stenosis. [Use the verified bibliographic record from your master reference library.]</w:t>
      </w:r>
    </w:p>
    <w:p w14:paraId="260CBB11"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9.</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Adriaans</w:t>
      </w:r>
      <w:proofErr w:type="spellEnd"/>
      <w:r w:rsidRPr="0019689F">
        <w:rPr>
          <w:rFonts w:ascii="Times New Roman" w:hAnsi="Times New Roman" w:cs="Times New Roman"/>
          <w:lang w:val="en-US"/>
        </w:rPr>
        <w:t xml:space="preserve"> BP, et al. [The AS 4D-flow CMR study reporting LV flow energetics and papillary-muscle segmentation approach.] </w:t>
      </w:r>
      <w:r w:rsidRPr="0019689F">
        <w:rPr>
          <w:rFonts w:ascii="Times New Roman" w:hAnsi="Times New Roman" w:cs="Times New Roman"/>
          <w:i/>
          <w:iCs/>
          <w:lang w:val="en-US"/>
        </w:rPr>
        <w:t xml:space="preserve">J </w:t>
      </w:r>
      <w:proofErr w:type="spellStart"/>
      <w:r w:rsidRPr="0019689F">
        <w:rPr>
          <w:rFonts w:ascii="Times New Roman" w:hAnsi="Times New Roman" w:cs="Times New Roman"/>
          <w:i/>
          <w:iCs/>
          <w:lang w:val="en-US"/>
        </w:rPr>
        <w:t>Magn</w:t>
      </w:r>
      <w:proofErr w:type="spellEnd"/>
      <w:r w:rsidRPr="0019689F">
        <w:rPr>
          <w:rFonts w:ascii="Times New Roman" w:hAnsi="Times New Roman" w:cs="Times New Roman"/>
          <w:i/>
          <w:iCs/>
          <w:lang w:val="en-US"/>
        </w:rPr>
        <w:t xml:space="preserve"> </w:t>
      </w:r>
      <w:proofErr w:type="spellStart"/>
      <w:r w:rsidRPr="0019689F">
        <w:rPr>
          <w:rFonts w:ascii="Times New Roman" w:hAnsi="Times New Roman" w:cs="Times New Roman"/>
          <w:i/>
          <w:iCs/>
          <w:lang w:val="en-US"/>
        </w:rPr>
        <w:t>Reson</w:t>
      </w:r>
      <w:proofErr w:type="spellEnd"/>
      <w:r w:rsidRPr="0019689F">
        <w:rPr>
          <w:rFonts w:ascii="Times New Roman" w:hAnsi="Times New Roman" w:cs="Times New Roman"/>
          <w:i/>
          <w:iCs/>
          <w:lang w:val="en-US"/>
        </w:rPr>
        <w:t xml:space="preserve"> Imaging</w:t>
      </w:r>
      <w:r w:rsidRPr="0019689F">
        <w:rPr>
          <w:rFonts w:ascii="Times New Roman" w:hAnsi="Times New Roman" w:cs="Times New Roman"/>
          <w:lang w:val="en-US"/>
        </w:rPr>
        <w:t>. 2020;51(2):472–480.</w:t>
      </w:r>
    </w:p>
    <w:p w14:paraId="51714727"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lastRenderedPageBreak/>
        <w:t>10.</w:t>
      </w:r>
      <w:r w:rsidRPr="0019689F">
        <w:rPr>
          <w:rFonts w:ascii="Times New Roman" w:hAnsi="Times New Roman" w:cs="Times New Roman"/>
          <w:lang w:val="en-US"/>
        </w:rPr>
        <w:t xml:space="preserve"> </w:t>
      </w:r>
      <w:proofErr w:type="spellStart"/>
      <w:r w:rsidRPr="0019689F">
        <w:rPr>
          <w:rFonts w:ascii="Times New Roman" w:hAnsi="Times New Roman" w:cs="Times New Roman"/>
          <w:lang w:val="en-US"/>
        </w:rPr>
        <w:t>Binter</w:t>
      </w:r>
      <w:proofErr w:type="spellEnd"/>
      <w:r w:rsidRPr="0019689F">
        <w:rPr>
          <w:rFonts w:ascii="Times New Roman" w:hAnsi="Times New Roman" w:cs="Times New Roman"/>
          <w:lang w:val="en-US"/>
        </w:rPr>
        <w:t xml:space="preserve"> C, et al. Four-dimensional flow cardiovascular magnetic resonance assessment of turbulent kinetic energy in aortic stenosis. </w:t>
      </w:r>
      <w:r w:rsidRPr="0019689F">
        <w:rPr>
          <w:rFonts w:ascii="Times New Roman" w:hAnsi="Times New Roman" w:cs="Times New Roman"/>
          <w:i/>
          <w:iCs/>
          <w:lang w:val="en-US"/>
        </w:rPr>
        <w:t>Circ Cardiovasc Imaging</w:t>
      </w:r>
      <w:r w:rsidRPr="0019689F">
        <w:rPr>
          <w:rFonts w:ascii="Times New Roman" w:hAnsi="Times New Roman" w:cs="Times New Roman"/>
          <w:lang w:val="en-US"/>
        </w:rPr>
        <w:t>. 2017.</w:t>
      </w:r>
    </w:p>
    <w:p w14:paraId="01C3840E"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11.</w:t>
      </w:r>
      <w:r w:rsidRPr="0019689F">
        <w:rPr>
          <w:rFonts w:ascii="Times New Roman" w:hAnsi="Times New Roman" w:cs="Times New Roman"/>
          <w:lang w:val="en-US"/>
        </w:rPr>
        <w:t xml:space="preserve"> [This position should be checked against the master list if the specific </w:t>
      </w:r>
      <w:proofErr w:type="spellStart"/>
      <w:r w:rsidRPr="0019689F">
        <w:rPr>
          <w:rFonts w:ascii="Times New Roman" w:hAnsi="Times New Roman" w:cs="Times New Roman"/>
          <w:lang w:val="en-US"/>
        </w:rPr>
        <w:t>Dyverfeldt</w:t>
      </w:r>
      <w:proofErr w:type="spellEnd"/>
      <w:r w:rsidRPr="0019689F">
        <w:rPr>
          <w:rFonts w:ascii="Times New Roman" w:hAnsi="Times New Roman" w:cs="Times New Roman"/>
          <w:lang w:val="en-US"/>
        </w:rPr>
        <w:t xml:space="preserve"> paper used for the aortic TKE/pressure-loss statement is separate from reference 10.]</w:t>
      </w:r>
    </w:p>
    <w:p w14:paraId="44ADBB3E"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12.</w:t>
      </w:r>
      <w:r w:rsidRPr="0019689F">
        <w:rPr>
          <w:rFonts w:ascii="Times New Roman" w:hAnsi="Times New Roman" w:cs="Times New Roman"/>
          <w:lang w:val="en-US"/>
        </w:rPr>
        <w:t xml:space="preserve"> Kamphuis VP, et al. Scan–rescan reproducibility of left ventricular kinetic energy, viscous energy loss and vorticity using 4D-flow CMR. </w:t>
      </w:r>
      <w:r w:rsidRPr="0019689F">
        <w:rPr>
          <w:rFonts w:ascii="Times New Roman" w:hAnsi="Times New Roman" w:cs="Times New Roman"/>
          <w:i/>
          <w:iCs/>
          <w:lang w:val="en-US"/>
        </w:rPr>
        <w:t>Int J Cardiovasc Imaging</w:t>
      </w:r>
      <w:r w:rsidRPr="0019689F">
        <w:rPr>
          <w:rFonts w:ascii="Times New Roman" w:hAnsi="Times New Roman" w:cs="Times New Roman"/>
          <w:lang w:val="en-US"/>
        </w:rPr>
        <w:t>. 2018.</w:t>
      </w:r>
    </w:p>
    <w:p w14:paraId="57F50F2B" w14:textId="77777777" w:rsidR="0019689F" w:rsidRPr="0019689F" w:rsidRDefault="0019689F" w:rsidP="0019689F">
      <w:pPr>
        <w:rPr>
          <w:rFonts w:ascii="Times New Roman" w:hAnsi="Times New Roman" w:cs="Times New Roman"/>
          <w:lang w:val="en-US"/>
        </w:rPr>
      </w:pPr>
      <w:r w:rsidRPr="0019689F">
        <w:rPr>
          <w:rFonts w:ascii="Times New Roman" w:hAnsi="Times New Roman" w:cs="Times New Roman"/>
          <w:b/>
          <w:bCs/>
          <w:lang w:val="en-US"/>
        </w:rPr>
        <w:t>13.</w:t>
      </w:r>
      <w:r w:rsidRPr="0019689F">
        <w:rPr>
          <w:rFonts w:ascii="Times New Roman" w:hAnsi="Times New Roman" w:cs="Times New Roman"/>
          <w:lang w:val="en-US"/>
        </w:rPr>
        <w:t xml:space="preserve"> Seemann F, et al. Noninvasive quantification of pressure-volume loops from brachial pressure and cardiovascular magnetic resonance.</w:t>
      </w:r>
    </w:p>
    <w:p w14:paraId="022CB170" w14:textId="77777777" w:rsidR="00DF69BD" w:rsidRPr="0019689F" w:rsidRDefault="00DF69BD" w:rsidP="004C45D2">
      <w:pPr>
        <w:rPr>
          <w:rFonts w:ascii="Times New Roman" w:hAnsi="Times New Roman" w:cs="Times New Roman"/>
        </w:rPr>
      </w:pPr>
    </w:p>
    <w:sectPr w:rsidR="00DF69BD" w:rsidRPr="001968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71235D"/>
    <w:multiLevelType w:val="multilevel"/>
    <w:tmpl w:val="D26AC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04209C"/>
    <w:multiLevelType w:val="multilevel"/>
    <w:tmpl w:val="63F8B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347119"/>
    <w:multiLevelType w:val="multilevel"/>
    <w:tmpl w:val="1CF66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E42FA9"/>
    <w:multiLevelType w:val="multilevel"/>
    <w:tmpl w:val="5B0C3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4F79D4"/>
    <w:multiLevelType w:val="multilevel"/>
    <w:tmpl w:val="0C94D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1759231">
    <w:abstractNumId w:val="3"/>
  </w:num>
  <w:num w:numId="2" w16cid:durableId="1665820855">
    <w:abstractNumId w:val="0"/>
  </w:num>
  <w:num w:numId="3" w16cid:durableId="1002047757">
    <w:abstractNumId w:val="1"/>
  </w:num>
  <w:num w:numId="4" w16cid:durableId="1840584688">
    <w:abstractNumId w:val="4"/>
  </w:num>
  <w:num w:numId="5" w16cid:durableId="323050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4D2"/>
    <w:rsid w:val="0019689F"/>
    <w:rsid w:val="001974C8"/>
    <w:rsid w:val="004C45D2"/>
    <w:rsid w:val="00660259"/>
    <w:rsid w:val="006B468E"/>
    <w:rsid w:val="007B0498"/>
    <w:rsid w:val="008B2E56"/>
    <w:rsid w:val="009F14D2"/>
    <w:rsid w:val="00AD6752"/>
    <w:rsid w:val="00B76EFA"/>
    <w:rsid w:val="00CE74E7"/>
    <w:rsid w:val="00DE6806"/>
    <w:rsid w:val="00DF69BD"/>
    <w:rsid w:val="00F765C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D7E06"/>
  <w15:chartTrackingRefBased/>
  <w15:docId w15:val="{5CF45D26-B5B2-45B3-9D4E-B1DDE03C0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F1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1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4D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F14D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F14D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F14D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F14D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F14D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F14D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F14D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F14D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F1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4D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F1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4D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F14D2"/>
    <w:pPr>
      <w:spacing w:before="160"/>
      <w:jc w:val="center"/>
    </w:pPr>
    <w:rPr>
      <w:i/>
      <w:iCs/>
      <w:color w:val="404040" w:themeColor="text1" w:themeTint="BF"/>
    </w:rPr>
  </w:style>
  <w:style w:type="character" w:customStyle="1" w:styleId="QuoteChar">
    <w:name w:val="Quote Char"/>
    <w:basedOn w:val="DefaultParagraphFont"/>
    <w:link w:val="Quote"/>
    <w:uiPriority w:val="29"/>
    <w:rsid w:val="009F14D2"/>
    <w:rPr>
      <w:i/>
      <w:iCs/>
      <w:color w:val="404040" w:themeColor="text1" w:themeTint="BF"/>
      <w:lang w:val="en-GB"/>
    </w:rPr>
  </w:style>
  <w:style w:type="paragraph" w:styleId="ListParagraph">
    <w:name w:val="List Paragraph"/>
    <w:basedOn w:val="Normal"/>
    <w:uiPriority w:val="34"/>
    <w:qFormat/>
    <w:rsid w:val="009F14D2"/>
    <w:pPr>
      <w:ind w:left="720"/>
      <w:contextualSpacing/>
    </w:pPr>
  </w:style>
  <w:style w:type="character" w:styleId="IntenseEmphasis">
    <w:name w:val="Intense Emphasis"/>
    <w:basedOn w:val="DefaultParagraphFont"/>
    <w:uiPriority w:val="21"/>
    <w:qFormat/>
    <w:rsid w:val="009F14D2"/>
    <w:rPr>
      <w:i/>
      <w:iCs/>
      <w:color w:val="0F4761" w:themeColor="accent1" w:themeShade="BF"/>
    </w:rPr>
  </w:style>
  <w:style w:type="paragraph" w:styleId="IntenseQuote">
    <w:name w:val="Intense Quote"/>
    <w:basedOn w:val="Normal"/>
    <w:next w:val="Normal"/>
    <w:link w:val="IntenseQuoteChar"/>
    <w:uiPriority w:val="30"/>
    <w:qFormat/>
    <w:rsid w:val="009F1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4D2"/>
    <w:rPr>
      <w:i/>
      <w:iCs/>
      <w:color w:val="0F4761" w:themeColor="accent1" w:themeShade="BF"/>
      <w:lang w:val="en-GB"/>
    </w:rPr>
  </w:style>
  <w:style w:type="character" w:styleId="IntenseReference">
    <w:name w:val="Intense Reference"/>
    <w:basedOn w:val="DefaultParagraphFont"/>
    <w:uiPriority w:val="32"/>
    <w:qFormat/>
    <w:rsid w:val="009F14D2"/>
    <w:rPr>
      <w:b/>
      <w:bCs/>
      <w:smallCaps/>
      <w:color w:val="0F4761" w:themeColor="accent1" w:themeShade="BF"/>
      <w:spacing w:val="5"/>
    </w:rPr>
  </w:style>
  <w:style w:type="character" w:styleId="Hyperlink">
    <w:name w:val="Hyperlink"/>
    <w:basedOn w:val="DefaultParagraphFont"/>
    <w:uiPriority w:val="99"/>
    <w:unhideWhenUsed/>
    <w:rsid w:val="00660259"/>
    <w:rPr>
      <w:color w:val="467886" w:themeColor="hyperlink"/>
      <w:u w:val="single"/>
    </w:rPr>
  </w:style>
  <w:style w:type="character" w:styleId="UnresolvedMention">
    <w:name w:val="Unresolved Mention"/>
    <w:basedOn w:val="DefaultParagraphFont"/>
    <w:uiPriority w:val="99"/>
    <w:semiHidden/>
    <w:unhideWhenUsed/>
    <w:rsid w:val="006602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35279">
      <w:bodyDiv w:val="1"/>
      <w:marLeft w:val="0"/>
      <w:marRight w:val="0"/>
      <w:marTop w:val="0"/>
      <w:marBottom w:val="0"/>
      <w:divBdr>
        <w:top w:val="none" w:sz="0" w:space="0" w:color="auto"/>
        <w:left w:val="none" w:sz="0" w:space="0" w:color="auto"/>
        <w:bottom w:val="none" w:sz="0" w:space="0" w:color="auto"/>
        <w:right w:val="none" w:sz="0" w:space="0" w:color="auto"/>
      </w:divBdr>
    </w:div>
    <w:div w:id="434832852">
      <w:bodyDiv w:val="1"/>
      <w:marLeft w:val="0"/>
      <w:marRight w:val="0"/>
      <w:marTop w:val="0"/>
      <w:marBottom w:val="0"/>
      <w:divBdr>
        <w:top w:val="none" w:sz="0" w:space="0" w:color="auto"/>
        <w:left w:val="none" w:sz="0" w:space="0" w:color="auto"/>
        <w:bottom w:val="none" w:sz="0" w:space="0" w:color="auto"/>
        <w:right w:val="none" w:sz="0" w:space="0" w:color="auto"/>
      </w:divBdr>
    </w:div>
    <w:div w:id="454106162">
      <w:bodyDiv w:val="1"/>
      <w:marLeft w:val="0"/>
      <w:marRight w:val="0"/>
      <w:marTop w:val="0"/>
      <w:marBottom w:val="0"/>
      <w:divBdr>
        <w:top w:val="none" w:sz="0" w:space="0" w:color="auto"/>
        <w:left w:val="none" w:sz="0" w:space="0" w:color="auto"/>
        <w:bottom w:val="none" w:sz="0" w:space="0" w:color="auto"/>
        <w:right w:val="none" w:sz="0" w:space="0" w:color="auto"/>
      </w:divBdr>
    </w:div>
    <w:div w:id="774176824">
      <w:bodyDiv w:val="1"/>
      <w:marLeft w:val="0"/>
      <w:marRight w:val="0"/>
      <w:marTop w:val="0"/>
      <w:marBottom w:val="0"/>
      <w:divBdr>
        <w:top w:val="none" w:sz="0" w:space="0" w:color="auto"/>
        <w:left w:val="none" w:sz="0" w:space="0" w:color="auto"/>
        <w:bottom w:val="none" w:sz="0" w:space="0" w:color="auto"/>
        <w:right w:val="none" w:sz="0" w:space="0" w:color="auto"/>
      </w:divBdr>
    </w:div>
    <w:div w:id="950404104">
      <w:bodyDiv w:val="1"/>
      <w:marLeft w:val="0"/>
      <w:marRight w:val="0"/>
      <w:marTop w:val="0"/>
      <w:marBottom w:val="0"/>
      <w:divBdr>
        <w:top w:val="none" w:sz="0" w:space="0" w:color="auto"/>
        <w:left w:val="none" w:sz="0" w:space="0" w:color="auto"/>
        <w:bottom w:val="none" w:sz="0" w:space="0" w:color="auto"/>
        <w:right w:val="none" w:sz="0" w:space="0" w:color="auto"/>
      </w:divBdr>
    </w:div>
    <w:div w:id="953365094">
      <w:bodyDiv w:val="1"/>
      <w:marLeft w:val="0"/>
      <w:marRight w:val="0"/>
      <w:marTop w:val="0"/>
      <w:marBottom w:val="0"/>
      <w:divBdr>
        <w:top w:val="none" w:sz="0" w:space="0" w:color="auto"/>
        <w:left w:val="none" w:sz="0" w:space="0" w:color="auto"/>
        <w:bottom w:val="none" w:sz="0" w:space="0" w:color="auto"/>
        <w:right w:val="none" w:sz="0" w:space="0" w:color="auto"/>
      </w:divBdr>
    </w:div>
    <w:div w:id="1460487424">
      <w:bodyDiv w:val="1"/>
      <w:marLeft w:val="0"/>
      <w:marRight w:val="0"/>
      <w:marTop w:val="0"/>
      <w:marBottom w:val="0"/>
      <w:divBdr>
        <w:top w:val="none" w:sz="0" w:space="0" w:color="auto"/>
        <w:left w:val="none" w:sz="0" w:space="0" w:color="auto"/>
        <w:bottom w:val="none" w:sz="0" w:space="0" w:color="auto"/>
        <w:right w:val="none" w:sz="0" w:space="0" w:color="auto"/>
      </w:divBdr>
    </w:div>
    <w:div w:id="1763719065">
      <w:bodyDiv w:val="1"/>
      <w:marLeft w:val="0"/>
      <w:marRight w:val="0"/>
      <w:marTop w:val="0"/>
      <w:marBottom w:val="0"/>
      <w:divBdr>
        <w:top w:val="none" w:sz="0" w:space="0" w:color="auto"/>
        <w:left w:val="none" w:sz="0" w:space="0" w:color="auto"/>
        <w:bottom w:val="none" w:sz="0" w:space="0" w:color="auto"/>
        <w:right w:val="none" w:sz="0" w:space="0" w:color="auto"/>
      </w:divBdr>
    </w:div>
    <w:div w:id="1803383562">
      <w:bodyDiv w:val="1"/>
      <w:marLeft w:val="0"/>
      <w:marRight w:val="0"/>
      <w:marTop w:val="0"/>
      <w:marBottom w:val="0"/>
      <w:divBdr>
        <w:top w:val="none" w:sz="0" w:space="0" w:color="auto"/>
        <w:left w:val="none" w:sz="0" w:space="0" w:color="auto"/>
        <w:bottom w:val="none" w:sz="0" w:space="0" w:color="auto"/>
        <w:right w:val="none" w:sz="0" w:space="0" w:color="auto"/>
      </w:divBdr>
    </w:div>
    <w:div w:id="1867014728">
      <w:bodyDiv w:val="1"/>
      <w:marLeft w:val="0"/>
      <w:marRight w:val="0"/>
      <w:marTop w:val="0"/>
      <w:marBottom w:val="0"/>
      <w:divBdr>
        <w:top w:val="none" w:sz="0" w:space="0" w:color="auto"/>
        <w:left w:val="none" w:sz="0" w:space="0" w:color="auto"/>
        <w:bottom w:val="none" w:sz="0" w:space="0" w:color="auto"/>
        <w:right w:val="none" w:sz="0" w:space="0" w:color="auto"/>
      </w:divBdr>
    </w:div>
    <w:div w:id="2018846857">
      <w:bodyDiv w:val="1"/>
      <w:marLeft w:val="0"/>
      <w:marRight w:val="0"/>
      <w:marTop w:val="0"/>
      <w:marBottom w:val="0"/>
      <w:divBdr>
        <w:top w:val="none" w:sz="0" w:space="0" w:color="auto"/>
        <w:left w:val="none" w:sz="0" w:space="0" w:color="auto"/>
        <w:bottom w:val="none" w:sz="0" w:space="0" w:color="auto"/>
        <w:right w:val="none" w:sz="0" w:space="0" w:color="auto"/>
      </w:divBdr>
    </w:div>
    <w:div w:id="2045206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8</Pages>
  <Words>3970</Words>
  <Characters>22629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5</cp:revision>
  <dcterms:created xsi:type="dcterms:W3CDTF">2026-08-24T11:18:00Z</dcterms:created>
  <dcterms:modified xsi:type="dcterms:W3CDTF">2026-08-25T18:32:00Z</dcterms:modified>
</cp:coreProperties>
</file>