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26C08" w14:textId="77777777" w:rsidR="00835316" w:rsidRPr="00835316" w:rsidRDefault="00835316" w:rsidP="00835316">
      <w:pPr>
        <w:rPr>
          <w:rFonts w:ascii="Times New Roman" w:hAnsi="Times New Roman" w:cs="Times New Roman"/>
          <w:b/>
          <w:bCs/>
          <w:sz w:val="24"/>
          <w:szCs w:val="24"/>
          <w:lang w:val="en-US"/>
        </w:rPr>
      </w:pPr>
      <w:r w:rsidRPr="00835316">
        <w:rPr>
          <w:rFonts w:ascii="Times New Roman" w:hAnsi="Times New Roman" w:cs="Times New Roman"/>
          <w:b/>
          <w:bCs/>
          <w:sz w:val="24"/>
          <w:szCs w:val="24"/>
          <w:lang w:val="en-US"/>
        </w:rPr>
        <w:t>Abstract</w:t>
      </w:r>
    </w:p>
    <w:p w14:paraId="1FE75FD3" w14:textId="77777777" w:rsidR="00835316" w:rsidRPr="00835316" w:rsidRDefault="00835316" w:rsidP="00835316">
      <w:pPr>
        <w:rPr>
          <w:rFonts w:ascii="Times New Roman" w:hAnsi="Times New Roman" w:cs="Times New Roman"/>
          <w:sz w:val="24"/>
          <w:szCs w:val="24"/>
          <w:lang w:val="en-US"/>
        </w:rPr>
      </w:pPr>
      <w:r w:rsidRPr="00835316">
        <w:rPr>
          <w:rFonts w:ascii="Times New Roman" w:hAnsi="Times New Roman" w:cs="Times New Roman"/>
          <w:b/>
          <w:bCs/>
          <w:sz w:val="24"/>
          <w:szCs w:val="24"/>
          <w:lang w:val="en-US"/>
        </w:rPr>
        <w:t>Background</w:t>
      </w:r>
    </w:p>
    <w:p w14:paraId="0A53F13B" w14:textId="77777777" w:rsidR="00835316" w:rsidRPr="00835316" w:rsidRDefault="00835316" w:rsidP="00835316">
      <w:pPr>
        <w:rPr>
          <w:rFonts w:ascii="Times New Roman" w:hAnsi="Times New Roman" w:cs="Times New Roman"/>
          <w:sz w:val="24"/>
          <w:szCs w:val="24"/>
          <w:lang w:val="en-US"/>
        </w:rPr>
      </w:pPr>
      <w:r w:rsidRPr="00835316">
        <w:rPr>
          <w:rFonts w:ascii="Times New Roman" w:hAnsi="Times New Roman" w:cs="Times New Roman"/>
          <w:sz w:val="24"/>
          <w:szCs w:val="24"/>
          <w:lang w:val="en-US"/>
        </w:rPr>
        <w:t xml:space="preserve">Aortic stenosis (AS) is associated with altered left ventricular (LV) </w:t>
      </w:r>
      <w:proofErr w:type="spellStart"/>
      <w:r w:rsidRPr="00835316">
        <w:rPr>
          <w:rFonts w:ascii="Times New Roman" w:hAnsi="Times New Roman" w:cs="Times New Roman"/>
          <w:sz w:val="24"/>
          <w:szCs w:val="24"/>
          <w:lang w:val="en-US"/>
        </w:rPr>
        <w:t>haemodynamics</w:t>
      </w:r>
      <w:proofErr w:type="spellEnd"/>
      <w:r w:rsidRPr="00835316">
        <w:rPr>
          <w:rFonts w:ascii="Times New Roman" w:hAnsi="Times New Roman" w:cs="Times New Roman"/>
          <w:sz w:val="24"/>
          <w:szCs w:val="24"/>
          <w:lang w:val="en-US"/>
        </w:rPr>
        <w:t>, but conventional measures provide limited information about intracavitary flow. Four-dimensional flow cardiovascular magnetic resonance (4D-flow CMR) enables assessment of complementary flow-energetic parameters, including kinetic energy, vorticity and energy loss. However, evidence comparing these parameters within the LV in AS and control cohorts remains limited. This study investigated differences in LV flow energetics between participants with AS and a control cohort.</w:t>
      </w:r>
    </w:p>
    <w:p w14:paraId="515A142A" w14:textId="77777777" w:rsidR="00835316" w:rsidRPr="00835316" w:rsidRDefault="00835316" w:rsidP="00835316">
      <w:pPr>
        <w:rPr>
          <w:rFonts w:ascii="Times New Roman" w:hAnsi="Times New Roman" w:cs="Times New Roman"/>
          <w:sz w:val="24"/>
          <w:szCs w:val="24"/>
          <w:lang w:val="en-US"/>
        </w:rPr>
      </w:pPr>
      <w:r w:rsidRPr="00835316">
        <w:rPr>
          <w:rFonts w:ascii="Times New Roman" w:hAnsi="Times New Roman" w:cs="Times New Roman"/>
          <w:b/>
          <w:bCs/>
          <w:sz w:val="24"/>
          <w:szCs w:val="24"/>
          <w:lang w:val="en-US"/>
        </w:rPr>
        <w:t>Methods</w:t>
      </w:r>
    </w:p>
    <w:p w14:paraId="07C45DC9" w14:textId="77777777" w:rsidR="00835316" w:rsidRPr="00835316" w:rsidRDefault="00835316" w:rsidP="00835316">
      <w:pPr>
        <w:rPr>
          <w:rFonts w:ascii="Times New Roman" w:hAnsi="Times New Roman" w:cs="Times New Roman"/>
          <w:sz w:val="24"/>
          <w:szCs w:val="24"/>
          <w:lang w:val="en-US"/>
        </w:rPr>
      </w:pPr>
      <w:r w:rsidRPr="00835316">
        <w:rPr>
          <w:rFonts w:ascii="Times New Roman" w:hAnsi="Times New Roman" w:cs="Times New Roman"/>
          <w:sz w:val="24"/>
          <w:szCs w:val="24"/>
          <w:lang w:val="en-US"/>
        </w:rPr>
        <w:t xml:space="preserve">This retrospective exploratory comparative analysis included five participants with AS and five control participants derived from pre-existing PREFER-CMR registry datasets. 4D-flow CMR data were </w:t>
      </w:r>
      <w:proofErr w:type="spellStart"/>
      <w:r w:rsidRPr="00835316">
        <w:rPr>
          <w:rFonts w:ascii="Times New Roman" w:hAnsi="Times New Roman" w:cs="Times New Roman"/>
          <w:sz w:val="24"/>
          <w:szCs w:val="24"/>
          <w:lang w:val="en-US"/>
        </w:rPr>
        <w:t>analysed</w:t>
      </w:r>
      <w:proofErr w:type="spellEnd"/>
      <w:r w:rsidRPr="00835316">
        <w:rPr>
          <w:rFonts w:ascii="Times New Roman" w:hAnsi="Times New Roman" w:cs="Times New Roman"/>
          <w:sz w:val="24"/>
          <w:szCs w:val="24"/>
          <w:lang w:val="en-US"/>
        </w:rPr>
        <w:t xml:space="preserve"> using MASS to derive LV kinetic energy, vorticity and energy loss across the full cardiac cycle (</w:t>
      </w:r>
      <w:proofErr w:type="spellStart"/>
      <w:r w:rsidRPr="00835316">
        <w:rPr>
          <w:rFonts w:ascii="Times New Roman" w:hAnsi="Times New Roman" w:cs="Times New Roman"/>
          <w:sz w:val="24"/>
          <w:szCs w:val="24"/>
          <w:lang w:val="en-US"/>
        </w:rPr>
        <w:t>FullRR</w:t>
      </w:r>
      <w:proofErr w:type="spellEnd"/>
      <w:r w:rsidRPr="00835316">
        <w:rPr>
          <w:rFonts w:ascii="Times New Roman" w:hAnsi="Times New Roman" w:cs="Times New Roman"/>
          <w:sz w:val="24"/>
          <w:szCs w:val="24"/>
          <w:lang w:val="en-US"/>
        </w:rPr>
        <w:t xml:space="preserve">) and predefined systolic, diastolic, E-wave and A-wave intervals. LV end-diastolic volume (EDV), end-systolic volume, stroke volume and ejection fraction were also derived from the MASS workflow. Between-group comparisons used independent-samples </w:t>
      </w:r>
      <w:r w:rsidRPr="00835316">
        <w:rPr>
          <w:rFonts w:ascii="Times New Roman" w:hAnsi="Times New Roman" w:cs="Times New Roman"/>
          <w:i/>
          <w:iCs/>
          <w:sz w:val="24"/>
          <w:szCs w:val="24"/>
          <w:lang w:val="en-US"/>
        </w:rPr>
        <w:t>t</w:t>
      </w:r>
      <w:r w:rsidRPr="00835316">
        <w:rPr>
          <w:rFonts w:ascii="Times New Roman" w:hAnsi="Times New Roman" w:cs="Times New Roman"/>
          <w:sz w:val="24"/>
          <w:szCs w:val="24"/>
          <w:lang w:val="en-US"/>
        </w:rPr>
        <w:t xml:space="preserve">-tests or Mann–Whitney U tests according to data distribution, with Welch’s unequal-variance test examined as a sensitivity analysis for all </w:t>
      </w:r>
      <w:r w:rsidRPr="00835316">
        <w:rPr>
          <w:rFonts w:ascii="Times New Roman" w:hAnsi="Times New Roman" w:cs="Times New Roman"/>
          <w:i/>
          <w:iCs/>
          <w:sz w:val="24"/>
          <w:szCs w:val="24"/>
          <w:lang w:val="en-US"/>
        </w:rPr>
        <w:t>t</w:t>
      </w:r>
      <w:r w:rsidRPr="00835316">
        <w:rPr>
          <w:rFonts w:ascii="Times New Roman" w:hAnsi="Times New Roman" w:cs="Times New Roman"/>
          <w:sz w:val="24"/>
          <w:szCs w:val="24"/>
          <w:lang w:val="en-US"/>
        </w:rPr>
        <w:t xml:space="preserve">-test comparisons. Fifteen between-group comparisons were performed without multiplicity correction, using </w:t>
      </w:r>
      <w:r w:rsidRPr="00835316">
        <w:rPr>
          <w:rFonts w:ascii="Times New Roman" w:hAnsi="Times New Roman" w:cs="Times New Roman"/>
          <w:i/>
          <w:iCs/>
          <w:sz w:val="24"/>
          <w:szCs w:val="24"/>
          <w:lang w:val="en-US"/>
        </w:rPr>
        <w:t>p</w:t>
      </w:r>
      <w:r w:rsidRPr="00835316">
        <w:rPr>
          <w:rFonts w:ascii="Times New Roman" w:hAnsi="Times New Roman" w:cs="Times New Roman"/>
          <w:sz w:val="24"/>
          <w:szCs w:val="24"/>
          <w:lang w:val="en-US"/>
        </w:rPr>
        <w:t xml:space="preserve"> &lt; 0.05 as the nominal significance threshold.</w:t>
      </w:r>
    </w:p>
    <w:p w14:paraId="134EA949" w14:textId="77777777" w:rsidR="00835316" w:rsidRPr="00835316" w:rsidRDefault="00835316" w:rsidP="00835316">
      <w:pPr>
        <w:rPr>
          <w:rFonts w:ascii="Times New Roman" w:hAnsi="Times New Roman" w:cs="Times New Roman"/>
          <w:sz w:val="24"/>
          <w:szCs w:val="24"/>
          <w:lang w:val="en-US"/>
        </w:rPr>
      </w:pPr>
      <w:r w:rsidRPr="00835316">
        <w:rPr>
          <w:rFonts w:ascii="Times New Roman" w:hAnsi="Times New Roman" w:cs="Times New Roman"/>
          <w:b/>
          <w:bCs/>
          <w:sz w:val="24"/>
          <w:szCs w:val="24"/>
          <w:lang w:val="en-US"/>
        </w:rPr>
        <w:t>Results</w:t>
      </w:r>
    </w:p>
    <w:p w14:paraId="4BC11103" w14:textId="77777777" w:rsidR="00835316" w:rsidRPr="00835316" w:rsidRDefault="00835316" w:rsidP="00835316">
      <w:pPr>
        <w:rPr>
          <w:rFonts w:ascii="Times New Roman" w:hAnsi="Times New Roman" w:cs="Times New Roman"/>
          <w:sz w:val="24"/>
          <w:szCs w:val="24"/>
          <w:lang w:val="en-US"/>
        </w:rPr>
      </w:pPr>
      <w:r w:rsidRPr="00835316">
        <w:rPr>
          <w:rFonts w:ascii="Times New Roman" w:hAnsi="Times New Roman" w:cs="Times New Roman"/>
          <w:sz w:val="24"/>
          <w:szCs w:val="24"/>
          <w:lang w:val="en-US"/>
        </w:rPr>
        <w:t xml:space="preserve">LV vorticity was higher in AS during the </w:t>
      </w:r>
      <w:proofErr w:type="spellStart"/>
      <w:r w:rsidRPr="00835316">
        <w:rPr>
          <w:rFonts w:ascii="Times New Roman" w:hAnsi="Times New Roman" w:cs="Times New Roman"/>
          <w:sz w:val="24"/>
          <w:szCs w:val="24"/>
          <w:lang w:val="en-US"/>
        </w:rPr>
        <w:t>FullRR</w:t>
      </w:r>
      <w:proofErr w:type="spellEnd"/>
      <w:r w:rsidRPr="00835316">
        <w:rPr>
          <w:rFonts w:ascii="Times New Roman" w:hAnsi="Times New Roman" w:cs="Times New Roman"/>
          <w:sz w:val="24"/>
          <w:szCs w:val="24"/>
          <w:lang w:val="en-US"/>
        </w:rPr>
        <w:t xml:space="preserve"> and systolic intervals. </w:t>
      </w:r>
      <w:proofErr w:type="spellStart"/>
      <w:r w:rsidRPr="00835316">
        <w:rPr>
          <w:rFonts w:ascii="Times New Roman" w:hAnsi="Times New Roman" w:cs="Times New Roman"/>
          <w:sz w:val="24"/>
          <w:szCs w:val="24"/>
          <w:lang w:val="en-US"/>
        </w:rPr>
        <w:t>FullRR</w:t>
      </w:r>
      <w:proofErr w:type="spellEnd"/>
      <w:r w:rsidRPr="00835316">
        <w:rPr>
          <w:rFonts w:ascii="Times New Roman" w:hAnsi="Times New Roman" w:cs="Times New Roman"/>
          <w:sz w:val="24"/>
          <w:szCs w:val="24"/>
          <w:lang w:val="en-US"/>
        </w:rPr>
        <w:t xml:space="preserve"> vorticity was 315.10 ± 59.91 s⁻¹ in AS versus 239.22 ± 27.01 s⁻¹ in controls (mean difference −75.87 s⁻¹, 95% CI −143.65 to −8.10; </w:t>
      </w:r>
      <w:r w:rsidRPr="00835316">
        <w:rPr>
          <w:rFonts w:ascii="Times New Roman" w:hAnsi="Times New Roman" w:cs="Times New Roman"/>
          <w:i/>
          <w:iCs/>
          <w:sz w:val="24"/>
          <w:szCs w:val="24"/>
          <w:lang w:val="en-US"/>
        </w:rPr>
        <w:t>p</w:t>
      </w:r>
      <w:r w:rsidRPr="00835316">
        <w:rPr>
          <w:rFonts w:ascii="Times New Roman" w:hAnsi="Times New Roman" w:cs="Times New Roman"/>
          <w:sz w:val="24"/>
          <w:szCs w:val="24"/>
          <w:lang w:val="en-US"/>
        </w:rPr>
        <w:t xml:space="preserve"> = 0.033; Hedges’ </w:t>
      </w:r>
      <w:r w:rsidRPr="00835316">
        <w:rPr>
          <w:rFonts w:ascii="Times New Roman" w:hAnsi="Times New Roman" w:cs="Times New Roman"/>
          <w:i/>
          <w:iCs/>
          <w:sz w:val="24"/>
          <w:szCs w:val="24"/>
          <w:lang w:val="en-US"/>
        </w:rPr>
        <w:t>g</w:t>
      </w:r>
      <w:r w:rsidRPr="00835316">
        <w:rPr>
          <w:rFonts w:ascii="Times New Roman" w:hAnsi="Times New Roman" w:cs="Times New Roman"/>
          <w:sz w:val="24"/>
          <w:szCs w:val="24"/>
          <w:lang w:val="en-US"/>
        </w:rPr>
        <w:t xml:space="preserve"> = −1.474), while systolic vorticity was 308.67 ± 44.46 s⁻¹ versus 237.33 ± 34.49 s⁻¹, respectively (mean difference −71.34 s⁻¹, 95% CI −129.37 to −13.31; </w:t>
      </w:r>
      <w:r w:rsidRPr="00835316">
        <w:rPr>
          <w:rFonts w:ascii="Times New Roman" w:hAnsi="Times New Roman" w:cs="Times New Roman"/>
          <w:i/>
          <w:iCs/>
          <w:sz w:val="24"/>
          <w:szCs w:val="24"/>
          <w:lang w:val="en-US"/>
        </w:rPr>
        <w:t>p</w:t>
      </w:r>
      <w:r w:rsidRPr="00835316">
        <w:rPr>
          <w:rFonts w:ascii="Times New Roman" w:hAnsi="Times New Roman" w:cs="Times New Roman"/>
          <w:sz w:val="24"/>
          <w:szCs w:val="24"/>
          <w:lang w:val="en-US"/>
        </w:rPr>
        <w:t xml:space="preserve"> = 0.022; Hedges’ </w:t>
      </w:r>
      <w:r w:rsidRPr="00835316">
        <w:rPr>
          <w:rFonts w:ascii="Times New Roman" w:hAnsi="Times New Roman" w:cs="Times New Roman"/>
          <w:i/>
          <w:iCs/>
          <w:sz w:val="24"/>
          <w:szCs w:val="24"/>
          <w:lang w:val="en-US"/>
        </w:rPr>
        <w:t>g</w:t>
      </w:r>
      <w:r w:rsidRPr="00835316">
        <w:rPr>
          <w:rFonts w:ascii="Times New Roman" w:hAnsi="Times New Roman" w:cs="Times New Roman"/>
          <w:sz w:val="24"/>
          <w:szCs w:val="24"/>
          <w:lang w:val="en-US"/>
        </w:rPr>
        <w:t xml:space="preserve"> = −1.619). These remained significant in Welch’s sensitivity analysis (</w:t>
      </w:r>
      <w:r w:rsidRPr="00835316">
        <w:rPr>
          <w:rFonts w:ascii="Times New Roman" w:hAnsi="Times New Roman" w:cs="Times New Roman"/>
          <w:i/>
          <w:iCs/>
          <w:sz w:val="24"/>
          <w:szCs w:val="24"/>
          <w:lang w:val="en-US"/>
        </w:rPr>
        <w:t>p</w:t>
      </w:r>
      <w:r w:rsidRPr="00835316">
        <w:rPr>
          <w:rFonts w:ascii="Times New Roman" w:hAnsi="Times New Roman" w:cs="Times New Roman"/>
          <w:sz w:val="24"/>
          <w:szCs w:val="24"/>
          <w:lang w:val="en-US"/>
        </w:rPr>
        <w:t xml:space="preserve"> = 0.045 and 0.023, respectively). Vorticity differences were not statistically significant during the diastolic (</w:t>
      </w:r>
      <w:r w:rsidRPr="00835316">
        <w:rPr>
          <w:rFonts w:ascii="Times New Roman" w:hAnsi="Times New Roman" w:cs="Times New Roman"/>
          <w:i/>
          <w:iCs/>
          <w:sz w:val="24"/>
          <w:szCs w:val="24"/>
          <w:lang w:val="en-US"/>
        </w:rPr>
        <w:t>p</w:t>
      </w:r>
      <w:r w:rsidRPr="00835316">
        <w:rPr>
          <w:rFonts w:ascii="Times New Roman" w:hAnsi="Times New Roman" w:cs="Times New Roman"/>
          <w:sz w:val="24"/>
          <w:szCs w:val="24"/>
          <w:lang w:val="en-US"/>
        </w:rPr>
        <w:t xml:space="preserve"> = 0.100), E-wave (</w:t>
      </w:r>
      <w:r w:rsidRPr="00835316">
        <w:rPr>
          <w:rFonts w:ascii="Times New Roman" w:hAnsi="Times New Roman" w:cs="Times New Roman"/>
          <w:i/>
          <w:iCs/>
          <w:sz w:val="24"/>
          <w:szCs w:val="24"/>
          <w:lang w:val="en-US"/>
        </w:rPr>
        <w:t>p</w:t>
      </w:r>
      <w:r w:rsidRPr="00835316">
        <w:rPr>
          <w:rFonts w:ascii="Times New Roman" w:hAnsi="Times New Roman" w:cs="Times New Roman"/>
          <w:sz w:val="24"/>
          <w:szCs w:val="24"/>
          <w:lang w:val="en-US"/>
        </w:rPr>
        <w:t xml:space="preserve"> = 0.079) or A-wave (</w:t>
      </w:r>
      <w:r w:rsidRPr="00835316">
        <w:rPr>
          <w:rFonts w:ascii="Times New Roman" w:hAnsi="Times New Roman" w:cs="Times New Roman"/>
          <w:i/>
          <w:iCs/>
          <w:sz w:val="24"/>
          <w:szCs w:val="24"/>
          <w:lang w:val="en-US"/>
        </w:rPr>
        <w:t>p</w:t>
      </w:r>
      <w:r w:rsidRPr="00835316">
        <w:rPr>
          <w:rFonts w:ascii="Times New Roman" w:hAnsi="Times New Roman" w:cs="Times New Roman"/>
          <w:sz w:val="24"/>
          <w:szCs w:val="24"/>
          <w:lang w:val="en-US"/>
        </w:rPr>
        <w:t xml:space="preserve"> = 0.254) intervals. EDV-</w:t>
      </w:r>
      <w:proofErr w:type="spellStart"/>
      <w:r w:rsidRPr="00835316">
        <w:rPr>
          <w:rFonts w:ascii="Times New Roman" w:hAnsi="Times New Roman" w:cs="Times New Roman"/>
          <w:sz w:val="24"/>
          <w:szCs w:val="24"/>
          <w:lang w:val="en-US"/>
        </w:rPr>
        <w:t>normalised</w:t>
      </w:r>
      <w:proofErr w:type="spellEnd"/>
      <w:r w:rsidRPr="00835316">
        <w:rPr>
          <w:rFonts w:ascii="Times New Roman" w:hAnsi="Times New Roman" w:cs="Times New Roman"/>
          <w:sz w:val="24"/>
          <w:szCs w:val="24"/>
          <w:lang w:val="en-US"/>
        </w:rPr>
        <w:t xml:space="preserve"> kinetic energy and LV energy loss were numerically higher in AS across all five intervals, but none of the between-group comparisons reached statistical significance. AS participants had lower stroke volume (78.2 vs 88.5 mL) and LVEF (46.0% vs 54.9%) than controls.</w:t>
      </w:r>
    </w:p>
    <w:p w14:paraId="48B68278" w14:textId="77777777" w:rsidR="00835316" w:rsidRPr="00835316" w:rsidRDefault="00835316" w:rsidP="00835316">
      <w:pPr>
        <w:rPr>
          <w:rFonts w:ascii="Times New Roman" w:hAnsi="Times New Roman" w:cs="Times New Roman"/>
          <w:sz w:val="24"/>
          <w:szCs w:val="24"/>
          <w:lang w:val="en-US"/>
        </w:rPr>
      </w:pPr>
      <w:r w:rsidRPr="00835316">
        <w:rPr>
          <w:rFonts w:ascii="Times New Roman" w:hAnsi="Times New Roman" w:cs="Times New Roman"/>
          <w:b/>
          <w:bCs/>
          <w:sz w:val="24"/>
          <w:szCs w:val="24"/>
          <w:lang w:val="en-US"/>
        </w:rPr>
        <w:t>Conclusion</w:t>
      </w:r>
    </w:p>
    <w:p w14:paraId="1CB82264" w14:textId="77777777" w:rsidR="00835316" w:rsidRPr="00835316" w:rsidRDefault="00835316" w:rsidP="00835316">
      <w:pPr>
        <w:rPr>
          <w:rFonts w:ascii="Times New Roman" w:hAnsi="Times New Roman" w:cs="Times New Roman"/>
          <w:sz w:val="24"/>
          <w:szCs w:val="24"/>
          <w:lang w:val="en-US"/>
        </w:rPr>
      </w:pPr>
      <w:r w:rsidRPr="00835316">
        <w:rPr>
          <w:rFonts w:ascii="Times New Roman" w:hAnsi="Times New Roman" w:cs="Times New Roman"/>
          <w:sz w:val="24"/>
          <w:szCs w:val="24"/>
          <w:lang w:val="en-US"/>
        </w:rPr>
        <w:t xml:space="preserve">LV vorticity was higher in AS during the </w:t>
      </w:r>
      <w:proofErr w:type="spellStart"/>
      <w:r w:rsidRPr="00835316">
        <w:rPr>
          <w:rFonts w:ascii="Times New Roman" w:hAnsi="Times New Roman" w:cs="Times New Roman"/>
          <w:sz w:val="24"/>
          <w:szCs w:val="24"/>
          <w:lang w:val="en-US"/>
        </w:rPr>
        <w:t>FullRR</w:t>
      </w:r>
      <w:proofErr w:type="spellEnd"/>
      <w:r w:rsidRPr="00835316">
        <w:rPr>
          <w:rFonts w:ascii="Times New Roman" w:hAnsi="Times New Roman" w:cs="Times New Roman"/>
          <w:sz w:val="24"/>
          <w:szCs w:val="24"/>
          <w:lang w:val="en-US"/>
        </w:rPr>
        <w:t xml:space="preserve"> and systolic intervals, whereas EDV-</w:t>
      </w:r>
      <w:proofErr w:type="spellStart"/>
      <w:r w:rsidRPr="00835316">
        <w:rPr>
          <w:rFonts w:ascii="Times New Roman" w:hAnsi="Times New Roman" w:cs="Times New Roman"/>
          <w:sz w:val="24"/>
          <w:szCs w:val="24"/>
          <w:lang w:val="en-US"/>
        </w:rPr>
        <w:t>normalised</w:t>
      </w:r>
      <w:proofErr w:type="spellEnd"/>
      <w:r w:rsidRPr="00835316">
        <w:rPr>
          <w:rFonts w:ascii="Times New Roman" w:hAnsi="Times New Roman" w:cs="Times New Roman"/>
          <w:sz w:val="24"/>
          <w:szCs w:val="24"/>
          <w:lang w:val="en-US"/>
        </w:rPr>
        <w:t xml:space="preserve"> kinetic energy and LV energy loss did not show statistically significant between-group differences. The </w:t>
      </w:r>
      <w:proofErr w:type="spellStart"/>
      <w:r w:rsidRPr="00835316">
        <w:rPr>
          <w:rFonts w:ascii="Times New Roman" w:hAnsi="Times New Roman" w:cs="Times New Roman"/>
          <w:sz w:val="24"/>
          <w:szCs w:val="24"/>
          <w:lang w:val="en-US"/>
        </w:rPr>
        <w:t>FullRR</w:t>
      </w:r>
      <w:proofErr w:type="spellEnd"/>
      <w:r w:rsidRPr="00835316">
        <w:rPr>
          <w:rFonts w:ascii="Times New Roman" w:hAnsi="Times New Roman" w:cs="Times New Roman"/>
          <w:sz w:val="24"/>
          <w:szCs w:val="24"/>
          <w:lang w:val="en-US"/>
        </w:rPr>
        <w:t xml:space="preserve"> and systolic vorticity findings represent related measurements from the same velocity field rather than independent confirmations. The hypothesis was therefore partially supported. Given the small, heterogeneous cohort, baseline imbalance, selected pre-existing registry datasets and lack of multiplicity correction, these findings are exploratory and do not </w:t>
      </w:r>
      <w:r w:rsidRPr="00835316">
        <w:rPr>
          <w:rFonts w:ascii="Times New Roman" w:hAnsi="Times New Roman" w:cs="Times New Roman"/>
          <w:sz w:val="24"/>
          <w:szCs w:val="24"/>
          <w:lang w:val="en-US"/>
        </w:rPr>
        <w:lastRenderedPageBreak/>
        <w:t xml:space="preserve">establish a disease-specific or clinically applicable flow marker. Larger prospective studies with </w:t>
      </w:r>
      <w:proofErr w:type="spellStart"/>
      <w:r w:rsidRPr="00835316">
        <w:rPr>
          <w:rFonts w:ascii="Times New Roman" w:hAnsi="Times New Roman" w:cs="Times New Roman"/>
          <w:sz w:val="24"/>
          <w:szCs w:val="24"/>
          <w:lang w:val="en-US"/>
        </w:rPr>
        <w:t>standardised</w:t>
      </w:r>
      <w:proofErr w:type="spellEnd"/>
      <w:r w:rsidRPr="00835316">
        <w:rPr>
          <w:rFonts w:ascii="Times New Roman" w:hAnsi="Times New Roman" w:cs="Times New Roman"/>
          <w:sz w:val="24"/>
          <w:szCs w:val="24"/>
          <w:lang w:val="en-US"/>
        </w:rPr>
        <w:t xml:space="preserve"> acquisition and reproducible analysis are required.</w:t>
      </w:r>
    </w:p>
    <w:p w14:paraId="5F0C2646" w14:textId="77777777" w:rsidR="00835316" w:rsidRPr="00835316" w:rsidRDefault="00835316" w:rsidP="00835316">
      <w:pPr>
        <w:rPr>
          <w:rFonts w:ascii="Times New Roman" w:hAnsi="Times New Roman" w:cs="Times New Roman"/>
          <w:sz w:val="24"/>
          <w:szCs w:val="24"/>
          <w:lang w:val="en-US"/>
        </w:rPr>
      </w:pPr>
      <w:r w:rsidRPr="00835316">
        <w:rPr>
          <w:rFonts w:ascii="Times New Roman" w:hAnsi="Times New Roman" w:cs="Times New Roman"/>
          <w:b/>
          <w:bCs/>
          <w:sz w:val="24"/>
          <w:szCs w:val="24"/>
          <w:lang w:val="en-US"/>
        </w:rPr>
        <w:t>Keywords:</w:t>
      </w:r>
      <w:r w:rsidRPr="00835316">
        <w:rPr>
          <w:rFonts w:ascii="Times New Roman" w:hAnsi="Times New Roman" w:cs="Times New Roman"/>
          <w:sz w:val="24"/>
          <w:szCs w:val="24"/>
          <w:lang w:val="en-US"/>
        </w:rPr>
        <w:t xml:space="preserve"> Aortic stenosis; 4D-flow CMR; left ventricular flow; flow energetics; vorticity; kinetic energy; energy loss.</w:t>
      </w:r>
    </w:p>
    <w:p w14:paraId="0CB290D5" w14:textId="77777777" w:rsidR="00DF69BD" w:rsidRPr="00835316" w:rsidRDefault="00DF69BD">
      <w:pPr>
        <w:rPr>
          <w:rFonts w:ascii="Times New Roman" w:hAnsi="Times New Roman" w:cs="Times New Roman"/>
          <w:sz w:val="24"/>
          <w:szCs w:val="24"/>
        </w:rPr>
      </w:pPr>
    </w:p>
    <w:sectPr w:rsidR="00DF69BD" w:rsidRPr="00835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5A7"/>
    <w:rsid w:val="006A55A7"/>
    <w:rsid w:val="007855E3"/>
    <w:rsid w:val="00835316"/>
    <w:rsid w:val="008B2E56"/>
    <w:rsid w:val="00B76EFA"/>
    <w:rsid w:val="00CF1683"/>
    <w:rsid w:val="00D95AA8"/>
    <w:rsid w:val="00DF69BD"/>
    <w:rsid w:val="00F765C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59179"/>
  <w15:chartTrackingRefBased/>
  <w15:docId w15:val="{57A46F4C-EE0F-4B97-9A39-9DA07AB0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A5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5A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A55A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A55A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A55A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A55A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A55A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A55A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A55A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A55A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A5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5A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A5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5A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A55A7"/>
    <w:pPr>
      <w:spacing w:before="160"/>
      <w:jc w:val="center"/>
    </w:pPr>
    <w:rPr>
      <w:i/>
      <w:iCs/>
      <w:color w:val="404040" w:themeColor="text1" w:themeTint="BF"/>
    </w:rPr>
  </w:style>
  <w:style w:type="character" w:customStyle="1" w:styleId="QuoteChar">
    <w:name w:val="Quote Char"/>
    <w:basedOn w:val="DefaultParagraphFont"/>
    <w:link w:val="Quote"/>
    <w:uiPriority w:val="29"/>
    <w:rsid w:val="006A55A7"/>
    <w:rPr>
      <w:i/>
      <w:iCs/>
      <w:color w:val="404040" w:themeColor="text1" w:themeTint="BF"/>
      <w:lang w:val="en-GB"/>
    </w:rPr>
  </w:style>
  <w:style w:type="paragraph" w:styleId="ListParagraph">
    <w:name w:val="List Paragraph"/>
    <w:basedOn w:val="Normal"/>
    <w:uiPriority w:val="34"/>
    <w:qFormat/>
    <w:rsid w:val="006A55A7"/>
    <w:pPr>
      <w:ind w:left="720"/>
      <w:contextualSpacing/>
    </w:pPr>
  </w:style>
  <w:style w:type="character" w:styleId="IntenseEmphasis">
    <w:name w:val="Intense Emphasis"/>
    <w:basedOn w:val="DefaultParagraphFont"/>
    <w:uiPriority w:val="21"/>
    <w:qFormat/>
    <w:rsid w:val="006A55A7"/>
    <w:rPr>
      <w:i/>
      <w:iCs/>
      <w:color w:val="0F4761" w:themeColor="accent1" w:themeShade="BF"/>
    </w:rPr>
  </w:style>
  <w:style w:type="paragraph" w:styleId="IntenseQuote">
    <w:name w:val="Intense Quote"/>
    <w:basedOn w:val="Normal"/>
    <w:next w:val="Normal"/>
    <w:link w:val="IntenseQuoteChar"/>
    <w:uiPriority w:val="30"/>
    <w:qFormat/>
    <w:rsid w:val="006A5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5A7"/>
    <w:rPr>
      <w:i/>
      <w:iCs/>
      <w:color w:val="0F4761" w:themeColor="accent1" w:themeShade="BF"/>
      <w:lang w:val="en-GB"/>
    </w:rPr>
  </w:style>
  <w:style w:type="character" w:styleId="IntenseReference">
    <w:name w:val="Intense Reference"/>
    <w:basedOn w:val="DefaultParagraphFont"/>
    <w:uiPriority w:val="32"/>
    <w:qFormat/>
    <w:rsid w:val="006A5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074551">
      <w:bodyDiv w:val="1"/>
      <w:marLeft w:val="0"/>
      <w:marRight w:val="0"/>
      <w:marTop w:val="0"/>
      <w:marBottom w:val="0"/>
      <w:divBdr>
        <w:top w:val="none" w:sz="0" w:space="0" w:color="auto"/>
        <w:left w:val="none" w:sz="0" w:space="0" w:color="auto"/>
        <w:bottom w:val="none" w:sz="0" w:space="0" w:color="auto"/>
        <w:right w:val="none" w:sz="0" w:space="0" w:color="auto"/>
      </w:divBdr>
    </w:div>
    <w:div w:id="1737168687">
      <w:bodyDiv w:val="1"/>
      <w:marLeft w:val="0"/>
      <w:marRight w:val="0"/>
      <w:marTop w:val="0"/>
      <w:marBottom w:val="0"/>
      <w:divBdr>
        <w:top w:val="none" w:sz="0" w:space="0" w:color="auto"/>
        <w:left w:val="none" w:sz="0" w:space="0" w:color="auto"/>
        <w:bottom w:val="none" w:sz="0" w:space="0" w:color="auto"/>
        <w:right w:val="none" w:sz="0" w:space="0" w:color="auto"/>
      </w:divBdr>
    </w:div>
    <w:div w:id="1874027813">
      <w:bodyDiv w:val="1"/>
      <w:marLeft w:val="0"/>
      <w:marRight w:val="0"/>
      <w:marTop w:val="0"/>
      <w:marBottom w:val="0"/>
      <w:divBdr>
        <w:top w:val="none" w:sz="0" w:space="0" w:color="auto"/>
        <w:left w:val="none" w:sz="0" w:space="0" w:color="auto"/>
        <w:bottom w:val="none" w:sz="0" w:space="0" w:color="auto"/>
        <w:right w:val="none" w:sz="0" w:space="0" w:color="auto"/>
      </w:divBdr>
    </w:div>
    <w:div w:id="187815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Moied Hossen</dc:creator>
  <cp:keywords/>
  <dc:description/>
  <cp:lastModifiedBy>Md Moied Hossen</cp:lastModifiedBy>
  <cp:revision>3</cp:revision>
  <dcterms:created xsi:type="dcterms:W3CDTF">2026-08-25T14:26:00Z</dcterms:created>
  <dcterms:modified xsi:type="dcterms:W3CDTF">2026-08-25T14:58:00Z</dcterms:modified>
</cp:coreProperties>
</file>