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19CB9" w14:textId="77777777" w:rsidR="007B0498" w:rsidRPr="007B0498" w:rsidRDefault="007B0498" w:rsidP="007B0498">
      <w:pPr>
        <w:rPr>
          <w:rFonts w:ascii="Times New Roman" w:hAnsi="Times New Roman" w:cs="Times New Roman"/>
          <w:b/>
          <w:bCs/>
          <w:lang w:val="en-US"/>
        </w:rPr>
      </w:pPr>
      <w:r w:rsidRPr="007B0498">
        <w:rPr>
          <w:rFonts w:ascii="Times New Roman" w:hAnsi="Times New Roman" w:cs="Times New Roman"/>
          <w:b/>
          <w:bCs/>
          <w:lang w:val="en-US"/>
        </w:rPr>
        <w:t>4. Discussion</w:t>
      </w:r>
    </w:p>
    <w:p w14:paraId="66F62BCA" w14:textId="77777777" w:rsidR="007B0498" w:rsidRPr="007B0498" w:rsidRDefault="007B0498" w:rsidP="007B0498">
      <w:pPr>
        <w:rPr>
          <w:rFonts w:ascii="Times New Roman" w:hAnsi="Times New Roman" w:cs="Times New Roman"/>
          <w:b/>
          <w:bCs/>
          <w:lang w:val="en-US"/>
        </w:rPr>
      </w:pPr>
      <w:r w:rsidRPr="007B0498">
        <w:rPr>
          <w:rFonts w:ascii="Times New Roman" w:hAnsi="Times New Roman" w:cs="Times New Roman"/>
          <w:b/>
          <w:bCs/>
          <w:lang w:val="en-US"/>
        </w:rPr>
        <w:t>4.1 Principal findings</w:t>
      </w:r>
    </w:p>
    <w:p w14:paraId="0CFAC245"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 xml:space="preserve">This exploratory retrospective comparative analysis investigated whether LV flow-energetic parameters derived from 4D-flow CMR differed between participants with AS and a control cohort. Statistically significant between-group differences were observed for LV vorticity during the FullRR and systolic intervals. FullRR vorticity showed a mean difference of −75.87 s⁻¹ (95% CI −143.65 to −8.10; </w:t>
      </w:r>
      <w:r w:rsidRPr="007B0498">
        <w:rPr>
          <w:rFonts w:ascii="Times New Roman" w:hAnsi="Times New Roman" w:cs="Times New Roman"/>
          <w:i/>
          <w:iCs/>
          <w:lang w:val="en-US"/>
        </w:rPr>
        <w:t>p</w:t>
      </w:r>
      <w:r w:rsidRPr="007B0498">
        <w:rPr>
          <w:rFonts w:ascii="Times New Roman" w:hAnsi="Times New Roman" w:cs="Times New Roman"/>
          <w:lang w:val="en-US"/>
        </w:rPr>
        <w:t xml:space="preserve"> = 0.033; Hedges’ </w:t>
      </w:r>
      <w:r w:rsidRPr="007B0498">
        <w:rPr>
          <w:rFonts w:ascii="Times New Roman" w:hAnsi="Times New Roman" w:cs="Times New Roman"/>
          <w:i/>
          <w:iCs/>
          <w:lang w:val="en-US"/>
        </w:rPr>
        <w:t>g</w:t>
      </w:r>
      <w:r w:rsidRPr="007B0498">
        <w:rPr>
          <w:rFonts w:ascii="Times New Roman" w:hAnsi="Times New Roman" w:cs="Times New Roman"/>
          <w:lang w:val="en-US"/>
        </w:rPr>
        <w:t xml:space="preserve"> = −1.474), while systolic vorticity showed a mean difference of −71.34 s⁻¹ (95% CI −129.37 to −13.31; </w:t>
      </w:r>
      <w:r w:rsidRPr="007B0498">
        <w:rPr>
          <w:rFonts w:ascii="Times New Roman" w:hAnsi="Times New Roman" w:cs="Times New Roman"/>
          <w:i/>
          <w:iCs/>
          <w:lang w:val="en-US"/>
        </w:rPr>
        <w:t>p</w:t>
      </w:r>
      <w:r w:rsidRPr="007B0498">
        <w:rPr>
          <w:rFonts w:ascii="Times New Roman" w:hAnsi="Times New Roman" w:cs="Times New Roman"/>
          <w:lang w:val="en-US"/>
        </w:rPr>
        <w:t xml:space="preserve"> = 0.022; Hedges’ </w:t>
      </w:r>
      <w:r w:rsidRPr="007B0498">
        <w:rPr>
          <w:rFonts w:ascii="Times New Roman" w:hAnsi="Times New Roman" w:cs="Times New Roman"/>
          <w:i/>
          <w:iCs/>
          <w:lang w:val="en-US"/>
        </w:rPr>
        <w:t>g</w:t>
      </w:r>
      <w:r w:rsidRPr="007B0498">
        <w:rPr>
          <w:rFonts w:ascii="Times New Roman" w:hAnsi="Times New Roman" w:cs="Times New Roman"/>
          <w:lang w:val="en-US"/>
        </w:rPr>
        <w:t xml:space="preserve"> = −1.619). Both remained statistically significant in the Welch unequal-variance sensitivity analysis (</w:t>
      </w:r>
      <w:r w:rsidRPr="007B0498">
        <w:rPr>
          <w:rFonts w:ascii="Times New Roman" w:hAnsi="Times New Roman" w:cs="Times New Roman"/>
          <w:i/>
          <w:iCs/>
          <w:lang w:val="en-US"/>
        </w:rPr>
        <w:t>p</w:t>
      </w:r>
      <w:r w:rsidRPr="007B0498">
        <w:rPr>
          <w:rFonts w:ascii="Times New Roman" w:hAnsi="Times New Roman" w:cs="Times New Roman"/>
          <w:lang w:val="en-US"/>
        </w:rPr>
        <w:t xml:space="preserve"> = 0.045 and 0.023, respectively).</w:t>
      </w:r>
    </w:p>
    <w:p w14:paraId="0AFB9B66"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Kinetic energy was numerically higher in AS across all five intervals, as was energy loss, but none of these comparisons reached the nominal significance threshold. The FullRR energy-loss comparison had a mean difference of approximately −665 µW, with a 95% CI extending from approximately −1467 to +136 µW, illustrating the substantial uncertainty around estimates from this sample.</w:t>
      </w:r>
    </w:p>
    <w:p w14:paraId="718552B9"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 FullRR and systolic vorticity findings arise from related measurements of the same velocity field and should not be regarded as two independent confirmations of separate effects. Overall, the results provide a preliminary signal of altered LV rotational flow in AS, while the study design and sample size do not permit causal inference or establish vorticity as a diagnostic, prognostic or severity-related biomarker. The hypothesis was therefore partially supported, with statistically significant differences observed for vorticity during the FullRR and systolic intervals but not during the diastolic, E-wave or A-wave intervals. Both study objectives were addressed; however, the findings remain hypothesis-generating.</w:t>
      </w:r>
    </w:p>
    <w:p w14:paraId="22C365AA" w14:textId="77777777" w:rsidR="007B0498" w:rsidRPr="007B0498" w:rsidRDefault="007B0498" w:rsidP="007B0498">
      <w:pPr>
        <w:rPr>
          <w:rFonts w:ascii="Times New Roman" w:hAnsi="Times New Roman" w:cs="Times New Roman"/>
          <w:b/>
          <w:bCs/>
          <w:lang w:val="en-US"/>
        </w:rPr>
      </w:pPr>
      <w:r w:rsidRPr="007B0498">
        <w:rPr>
          <w:rFonts w:ascii="Times New Roman" w:hAnsi="Times New Roman" w:cs="Times New Roman"/>
          <w:b/>
          <w:bCs/>
          <w:lang w:val="en-US"/>
        </w:rPr>
        <w:t>4.2 LV vorticity</w:t>
      </w:r>
    </w:p>
    <w:p w14:paraId="3D1FF84F"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Vorticity is derived from spatial velocity gradients and provides a measure of rotational characteristics within the LV blood pool. The higher vorticity observed in AS during the FullRR and systolic intervals may reflect altered organisation of intracavitary flow associated with the haemodynamic environment of AS. A pressure-overload state could plausibly alter ventricular flow organisation during ejection, although the present analysis cannot determine whether AS itself caused the observed difference.</w:t>
      </w:r>
    </w:p>
    <w:p w14:paraId="0E85C877"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Previous studies have demonstrated that LV vorticity can change in disease. Schäfer et al. reported reduced diastolic vorticity in patients with mild-to-moderate COPD, while Demirkiran et al. reported lower mean and peak vorticity in patients with chronic myocardial infarction compared with controls, with regional differences according to LV thrombus status.¹,² The present finding of higher vorticity therefore differs in direction from these disease-associated reductions. This may reflect differences in disease mechanism, ventricular loading conditions or the specific cardiac phase and population studied.</w:t>
      </w:r>
    </w:p>
    <w:p w14:paraId="3D6847EF"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COPD does not provide an alternative explanation in the present dataset because it was absent in all five AS participants and all five controls.¹ Aortic regurgitation was present only as mild disease in three AS participants, with no mild-to-moderate AR recorded; however, AR status was unavailable for the controls, so its contribution cannot be directly compared between groups.</w:t>
      </w:r>
    </w:p>
    <w:p w14:paraId="649C7955"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 xml:space="preserve">AF is a more important consideration. AF was present in one AS participant and two controls. Grafton-Clarke et al. reported that 4D-flow peak-velocity measurements in AF may be affected by R-R variability and averaging across multiple heartbeats.³ Because vorticity depends on spatial velocity gradients, averaging dissimilar cardiac cycles could alter the measured velocity field and potentially attenuate temporal variations in gradients. The greater prevalence of AF in controls could therefore have contributed to a larger apparent AS-control difference. The two control participants with AF were also the </w:t>
      </w:r>
      <w:r w:rsidRPr="007B0498">
        <w:rPr>
          <w:rFonts w:ascii="Times New Roman" w:hAnsi="Times New Roman" w:cs="Times New Roman"/>
          <w:lang w:val="en-US"/>
        </w:rPr>
        <w:lastRenderedPageBreak/>
        <w:t>two oldest controls, meaning that the potential effects of AF and age cannot be separated within this sample. No post-hoc subgroup analysis was performed.</w:t>
      </w:r>
    </w:p>
    <w:p w14:paraId="61E7A617"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Stroke volume provides another relevant consideration. Using the same MASS-derived measurements in both groups, stroke volume was lower in AS than controls (78.2 ± 17.0 vs 88.5 ± 24.3 mL), as was LVEF (46.0 ± 23.3 vs 54.9 ± 4.7%). Kamphuis et al. reported positive associations between stroke volume and vorticity in healthy participants, including strong systolic and diastolic correlations.⁴ Because the group with higher vorticity in the present study had the lower stroke volume, greater flow volume alone is unlikely to explain the observed difference. This reduces one potential alternative explanation but does not establish a causal effect of AS.</w:t>
      </w:r>
    </w:p>
    <w:p w14:paraId="0EDBB5FF"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Interpretation is also constrained by uncertainty regarding the precise MASS vorticity summary metric. The available documentation does not establish whether the reported regional value represents a peak, volume-integrated or another summary formulation. Consequently, the results should be interpreted specifically as the MASS-derived vorticity output used in this analysis rather than assumed to correspond directly to a particular metric used in other 4D-flow studies.</w:t>
      </w:r>
    </w:p>
    <w:p w14:paraId="1DE1B1DC"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Technical factors may also influence the finding. The acquisition protocol specified an initial VENC range of 150–200 cm/s, but individual VENC values and subsequent velocity-processing or phase-unwrapping procedures were unavailable. These factors are particularly relevant to gradient-derived measures such as vorticity. Published work has demonstrated that 4D-flow-derived energetic measurements are sensitive to spatial resolution, with coarser voxel dimensions potentially underestimating viscous energy loss.⁵ The available acquisition documentation did not establish the spatial resolution of the analysed datasets.</w:t>
      </w:r>
    </w:p>
    <w:p w14:paraId="7670FD91"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 basal LV contour was positioned to exclude the LV outflow tract and aortic valve region from the analysed cavity, reducing the likelihood that direct inclusion of the high-velocity valve region explains the systolic finding. Although the contours underwent supervisory review, the available records do not establish whether this review was blinded or whether all ten datasets underwent a formalised independent review procedure. This limits the strength of any assurance regarding contouring consistency.</w:t>
      </w:r>
    </w:p>
    <w:p w14:paraId="67BC89CD" w14:textId="77777777" w:rsidR="007B0498" w:rsidRPr="007B0498" w:rsidRDefault="007B0498" w:rsidP="007B0498">
      <w:pPr>
        <w:rPr>
          <w:rFonts w:ascii="Times New Roman" w:hAnsi="Times New Roman" w:cs="Times New Roman"/>
          <w:b/>
          <w:bCs/>
          <w:lang w:val="en-US"/>
        </w:rPr>
      </w:pPr>
      <w:r w:rsidRPr="007B0498">
        <w:rPr>
          <w:rFonts w:ascii="Times New Roman" w:hAnsi="Times New Roman" w:cs="Times New Roman"/>
          <w:b/>
          <w:bCs/>
          <w:lang w:val="en-US"/>
        </w:rPr>
        <w:t>4.3 LV EDV-normalised kinetic energy</w:t>
      </w:r>
    </w:p>
    <w:p w14:paraId="46FF6D7E"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EDV-normalised LV kinetic energy was numerically higher in AS across all five intervals, but none of the comparisons reached the nominal significance threshold. These findings can be considered alongside Elhawaz et al., who studied patients with severe AS undergoing valve intervention and examined LV blood-flow kinetic energy in relation to functional capacity and subsequent LV remodelling.⁶ Their study did not include a control group, whereas the present analysis directly compared AS with controls, so the different study questions should be recognised when comparing findings.</w:t>
      </w:r>
    </w:p>
    <w:p w14:paraId="50184374"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 magnitude of the present average and systolic kinetic-energy values was broadly comparable with those reported by Elhawaz et al.⁶ However, their E-wave and A-wave values were peak measurements, whereas the present study used interval-based values; direct numerical comparison is therefore most appropriate for the average and systolic measurements. Their contouring convention also excluded papillary muscles, whereas papillary muscles were included within the blood-pool contour in the present analysis.</w:t>
      </w:r>
    </w:p>
    <w:p w14:paraId="4DE09A52"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 xml:space="preserve">This contouring convention affects measured ventricular volume and therefore the EDV denominator used for kinetic-energy normalisation. Papillary and trabecular tissue may also be more prominent in </w:t>
      </w:r>
      <w:r w:rsidRPr="007B0498">
        <w:rPr>
          <w:rFonts w:ascii="Times New Roman" w:hAnsi="Times New Roman" w:cs="Times New Roman"/>
          <w:lang w:val="en-US"/>
        </w:rPr>
        <w:lastRenderedPageBreak/>
        <w:t>pressure-overloaded ventricles, potentially making the effect group-dependent. The net direction and magnitude of any resulting bias cannot be established from the present data.</w:t>
      </w:r>
    </w:p>
    <w:p w14:paraId="3C8D2C2F"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 AS group had a larger mean EDV than controls (230.8 ± 170.2 vs 160.8 ± 39.3 mL). Despite this larger denominator, EDV-normalised kinetic energy remained numerically higher in AS across all five intervals. Thus, ventricular-size normalisation does not provide an obvious explanation for the direction of the observed differences.</w:t>
      </w:r>
    </w:p>
    <w:p w14:paraId="0EE4CC3D"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A-wave interpretation requires additional caution because AF was present in two controls and one AS participant. The absence of organised atrial contraction affects the physiological interpretation of A-wave measurements. Elhawaz et al. did not record A-wave kinetic-energy values in participants with AF, further illustrating the difficulty of interpreting this phase in heterogeneous rhythm cohorts.⁶ The present A-wave findings should therefore remain descriptive.</w:t>
      </w:r>
    </w:p>
    <w:p w14:paraId="7A7BE65F" w14:textId="77777777" w:rsidR="007B0498" w:rsidRPr="007B0498" w:rsidRDefault="007B0498" w:rsidP="007B0498">
      <w:pPr>
        <w:rPr>
          <w:rFonts w:ascii="Times New Roman" w:hAnsi="Times New Roman" w:cs="Times New Roman"/>
          <w:b/>
          <w:bCs/>
          <w:lang w:val="en-US"/>
        </w:rPr>
      </w:pPr>
      <w:r w:rsidRPr="007B0498">
        <w:rPr>
          <w:rFonts w:ascii="Times New Roman" w:hAnsi="Times New Roman" w:cs="Times New Roman"/>
          <w:b/>
          <w:bCs/>
          <w:lang w:val="en-US"/>
        </w:rPr>
        <w:t>4.4 LV energy loss</w:t>
      </w:r>
    </w:p>
    <w:p w14:paraId="7E41BCC6"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LV energy loss was numerically higher in AS across all five intervals, but none of the comparisons reached statistical significance.</w:t>
      </w:r>
    </w:p>
    <w:p w14:paraId="3AF3F848"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Energy-loss measures require careful interpretation because different 4D-flow approaches quantify different physical components of flow dissipation. Dyverfeldt et al. described turbulent kinetic energy and irreversible pressure loss in AS, while Garcia et al. reviewed the potential of 4D-flow CMR for characterising abnormal flow patterns in AS.⁷,⁸ These measures should not be assumed to be equivalent to myocardial mechanical energy expenditure.</w:t>
      </w:r>
    </w:p>
    <w:p w14:paraId="3C88C1D7"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A further limitation is that kinetic energy was normalised by EDV whereas the MASS-derived energy-loss output was reported without volume normalisation. The larger EDV in the AS group could therefore contribute to higher absolute energy-loss values independently of a disease-specific change in flow dissipation. The lack of statistical significance prevents this possibility from being resolved in the present sample.</w:t>
      </w:r>
    </w:p>
    <w:p w14:paraId="65812D38"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 specific formulation underlying the MASS energy-loss output could also not be independently established from the available documentation. Accordingly, the present values should be regarded as the MASS-derived energy-loss output generated by the analysis rather than assigned to a more specific viscous or turbulent formulation than the available evidence supports.</w:t>
      </w:r>
    </w:p>
    <w:p w14:paraId="27B0AE90" w14:textId="77777777" w:rsidR="007B0498" w:rsidRPr="007B0498" w:rsidRDefault="007B0498" w:rsidP="007B0498">
      <w:pPr>
        <w:rPr>
          <w:rFonts w:ascii="Times New Roman" w:hAnsi="Times New Roman" w:cs="Times New Roman"/>
          <w:b/>
          <w:bCs/>
          <w:lang w:val="en-US"/>
        </w:rPr>
      </w:pPr>
      <w:r w:rsidRPr="007B0498">
        <w:rPr>
          <w:rFonts w:ascii="Times New Roman" w:hAnsi="Times New Roman" w:cs="Times New Roman"/>
          <w:b/>
          <w:bCs/>
          <w:lang w:val="en-US"/>
        </w:rPr>
        <w:t>4.5 Strengths and limitations</w:t>
      </w:r>
    </w:p>
    <w:p w14:paraId="40258F66"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An important strength of this analysis was the use of a common MASS-based workflow for both groups, including LV volume and functional measurements and the same 4D-flow-derived analysis framework. The inclusion of a control group also allowed direct exploratory comparison that was not available in the Elhawaz study.⁶ Both the AS and control datasets were derived from the PREFER-CMR registry, allowing comparison of pre-existing datasets from the same registry framework. The present analysis therefore extends the available registry work by examining LV flow energetics alongside the previously reported aortic haemodynamic measures.³</w:t>
      </w:r>
    </w:p>
    <w:p w14:paraId="7BFB01A9"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 principal limitation was the small sample size of five participants per group. The analysis was therefore exploratory and hypothesis-generating, with limited statistical power and substantial uncertainty around several estimates. No correction for multiple comparisons was applied, increasing the possibility of chance findings among the multiple interval-based tests.</w:t>
      </w:r>
    </w:p>
    <w:p w14:paraId="677BA6C7"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lastRenderedPageBreak/>
        <w:t>Selection bias also cannot be excluded. Five AS and five control datasets were analysed from the PREFER-CMR registry. The mechanism by which the ten available control datasets and the five selected datasets in each group were historically selected could not be independently established from the records available to the researcher. The analysis therefore represents a selected subset of pre-existing registry data rather than an independently recruited cohort.³</w:t>
      </w:r>
    </w:p>
    <w:p w14:paraId="0DBA2033"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Although the control datasets were confirmed to originate from the PREFER-CMR registry, the original eligibility criteria and historical selection process for the wider control dataset were not independently available to the researcher. The controls should therefore not be assumed to represent a uniformly healthy volunteer population.</w:t>
      </w:r>
    </w:p>
    <w:p w14:paraId="3871FA54"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There was substantial baseline imbalance. Mean age was 73.6 ± 9.6 years in AS compared with 57.6 ± 17.0 years in controls. The control ages were also bimodally distributed, with three participants aged 39–52 years and two aged 74–77 years. Hypertension was present in four of five AS participants but none of the controls, while ischaemic heart disease was present in two AS participants and none of the controls. These differences mean that the observed flow differences cannot be attributed specifically to AS independently of age and cardiovascular comorbidity.</w:t>
      </w:r>
    </w:p>
    <w:p w14:paraId="079D2C08"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 AS cohort was haemodynamically and functionally heterogeneous. CMR peak velocity ranged from 2.80–4.30 m/s, echocardiographic peak velocity from 2.50–4.30 m/s, mean gradient from 14–41 mmHg and AVA from 0.70–1.20 cm² among participants with available measurements. Cross-modality discordance was present, and no single categorical severity classification was assigned. MASS-derived LVEF was also heterogeneous (46.0 ± 23.3%). The findings therefore cannot be interpreted as representing a uniform AS phenotype, and no post-hoc severity analysis was undertaken.</w:t>
      </w:r>
    </w:p>
    <w:p w14:paraId="33AED545"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Papillary muscles were included within the LV blood-pool contour. This differed from some published workflows, including Elhawaz et al., and may influence ventricular volumes, EDV-normalised kinetic energy and velocity-gradient measurements.⁶ Papillary and trabecular tissue may be more prominent in pressure-overloaded ventricles, so the potential impact may not be identical between groups. The direction and magnitude of any resulting bias remain uncertain.</w:t>
      </w:r>
    </w:p>
    <w:p w14:paraId="553891E8"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 contouring process was not blinded to group allocation, and formal intra- or inter-observer reproducibility testing was not undertaken. Previous work has demonstrated scan-rescan reproducibility of diastolic LV kinetic energy, viscous energy loss and vorticity in healthy subjects, but reproducibility of the present systolic and FullRR vorticity measurements in AS has not been established.⁹</w:t>
      </w:r>
    </w:p>
    <w:p w14:paraId="764242F3"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Finally, the acquisition was not specifically designed for the present analysis. Temporal resolution was 40 ms, limiting sampling during shorter cardiac phases, particularly E- and A-wave intervals. Individual VENC values and detailed velocity-processing procedures could not be established, and image quality was not formally quantified. These factors are particularly relevant to vorticity and energy-loss measurements derived from the velocity field.</w:t>
      </w:r>
    </w:p>
    <w:p w14:paraId="670F6407" w14:textId="77777777" w:rsidR="007B0498" w:rsidRPr="007B0498" w:rsidRDefault="007B0498" w:rsidP="007B0498">
      <w:pPr>
        <w:rPr>
          <w:rFonts w:ascii="Times New Roman" w:hAnsi="Times New Roman" w:cs="Times New Roman"/>
          <w:b/>
          <w:bCs/>
          <w:lang w:val="en-US"/>
        </w:rPr>
      </w:pPr>
      <w:r w:rsidRPr="007B0498">
        <w:rPr>
          <w:rFonts w:ascii="Times New Roman" w:hAnsi="Times New Roman" w:cs="Times New Roman"/>
          <w:b/>
          <w:bCs/>
          <w:lang w:val="en-US"/>
        </w:rPr>
        <w:t>4.6 Future research</w:t>
      </w:r>
    </w:p>
    <w:p w14:paraId="547D5535"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Future studies should recruit larger, prospectively defined AS and control cohorts with documented participant-selection criteria and comparable demographic and cardiovascular characteristics. Participant eligibility, selection procedures, acquisition protocols and governance arrangements should be clearly documented for both groups.</w:t>
      </w:r>
    </w:p>
    <w:p w14:paraId="673AA4F9"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 xml:space="preserve">Acquisition and post-processing should be standardised, with VENC selection, velocity-processing and phase-unwrapping procedures explicitly recorded. Spatial and temporal resolution should be reported, and </w:t>
      </w:r>
      <w:r w:rsidRPr="007B0498">
        <w:rPr>
          <w:rFonts w:ascii="Times New Roman" w:hAnsi="Times New Roman" w:cs="Times New Roman"/>
          <w:lang w:val="en-US"/>
        </w:rPr>
        <w:lastRenderedPageBreak/>
        <w:t>image quality should be assessed systematically. LV contouring conventions, particularly the treatment of papillary muscles, should be predefined, with blinded intra- and inter-observer reproducibility testing.</w:t>
      </w:r>
    </w:p>
    <w:p w14:paraId="4FD7D2AD"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Larger studies should investigate whether LV vorticity remains associated with AS after accounting for age, ventricular function, stroke volume and relevant comorbidities. Prospective studies should also examine relationships between vorticity, kinetic energy, energy loss and conventional AS haemodynamic measures using predefined analyses rather than post-hoc subgroup comparisons.</w:t>
      </w:r>
    </w:p>
    <w:p w14:paraId="25BA181B"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Longitudinal studies before and after valve intervention could determine whether changes in LV flow organisation accompany relief of valvular obstruction and ventricular remodelling. Ultimately, the clinical relevance of 4D-flow-derived LV flow measures will require demonstration of reproducible associations with symptoms, ventricular recovery or clinical outcomes. At present, 4D-flow CMR should be regarded as a complementary research technique rather than an established clinical biomarker or replacement for conventional AS assessment.⁸</w:t>
      </w:r>
    </w:p>
    <w:p w14:paraId="6F3B94CE" w14:textId="77777777" w:rsidR="007B0498" w:rsidRPr="007B0498" w:rsidRDefault="007B0498" w:rsidP="007B0498">
      <w:pPr>
        <w:rPr>
          <w:rFonts w:ascii="Times New Roman" w:hAnsi="Times New Roman" w:cs="Times New Roman"/>
          <w:b/>
          <w:bCs/>
          <w:lang w:val="en-US"/>
        </w:rPr>
      </w:pPr>
      <w:r w:rsidRPr="007B0498">
        <w:rPr>
          <w:rFonts w:ascii="Times New Roman" w:hAnsi="Times New Roman" w:cs="Times New Roman"/>
          <w:b/>
          <w:bCs/>
          <w:lang w:val="en-US"/>
        </w:rPr>
        <w:t>4.7 Conclusion</w:t>
      </w:r>
    </w:p>
    <w:p w14:paraId="5BC88A3C"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This exploratory retrospective comparative analysis identified statistically significant differences in LV vorticity during the FullRR and systolic intervals, while EDV-normalised kinetic energy and LV energy loss did not show statistically significant between-group differences. The FullRR and systolic vorticity findings represent related measurements rather than independent confirmations.</w:t>
      </w:r>
    </w:p>
    <w:p w14:paraId="376C131D" w14:textId="77777777" w:rsidR="007B0498" w:rsidRPr="007B0498" w:rsidRDefault="007B0498" w:rsidP="007B0498">
      <w:pPr>
        <w:rPr>
          <w:rFonts w:ascii="Times New Roman" w:hAnsi="Times New Roman" w:cs="Times New Roman"/>
          <w:lang w:val="en-US"/>
        </w:rPr>
      </w:pPr>
      <w:r w:rsidRPr="007B0498">
        <w:rPr>
          <w:rFonts w:ascii="Times New Roman" w:hAnsi="Times New Roman" w:cs="Times New Roman"/>
          <w:lang w:val="en-US"/>
        </w:rPr>
        <w:t>The hypothesis was partially supported, with the observed vorticity differences restricted to the FullRR and systolic intervals. The small and heterogeneous cohort limits attribution specifically to AS. Larger prospective studies using standardised acquisition, well-characterised cohorts and reproducible analysis are required to determine whether the observed vorticity differences are reproducible and clinically meaningful.</w:t>
      </w:r>
    </w:p>
    <w:p w14:paraId="482607EA" w14:textId="77777777" w:rsidR="007B0498" w:rsidRPr="007B0498" w:rsidRDefault="007B0498" w:rsidP="007B0498">
      <w:pPr>
        <w:rPr>
          <w:rFonts w:ascii="Times New Roman" w:hAnsi="Times New Roman" w:cs="Times New Roman"/>
          <w:b/>
          <w:bCs/>
          <w:lang w:val="en-US"/>
        </w:rPr>
      </w:pPr>
      <w:r w:rsidRPr="007B0498">
        <w:rPr>
          <w:rFonts w:ascii="Times New Roman" w:hAnsi="Times New Roman" w:cs="Times New Roman"/>
          <w:b/>
          <w:bCs/>
          <w:lang w:val="en-US"/>
        </w:rPr>
        <w:t>References</w:t>
      </w:r>
    </w:p>
    <w:p w14:paraId="760A87AD" w14:textId="77777777" w:rsidR="007B0498" w:rsidRPr="007B0498" w:rsidRDefault="007B0498" w:rsidP="007B0498">
      <w:pPr>
        <w:numPr>
          <w:ilvl w:val="0"/>
          <w:numId w:val="5"/>
        </w:numPr>
        <w:rPr>
          <w:rFonts w:ascii="Times New Roman" w:hAnsi="Times New Roman" w:cs="Times New Roman"/>
          <w:lang w:val="en-US"/>
        </w:rPr>
      </w:pPr>
      <w:r w:rsidRPr="007B0498">
        <w:rPr>
          <w:rFonts w:ascii="Times New Roman" w:hAnsi="Times New Roman" w:cs="Times New Roman"/>
          <w:lang w:val="en-US"/>
        </w:rPr>
        <w:t xml:space="preserve">Schäfer M, Humphries S, Stenmark KR, Kheyfets VO, Buckner JK, Hunter KS, et al. 4D-flow cardiac magnetic resonance-derived vorticity is sensitive marker of left ventricular diastolic dysfunction in patients with mild-to-moderate chronic obstructive pulmonary disease. </w:t>
      </w:r>
      <w:r w:rsidRPr="007B0498">
        <w:rPr>
          <w:rFonts w:ascii="Times New Roman" w:hAnsi="Times New Roman" w:cs="Times New Roman"/>
          <w:i/>
          <w:iCs/>
          <w:lang w:val="en-US"/>
        </w:rPr>
        <w:t>Eur Heart J Cardiovasc Imaging</w:t>
      </w:r>
      <w:r w:rsidRPr="007B0498">
        <w:rPr>
          <w:rFonts w:ascii="Times New Roman" w:hAnsi="Times New Roman" w:cs="Times New Roman"/>
          <w:lang w:val="en-US"/>
        </w:rPr>
        <w:t>. 2018;19(4):415–424.</w:t>
      </w:r>
    </w:p>
    <w:p w14:paraId="0D03F8BA" w14:textId="77777777" w:rsidR="007B0498" w:rsidRPr="007B0498" w:rsidRDefault="007B0498" w:rsidP="007B0498">
      <w:pPr>
        <w:numPr>
          <w:ilvl w:val="0"/>
          <w:numId w:val="5"/>
        </w:numPr>
        <w:rPr>
          <w:rFonts w:ascii="Times New Roman" w:hAnsi="Times New Roman" w:cs="Times New Roman"/>
          <w:lang w:val="en-US"/>
        </w:rPr>
      </w:pPr>
      <w:r w:rsidRPr="007B0498">
        <w:rPr>
          <w:rFonts w:ascii="Times New Roman" w:hAnsi="Times New Roman" w:cs="Times New Roman"/>
          <w:lang w:val="en-US"/>
        </w:rPr>
        <w:t xml:space="preserve">Demirkiran A, Hassell MECJ, Garg P, Elbaz MSM, Delewi R, Greenwood JP, et al. Left ventricular four-dimensional blood flow distribution, energetics, and vorticity in chronic myocardial infarction patients with/without left ventricular thrombus. </w:t>
      </w:r>
      <w:r w:rsidRPr="007B0498">
        <w:rPr>
          <w:rFonts w:ascii="Times New Roman" w:hAnsi="Times New Roman" w:cs="Times New Roman"/>
          <w:i/>
          <w:iCs/>
          <w:lang w:val="en-US"/>
        </w:rPr>
        <w:t>Eur J Radiol</w:t>
      </w:r>
      <w:r w:rsidRPr="007B0498">
        <w:rPr>
          <w:rFonts w:ascii="Times New Roman" w:hAnsi="Times New Roman" w:cs="Times New Roman"/>
          <w:lang w:val="en-US"/>
        </w:rPr>
        <w:t>. 2022;150:110233.</w:t>
      </w:r>
    </w:p>
    <w:p w14:paraId="6C69BB3A" w14:textId="77777777" w:rsidR="007B0498" w:rsidRPr="007B0498" w:rsidRDefault="007B0498" w:rsidP="007B0498">
      <w:pPr>
        <w:numPr>
          <w:ilvl w:val="0"/>
          <w:numId w:val="5"/>
        </w:numPr>
        <w:rPr>
          <w:rFonts w:ascii="Times New Roman" w:hAnsi="Times New Roman" w:cs="Times New Roman"/>
          <w:lang w:val="en-US"/>
        </w:rPr>
      </w:pPr>
      <w:r w:rsidRPr="007B0498">
        <w:rPr>
          <w:rFonts w:ascii="Times New Roman" w:hAnsi="Times New Roman" w:cs="Times New Roman"/>
          <w:lang w:val="en-US"/>
        </w:rPr>
        <w:t xml:space="preserve">Grafton-Clarke C, Assadi H, Li R, Mehmood Z, Hall R, Matthews G, et al. Four-dimensional flow provides incremental diagnostic value over echocardiography in aortic stenosis. </w:t>
      </w:r>
      <w:r w:rsidRPr="007B0498">
        <w:rPr>
          <w:rFonts w:ascii="Times New Roman" w:hAnsi="Times New Roman" w:cs="Times New Roman"/>
          <w:i/>
          <w:iCs/>
          <w:lang w:val="en-US"/>
        </w:rPr>
        <w:t>Open Heart</w:t>
      </w:r>
      <w:r w:rsidRPr="007B0498">
        <w:rPr>
          <w:rFonts w:ascii="Times New Roman" w:hAnsi="Times New Roman" w:cs="Times New Roman"/>
          <w:lang w:val="en-US"/>
        </w:rPr>
        <w:t>. 2025;12(1):e003081.</w:t>
      </w:r>
    </w:p>
    <w:p w14:paraId="2F40A119" w14:textId="77777777" w:rsidR="007B0498" w:rsidRPr="007B0498" w:rsidRDefault="007B0498" w:rsidP="007B0498">
      <w:pPr>
        <w:numPr>
          <w:ilvl w:val="0"/>
          <w:numId w:val="5"/>
        </w:numPr>
        <w:rPr>
          <w:rFonts w:ascii="Times New Roman" w:hAnsi="Times New Roman" w:cs="Times New Roman"/>
          <w:lang w:val="en-US"/>
        </w:rPr>
      </w:pPr>
      <w:r w:rsidRPr="007B0498">
        <w:rPr>
          <w:rFonts w:ascii="Times New Roman" w:hAnsi="Times New Roman" w:cs="Times New Roman"/>
          <w:lang w:val="en-US"/>
        </w:rPr>
        <w:t xml:space="preserve">Kamphuis VP, Roest AAW, van den Boogaard PJ, Kroft LJM, Lamb HJ, Helbing WA, et al. Hemodynamic interplay of vorticity, viscous energy loss, and kinetic energy from 4D Flow MRI and link to cardiac function in healthy subjects and Fontan patients. </w:t>
      </w:r>
      <w:r w:rsidRPr="007B0498">
        <w:rPr>
          <w:rFonts w:ascii="Times New Roman" w:hAnsi="Times New Roman" w:cs="Times New Roman"/>
          <w:i/>
          <w:iCs/>
          <w:lang w:val="en-US"/>
        </w:rPr>
        <w:t>Am J Physiol Heart Circ Physiol</w:t>
      </w:r>
      <w:r w:rsidRPr="007B0498">
        <w:rPr>
          <w:rFonts w:ascii="Times New Roman" w:hAnsi="Times New Roman" w:cs="Times New Roman"/>
          <w:lang w:val="en-US"/>
        </w:rPr>
        <w:t>. 2021;320(4):H1687–H1698.</w:t>
      </w:r>
    </w:p>
    <w:p w14:paraId="5D710DD4" w14:textId="77777777" w:rsidR="007B0498" w:rsidRPr="007B0498" w:rsidRDefault="007B0498" w:rsidP="007B0498">
      <w:pPr>
        <w:numPr>
          <w:ilvl w:val="0"/>
          <w:numId w:val="5"/>
        </w:numPr>
        <w:rPr>
          <w:rFonts w:ascii="Times New Roman" w:hAnsi="Times New Roman" w:cs="Times New Roman"/>
          <w:lang w:val="en-US"/>
        </w:rPr>
      </w:pPr>
      <w:r w:rsidRPr="007B0498">
        <w:rPr>
          <w:rFonts w:ascii="Times New Roman" w:hAnsi="Times New Roman" w:cs="Times New Roman"/>
          <w:lang w:val="en-US"/>
        </w:rPr>
        <w:t xml:space="preserve">Binter C, Gülan U, Holzner M, Kozerke S. On the accuracy of viscous and turbulent loss quantification in stenotic aortic flow using phase-contrast MRI. </w:t>
      </w:r>
      <w:r w:rsidRPr="007B0498">
        <w:rPr>
          <w:rFonts w:ascii="Times New Roman" w:hAnsi="Times New Roman" w:cs="Times New Roman"/>
          <w:i/>
          <w:iCs/>
          <w:lang w:val="en-US"/>
        </w:rPr>
        <w:t>Magn Reson Med</w:t>
      </w:r>
      <w:r w:rsidRPr="007B0498">
        <w:rPr>
          <w:rFonts w:ascii="Times New Roman" w:hAnsi="Times New Roman" w:cs="Times New Roman"/>
          <w:lang w:val="en-US"/>
        </w:rPr>
        <w:t>. 2016;76(1):191–196.</w:t>
      </w:r>
    </w:p>
    <w:p w14:paraId="552C5E5F" w14:textId="77777777" w:rsidR="007B0498" w:rsidRPr="007B0498" w:rsidRDefault="007B0498" w:rsidP="007B0498">
      <w:pPr>
        <w:numPr>
          <w:ilvl w:val="0"/>
          <w:numId w:val="5"/>
        </w:numPr>
        <w:rPr>
          <w:rFonts w:ascii="Times New Roman" w:hAnsi="Times New Roman" w:cs="Times New Roman"/>
          <w:lang w:val="en-US"/>
        </w:rPr>
      </w:pPr>
      <w:r w:rsidRPr="007B0498">
        <w:rPr>
          <w:rFonts w:ascii="Times New Roman" w:hAnsi="Times New Roman" w:cs="Times New Roman"/>
          <w:lang w:val="en-US"/>
        </w:rPr>
        <w:lastRenderedPageBreak/>
        <w:t xml:space="preserve">Elhawaz A, Archer GT, Zafar H, Fidock B, Barker N, Jones R, et al. Left ventricular blood flow kinetic energy is associated with the six-minute walk test and left ventricular remodelling post valvular intervention in aortic stenosis. </w:t>
      </w:r>
      <w:r w:rsidRPr="007B0498">
        <w:rPr>
          <w:rFonts w:ascii="Times New Roman" w:hAnsi="Times New Roman" w:cs="Times New Roman"/>
          <w:i/>
          <w:iCs/>
          <w:lang w:val="en-US"/>
        </w:rPr>
        <w:t>Quant Imaging Med Surg</w:t>
      </w:r>
      <w:r w:rsidRPr="007B0498">
        <w:rPr>
          <w:rFonts w:ascii="Times New Roman" w:hAnsi="Times New Roman" w:cs="Times New Roman"/>
          <w:lang w:val="en-US"/>
        </w:rPr>
        <w:t>. 2021;11(4):1470–1482.</w:t>
      </w:r>
    </w:p>
    <w:p w14:paraId="222D52FB" w14:textId="77777777" w:rsidR="007B0498" w:rsidRPr="007B0498" w:rsidRDefault="007B0498" w:rsidP="007B0498">
      <w:pPr>
        <w:numPr>
          <w:ilvl w:val="0"/>
          <w:numId w:val="5"/>
        </w:numPr>
        <w:rPr>
          <w:rFonts w:ascii="Times New Roman" w:hAnsi="Times New Roman" w:cs="Times New Roman"/>
          <w:lang w:val="en-US"/>
        </w:rPr>
      </w:pPr>
      <w:r w:rsidRPr="007B0498">
        <w:rPr>
          <w:rFonts w:ascii="Times New Roman" w:hAnsi="Times New Roman" w:cs="Times New Roman"/>
          <w:lang w:val="en-US"/>
        </w:rPr>
        <w:t xml:space="preserve">Dyverfeldt P, Hope MD, Tseng EE, Saloner D. Magnetic resonance measurement of turbulent kinetic energy for the estimation of irreversible pressure loss in aortic stenosis. </w:t>
      </w:r>
      <w:r w:rsidRPr="007B0498">
        <w:rPr>
          <w:rFonts w:ascii="Times New Roman" w:hAnsi="Times New Roman" w:cs="Times New Roman"/>
          <w:i/>
          <w:iCs/>
          <w:lang w:val="en-US"/>
        </w:rPr>
        <w:t>JACC Cardiovasc Imaging</w:t>
      </w:r>
      <w:r w:rsidRPr="007B0498">
        <w:rPr>
          <w:rFonts w:ascii="Times New Roman" w:hAnsi="Times New Roman" w:cs="Times New Roman"/>
          <w:lang w:val="en-US"/>
        </w:rPr>
        <w:t>. 2013;6(1):64–71.</w:t>
      </w:r>
    </w:p>
    <w:p w14:paraId="3FD53350" w14:textId="77777777" w:rsidR="007B0498" w:rsidRPr="007B0498" w:rsidRDefault="007B0498" w:rsidP="007B0498">
      <w:pPr>
        <w:numPr>
          <w:ilvl w:val="0"/>
          <w:numId w:val="5"/>
        </w:numPr>
        <w:rPr>
          <w:rFonts w:ascii="Times New Roman" w:hAnsi="Times New Roman" w:cs="Times New Roman"/>
          <w:lang w:val="en-US"/>
        </w:rPr>
      </w:pPr>
      <w:r w:rsidRPr="007B0498">
        <w:rPr>
          <w:rFonts w:ascii="Times New Roman" w:hAnsi="Times New Roman" w:cs="Times New Roman"/>
          <w:lang w:val="en-US"/>
        </w:rPr>
        <w:t xml:space="preserve">Garcia J, Barker AJ, Markl M. The role of imaging of flow patterns by 4D flow MRI in aortic stenosis. </w:t>
      </w:r>
      <w:r w:rsidRPr="007B0498">
        <w:rPr>
          <w:rFonts w:ascii="Times New Roman" w:hAnsi="Times New Roman" w:cs="Times New Roman"/>
          <w:i/>
          <w:iCs/>
          <w:lang w:val="en-US"/>
        </w:rPr>
        <w:t>JACC Cardiovasc Imaging</w:t>
      </w:r>
      <w:r w:rsidRPr="007B0498">
        <w:rPr>
          <w:rFonts w:ascii="Times New Roman" w:hAnsi="Times New Roman" w:cs="Times New Roman"/>
          <w:lang w:val="en-US"/>
        </w:rPr>
        <w:t>. 2019;12(2):252–266.</w:t>
      </w:r>
    </w:p>
    <w:p w14:paraId="711E4C84" w14:textId="77777777" w:rsidR="007B0498" w:rsidRPr="007B0498" w:rsidRDefault="007B0498" w:rsidP="007B0498">
      <w:pPr>
        <w:numPr>
          <w:ilvl w:val="0"/>
          <w:numId w:val="5"/>
        </w:numPr>
        <w:rPr>
          <w:rFonts w:ascii="Times New Roman" w:hAnsi="Times New Roman" w:cs="Times New Roman"/>
          <w:lang w:val="en-US"/>
        </w:rPr>
      </w:pPr>
      <w:r w:rsidRPr="007B0498">
        <w:rPr>
          <w:rFonts w:ascii="Times New Roman" w:hAnsi="Times New Roman" w:cs="Times New Roman"/>
          <w:lang w:val="en-US"/>
        </w:rPr>
        <w:t xml:space="preserve">Kamphuis VP, Westenberg JJM, van der Palen RLF, van den Boogaard PJ, van der Geest RJ, de Roos A, et al. Scan-rescan reproducibility of diastolic left ventricular kinetic energy, viscous energy loss and vorticity assessment using 4D flow MRI: analysis in healthy subjects. </w:t>
      </w:r>
      <w:r w:rsidRPr="007B0498">
        <w:rPr>
          <w:rFonts w:ascii="Times New Roman" w:hAnsi="Times New Roman" w:cs="Times New Roman"/>
          <w:i/>
          <w:iCs/>
          <w:lang w:val="en-US"/>
        </w:rPr>
        <w:t>Int J Cardiovasc Imaging</w:t>
      </w:r>
      <w:r w:rsidRPr="007B0498">
        <w:rPr>
          <w:rFonts w:ascii="Times New Roman" w:hAnsi="Times New Roman" w:cs="Times New Roman"/>
          <w:lang w:val="en-US"/>
        </w:rPr>
        <w:t>. 2018;34(6):905–920.</w:t>
      </w:r>
    </w:p>
    <w:p w14:paraId="022CB170" w14:textId="77777777" w:rsidR="00DF69BD" w:rsidRPr="007B0498" w:rsidRDefault="00DF69BD" w:rsidP="004C45D2">
      <w:pPr>
        <w:rPr>
          <w:rFonts w:ascii="Times New Roman" w:hAnsi="Times New Roman" w:cs="Times New Roman"/>
        </w:rPr>
      </w:pPr>
    </w:p>
    <w:sectPr w:rsidR="00DF69BD" w:rsidRPr="007B0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1235D"/>
    <w:multiLevelType w:val="multilevel"/>
    <w:tmpl w:val="D26A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4209C"/>
    <w:multiLevelType w:val="multilevel"/>
    <w:tmpl w:val="63F8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47119"/>
    <w:multiLevelType w:val="multilevel"/>
    <w:tmpl w:val="1CF6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E42FA9"/>
    <w:multiLevelType w:val="multilevel"/>
    <w:tmpl w:val="5B0C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4F79D4"/>
    <w:multiLevelType w:val="multilevel"/>
    <w:tmpl w:val="0C94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759231">
    <w:abstractNumId w:val="3"/>
  </w:num>
  <w:num w:numId="2" w16cid:durableId="1665820855">
    <w:abstractNumId w:val="0"/>
  </w:num>
  <w:num w:numId="3" w16cid:durableId="1002047757">
    <w:abstractNumId w:val="1"/>
  </w:num>
  <w:num w:numId="4" w16cid:durableId="1840584688">
    <w:abstractNumId w:val="4"/>
  </w:num>
  <w:num w:numId="5" w16cid:durableId="323050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D2"/>
    <w:rsid w:val="001974C8"/>
    <w:rsid w:val="004C45D2"/>
    <w:rsid w:val="00660259"/>
    <w:rsid w:val="006B468E"/>
    <w:rsid w:val="007B0498"/>
    <w:rsid w:val="008B2E56"/>
    <w:rsid w:val="009F14D2"/>
    <w:rsid w:val="00AD6752"/>
    <w:rsid w:val="00B76EFA"/>
    <w:rsid w:val="00CE74E7"/>
    <w:rsid w:val="00DF69BD"/>
    <w:rsid w:val="00F765C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D7E06"/>
  <w15:chartTrackingRefBased/>
  <w15:docId w15:val="{5CF45D26-B5B2-45B3-9D4E-B1DDE03C0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F1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4D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F14D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F14D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F14D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F14D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F14D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F14D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F14D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F14D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F1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4D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F1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4D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F14D2"/>
    <w:pPr>
      <w:spacing w:before="160"/>
      <w:jc w:val="center"/>
    </w:pPr>
    <w:rPr>
      <w:i/>
      <w:iCs/>
      <w:color w:val="404040" w:themeColor="text1" w:themeTint="BF"/>
    </w:rPr>
  </w:style>
  <w:style w:type="character" w:customStyle="1" w:styleId="QuoteChar">
    <w:name w:val="Quote Char"/>
    <w:basedOn w:val="DefaultParagraphFont"/>
    <w:link w:val="Quote"/>
    <w:uiPriority w:val="29"/>
    <w:rsid w:val="009F14D2"/>
    <w:rPr>
      <w:i/>
      <w:iCs/>
      <w:color w:val="404040" w:themeColor="text1" w:themeTint="BF"/>
      <w:lang w:val="en-GB"/>
    </w:rPr>
  </w:style>
  <w:style w:type="paragraph" w:styleId="ListParagraph">
    <w:name w:val="List Paragraph"/>
    <w:basedOn w:val="Normal"/>
    <w:uiPriority w:val="34"/>
    <w:qFormat/>
    <w:rsid w:val="009F14D2"/>
    <w:pPr>
      <w:ind w:left="720"/>
      <w:contextualSpacing/>
    </w:pPr>
  </w:style>
  <w:style w:type="character" w:styleId="IntenseEmphasis">
    <w:name w:val="Intense Emphasis"/>
    <w:basedOn w:val="DefaultParagraphFont"/>
    <w:uiPriority w:val="21"/>
    <w:qFormat/>
    <w:rsid w:val="009F14D2"/>
    <w:rPr>
      <w:i/>
      <w:iCs/>
      <w:color w:val="0F4761" w:themeColor="accent1" w:themeShade="BF"/>
    </w:rPr>
  </w:style>
  <w:style w:type="paragraph" w:styleId="IntenseQuote">
    <w:name w:val="Intense Quote"/>
    <w:basedOn w:val="Normal"/>
    <w:next w:val="Normal"/>
    <w:link w:val="IntenseQuoteChar"/>
    <w:uiPriority w:val="30"/>
    <w:qFormat/>
    <w:rsid w:val="009F1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4D2"/>
    <w:rPr>
      <w:i/>
      <w:iCs/>
      <w:color w:val="0F4761" w:themeColor="accent1" w:themeShade="BF"/>
      <w:lang w:val="en-GB"/>
    </w:rPr>
  </w:style>
  <w:style w:type="character" w:styleId="IntenseReference">
    <w:name w:val="Intense Reference"/>
    <w:basedOn w:val="DefaultParagraphFont"/>
    <w:uiPriority w:val="32"/>
    <w:qFormat/>
    <w:rsid w:val="009F14D2"/>
    <w:rPr>
      <w:b/>
      <w:bCs/>
      <w:smallCaps/>
      <w:color w:val="0F4761" w:themeColor="accent1" w:themeShade="BF"/>
      <w:spacing w:val="5"/>
    </w:rPr>
  </w:style>
  <w:style w:type="character" w:styleId="Hyperlink">
    <w:name w:val="Hyperlink"/>
    <w:basedOn w:val="DefaultParagraphFont"/>
    <w:uiPriority w:val="99"/>
    <w:unhideWhenUsed/>
    <w:rsid w:val="00660259"/>
    <w:rPr>
      <w:color w:val="467886" w:themeColor="hyperlink"/>
      <w:u w:val="single"/>
    </w:rPr>
  </w:style>
  <w:style w:type="character" w:styleId="UnresolvedMention">
    <w:name w:val="Unresolved Mention"/>
    <w:basedOn w:val="DefaultParagraphFont"/>
    <w:uiPriority w:val="99"/>
    <w:semiHidden/>
    <w:unhideWhenUsed/>
    <w:rsid w:val="006602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35279">
      <w:bodyDiv w:val="1"/>
      <w:marLeft w:val="0"/>
      <w:marRight w:val="0"/>
      <w:marTop w:val="0"/>
      <w:marBottom w:val="0"/>
      <w:divBdr>
        <w:top w:val="none" w:sz="0" w:space="0" w:color="auto"/>
        <w:left w:val="none" w:sz="0" w:space="0" w:color="auto"/>
        <w:bottom w:val="none" w:sz="0" w:space="0" w:color="auto"/>
        <w:right w:val="none" w:sz="0" w:space="0" w:color="auto"/>
      </w:divBdr>
    </w:div>
    <w:div w:id="434832852">
      <w:bodyDiv w:val="1"/>
      <w:marLeft w:val="0"/>
      <w:marRight w:val="0"/>
      <w:marTop w:val="0"/>
      <w:marBottom w:val="0"/>
      <w:divBdr>
        <w:top w:val="none" w:sz="0" w:space="0" w:color="auto"/>
        <w:left w:val="none" w:sz="0" w:space="0" w:color="auto"/>
        <w:bottom w:val="none" w:sz="0" w:space="0" w:color="auto"/>
        <w:right w:val="none" w:sz="0" w:space="0" w:color="auto"/>
      </w:divBdr>
    </w:div>
    <w:div w:id="454106162">
      <w:bodyDiv w:val="1"/>
      <w:marLeft w:val="0"/>
      <w:marRight w:val="0"/>
      <w:marTop w:val="0"/>
      <w:marBottom w:val="0"/>
      <w:divBdr>
        <w:top w:val="none" w:sz="0" w:space="0" w:color="auto"/>
        <w:left w:val="none" w:sz="0" w:space="0" w:color="auto"/>
        <w:bottom w:val="none" w:sz="0" w:space="0" w:color="auto"/>
        <w:right w:val="none" w:sz="0" w:space="0" w:color="auto"/>
      </w:divBdr>
    </w:div>
    <w:div w:id="950404104">
      <w:bodyDiv w:val="1"/>
      <w:marLeft w:val="0"/>
      <w:marRight w:val="0"/>
      <w:marTop w:val="0"/>
      <w:marBottom w:val="0"/>
      <w:divBdr>
        <w:top w:val="none" w:sz="0" w:space="0" w:color="auto"/>
        <w:left w:val="none" w:sz="0" w:space="0" w:color="auto"/>
        <w:bottom w:val="none" w:sz="0" w:space="0" w:color="auto"/>
        <w:right w:val="none" w:sz="0" w:space="0" w:color="auto"/>
      </w:divBdr>
    </w:div>
    <w:div w:id="953365094">
      <w:bodyDiv w:val="1"/>
      <w:marLeft w:val="0"/>
      <w:marRight w:val="0"/>
      <w:marTop w:val="0"/>
      <w:marBottom w:val="0"/>
      <w:divBdr>
        <w:top w:val="none" w:sz="0" w:space="0" w:color="auto"/>
        <w:left w:val="none" w:sz="0" w:space="0" w:color="auto"/>
        <w:bottom w:val="none" w:sz="0" w:space="0" w:color="auto"/>
        <w:right w:val="none" w:sz="0" w:space="0" w:color="auto"/>
      </w:divBdr>
    </w:div>
    <w:div w:id="1460487424">
      <w:bodyDiv w:val="1"/>
      <w:marLeft w:val="0"/>
      <w:marRight w:val="0"/>
      <w:marTop w:val="0"/>
      <w:marBottom w:val="0"/>
      <w:divBdr>
        <w:top w:val="none" w:sz="0" w:space="0" w:color="auto"/>
        <w:left w:val="none" w:sz="0" w:space="0" w:color="auto"/>
        <w:bottom w:val="none" w:sz="0" w:space="0" w:color="auto"/>
        <w:right w:val="none" w:sz="0" w:space="0" w:color="auto"/>
      </w:divBdr>
    </w:div>
    <w:div w:id="1763719065">
      <w:bodyDiv w:val="1"/>
      <w:marLeft w:val="0"/>
      <w:marRight w:val="0"/>
      <w:marTop w:val="0"/>
      <w:marBottom w:val="0"/>
      <w:divBdr>
        <w:top w:val="none" w:sz="0" w:space="0" w:color="auto"/>
        <w:left w:val="none" w:sz="0" w:space="0" w:color="auto"/>
        <w:bottom w:val="none" w:sz="0" w:space="0" w:color="auto"/>
        <w:right w:val="none" w:sz="0" w:space="0" w:color="auto"/>
      </w:divBdr>
    </w:div>
    <w:div w:id="1867014728">
      <w:bodyDiv w:val="1"/>
      <w:marLeft w:val="0"/>
      <w:marRight w:val="0"/>
      <w:marTop w:val="0"/>
      <w:marBottom w:val="0"/>
      <w:divBdr>
        <w:top w:val="none" w:sz="0" w:space="0" w:color="auto"/>
        <w:left w:val="none" w:sz="0" w:space="0" w:color="auto"/>
        <w:bottom w:val="none" w:sz="0" w:space="0" w:color="auto"/>
        <w:right w:val="none" w:sz="0" w:space="0" w:color="auto"/>
      </w:divBdr>
    </w:div>
    <w:div w:id="2018846857">
      <w:bodyDiv w:val="1"/>
      <w:marLeft w:val="0"/>
      <w:marRight w:val="0"/>
      <w:marTop w:val="0"/>
      <w:marBottom w:val="0"/>
      <w:divBdr>
        <w:top w:val="none" w:sz="0" w:space="0" w:color="auto"/>
        <w:left w:val="none" w:sz="0" w:space="0" w:color="auto"/>
        <w:bottom w:val="none" w:sz="0" w:space="0" w:color="auto"/>
        <w:right w:val="none" w:sz="0" w:space="0" w:color="auto"/>
      </w:divBdr>
    </w:div>
    <w:div w:id="204520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2858</Words>
  <Characters>16292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Moied Hossen</dc:creator>
  <cp:keywords/>
  <dc:description/>
  <cp:lastModifiedBy>Md Moied Hossen</cp:lastModifiedBy>
  <cp:revision>4</cp:revision>
  <dcterms:created xsi:type="dcterms:W3CDTF">2026-08-24T11:18:00Z</dcterms:created>
  <dcterms:modified xsi:type="dcterms:W3CDTF">2026-08-25T14:56:00Z</dcterms:modified>
</cp:coreProperties>
</file>