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4C236F"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 Methods</w:t>
      </w:r>
    </w:p>
    <w:p w14:paraId="46F8247A"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2.1 Study design and setting</w:t>
      </w:r>
    </w:p>
    <w:p w14:paraId="389C3D4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This was an exploratory retrospective comparative analysis of existing cardiovascular magnetic resonance (CMR) data comprising five participants with aortic stenosis (AS) and five control participants. The analysis was undertaken at Norfolk and Norwich University Hospital (NNUH), Norwich, UK. The AS and control datasets were derived from the PREFER-CMR registry.</w:t>
      </w:r>
    </w:p>
    <w:p w14:paraId="5CE7A84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published PREFER-CMR study comprised 30 participants with AS.¹ Five AS datasets were analysed in the present study. Ten control datasets were available, of which five were analysed. The reduction to five participants per group reflected the practical constraints associated with CMR contouring, quality control and 4D-flow analysis within the dissertation timeframe. The resulting analysis was therefore exploratory and hypothesis-generating.</w:t>
      </w:r>
    </w:p>
    <w:p w14:paraId="3E2FA3A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present analysis focused on left ventricular (LV) blood-flow energetics derived from four-dimensional flow CMR (4D-flow CMR), specifically kinetic energy (KE), vorticity and energy loss. The published PREFER-CMR study investigated 4D-flow CMR-derived aortic haemodynamic measures in AS; the present study used the existing datasets for a secondary analysis of LV flow-energetic parameters.¹</w:t>
      </w:r>
    </w:p>
    <w:p w14:paraId="44A715AA"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Non-invasive pressure-volume (PV) loop reconstruction formed part of the original research proposal but was not completed within the dissertation timeframe. Consequently, PV-loop-derived stroke work, pressure-volume area (PVA) and myocardial efficiency were not included among the completed analyses.</w:t>
      </w:r>
    </w:p>
    <w:p w14:paraId="58F6F139"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2.2 Study population</w:t>
      </w:r>
    </w:p>
    <w:p w14:paraId="14910914"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2.2.1 Aortic stenosis cohort</w:t>
      </w:r>
    </w:p>
    <w:p w14:paraId="1B15F0ED"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published PREFER-CMR study included adults with AS diagnosed by transthoracic echocardiography (TTE). Participants with contraindications to CMR, including incompatible implanted defibrillators, claustrophobia and estimated glomerular filtration rate &lt;30 mL/min/1.73 m², were excluded. Participants who had undergone previous surgical or transcatheter aortic-valve intervention were also excluded. Atrial fibrillation (AF) was not an exclusion criterion.¹</w:t>
      </w:r>
    </w:p>
    <w:p w14:paraId="33C8717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Five AS datasets were included in the present analysis. The five AS datasets were selected from the available PREFER-CMR research dataset within the practical constraints of the dissertation. The precise historical mechanism by which these five were selected from the wider available AS dataset could not be independently established from the records available to the researcher and is therefore considered a potential source of selection bias. AS severity was not used as an eligibility criterion or for selection or stratification in the present analysis.</w:t>
      </w:r>
    </w:p>
    <w:p w14:paraId="2BB5B301"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Baseline demographic and clinical characteristics for the AS participants were obtained from the available source clinical dataset.</w:t>
      </w:r>
    </w:p>
    <w:p w14:paraId="74A0FFDB"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lastRenderedPageBreak/>
        <w:t>No independent echocardiographic or CMR reassessment of AS severity was undertaken as part of the present analysis. Severity-related variables reported in the Results were obtained from the available source clinical dataset. These included CMR-derived peak aortic velocity, echocardiographic peak aortic velocity, mean transvalvular pressure gradient and aortic valve area (AVA). AVA was taken from the AVA_VTI field in the source dataset. Because the timing of echocardiographic and CMR examinations was not identical for all participants, these measurements were not treated as contemporaneous measurements for formal reassessment of AS severity.</w:t>
      </w:r>
    </w:p>
    <w:p w14:paraId="5F84743C"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analysed cohort included participants with documented concomitant valvular abnormalities. Aortic regurgitation (AR) was recorded descriptively from the available clinical dataset; among the five analysed participants, AR was nil in two and mild in three, with no mild-to-moderate AR recorded. Concomitant valve disease was therefore retained as a clinical characteristic rather than used as an exclusion criterion.</w:t>
      </w:r>
    </w:p>
    <w:p w14:paraId="776C0F6A"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2.2.2 Control cohort</w:t>
      </w:r>
    </w:p>
    <w:p w14:paraId="07984BC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Ten pre-existing control datasets from the PREFER-CMR registry were available to the research team, of which five were analysed. The control participants were not prospectively recruited specifically for this dissertation.</w:t>
      </w:r>
    </w:p>
    <w:p w14:paraId="789EAA23"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Five control datasets were selected from the available pool of ten control datasets. The precise historical mechanism by which these five were selected could not be independently established from the available project records and is therefore not described as random, consecutive or formally matched.</w:t>
      </w:r>
    </w:p>
    <w:p w14:paraId="79F1F30D"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Available baseline information included age, sex, height, weight, body mass index (BMI), New York Heart Association (NYHA) functional class, breathlessness, oedema, hypertension, diabetes mellitus, AF, ischaemic heart disease (IHD), chronic obstructive pulmonary disease (COPD) and smoking status. Three of the five controls were recorded as NYHA functional class I and two as class II. Two controls had documented AF.</w:t>
      </w:r>
    </w:p>
    <w:p w14:paraId="5206411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Smoking status was reported according to the information available in the source datasets. The control dataset distinguished current smoking, ex-smoking and never-smoking, whereas the AS source variable was recorded as a binary field; these variables were therefore reported descriptively rather than assumed to represent identical definitions across groups.</w:t>
      </w:r>
    </w:p>
    <w:p w14:paraId="54FCFE6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control cohort was not assumed to represent a uniformly healthy volunteer population.</w:t>
      </w:r>
    </w:p>
    <w:p w14:paraId="08B99655"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CMR-derived LV end-diastolic volume (EDV), end-systolic volume (ESV), stroke volume and LVEF were obtained from the MASS analyses performed during the present study for both groups. LV mass was not available from the MASS analysis for either group and was therefore not included as a comparative CMR variable.</w:t>
      </w:r>
    </w:p>
    <w:p w14:paraId="52C90296"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2.3 CMR acquisition</w:t>
      </w:r>
    </w:p>
    <w:p w14:paraId="047507D1"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 xml:space="preserve">For the AS datasets, the CMR acquisition methodology was based on the published PREFER-CMR protocol, as confirmed by the supervisory research team.¹ The published protocol used a </w:t>
      </w:r>
      <w:r w:rsidRPr="009A57B2">
        <w:rPr>
          <w:rFonts w:ascii="Times New Roman" w:hAnsi="Times New Roman" w:cs="Times New Roman"/>
          <w:sz w:val="24"/>
          <w:szCs w:val="24"/>
          <w:lang w:val="en-US"/>
        </w:rPr>
        <w:lastRenderedPageBreak/>
        <w:t>1.5-T Siemens Magnetom Sola scanner (Siemens Healthineers, Erlangen, Germany) with BioMatrix Body 18 coil technology.¹</w:t>
      </w:r>
    </w:p>
    <w:p w14:paraId="18B98FC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Cine imaging was performed using balanced steady-state free-precession imaging in standard long-axis views and a contiguous short-axis stack covering the LV. Cine imaging was acquired during an end-expiratory breath-hold. Reported cine parameters included TR 2.71 ms, TE 1.13 ms, field of view (FOV) 360 × 289 mm², flip angle 80°, slice thickness 8 mm and GRAPPA acceleration factor 2.¹</w:t>
      </w:r>
    </w:p>
    <w:p w14:paraId="21CE922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4D-flow acquisition comprised a three-dimensional axial volume covering the thoracic aorta, with retrospective ECG gating and free breathing. Thirty cardiac phases were reconstructed with a temporal resolution of 40 ms. Reported acquisition parameters included TR 4.98 ms, TE 1.13 ms, FOV 200 × 256 mm², flip angle 5° and GRAPPA acceleration factors of 2 in the phase-encoding direction and 1 in the slice direction.¹</w:t>
      </w:r>
    </w:p>
    <w:p w14:paraId="0CC8A9A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same published PREFER-CMR CMR acquisition protocol was used for the control datasets included in the present analysis, according to the protocol information confirmed by the supervisory research team.</w:t>
      </w:r>
    </w:p>
    <w:p w14:paraId="092003F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available project information indicated an initial velocity-encoding (VENC) setting of 150–200 cm/s. Individual final VENC values for each analysed dataset were not available to the researcher. VENC was therefore not treated as a dataset-specific analytical variable.</w:t>
      </w:r>
    </w:p>
    <w:p w14:paraId="2C45E8D6"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published PREFER-CMR paper did not report the acquired spatial voxel size for the 4D-flow sequence.¹ Consequently, no specific voxel dimension is reported here as an acquisition parameter.</w:t>
      </w:r>
    </w:p>
    <w:p w14:paraId="1102311D"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published PREFER-CMR analysis used CVI42 version 5.14 for its original 4D-flow post-processing.¹ The present study used MASS for the secondary LV flow-energetic analysis.</w:t>
      </w:r>
    </w:p>
    <w:p w14:paraId="1C22D112"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2.4 LV segmentation and contouring</w:t>
      </w:r>
    </w:p>
    <w:p w14:paraId="7EBB677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LV segmentation was performed using MASS V2025-EXP. AI-assisted contouring was initially used to generate the LV contours, after which the contours were manually reviewed and corrected by the researcher where necessary.</w:t>
      </w:r>
    </w:p>
    <w:p w14:paraId="767D4ED1"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LV endocardial contour was used to define the LV blood-pool region of interest for the subsequent flow-energetic analysis. Epicardial contours were generated during the image-analysis workflow but were not used in the 4D-flow blood-pool measurements.</w:t>
      </w:r>
    </w:p>
    <w:p w14:paraId="40459B3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papillary muscles were included within the LV endocardial contour and therefore within the defined LV blood-pool region. This approach was applied consistently across all analysed datasets. This differs from previous 4D-flow CMR work in AS in which papillary muscles were excluded from the LV blood-pool contour.²</w:t>
      </w:r>
    </w:p>
    <w:p w14:paraId="496161FB"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 xml:space="preserve">The researcher was aware of group allocation during contour review. Dr Rui Li subsequently performed quality-control review of the contours. The available records do not document </w:t>
      </w:r>
      <w:r w:rsidRPr="009A57B2">
        <w:rPr>
          <w:rFonts w:ascii="Times New Roman" w:hAnsi="Times New Roman" w:cs="Times New Roman"/>
          <w:sz w:val="24"/>
          <w:szCs w:val="24"/>
          <w:lang w:val="en-US"/>
        </w:rPr>
        <w:lastRenderedPageBreak/>
        <w:t>whether this supervisory review was blinded to group allocation or whether all ten datasets were reviewed using a formal blinded procedure.</w:t>
      </w:r>
    </w:p>
    <w:p w14:paraId="37F8A676"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Particular attention was given to the basal LV contour and exclusion of the aortic-valve/LVOT region from the analysed LV volume. The contours were reviewed and corrected where necessary before extraction of the flow-energetic measurements. No formal intra-observer or inter-observer reproducibility assessment was undertaken.</w:t>
      </w:r>
    </w:p>
    <w:p w14:paraId="5916D342"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2.5 4D-flow CMR analysis</w:t>
      </w:r>
    </w:p>
    <w:p w14:paraId="5BB3756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4D-flow datasets were analysed using MASS V2025-EXP. Three LV blood-flow energetic parameters were assessed:</w:t>
      </w:r>
    </w:p>
    <w:p w14:paraId="0EAABB05" w14:textId="77777777" w:rsidR="009A57B2" w:rsidRPr="009A57B2" w:rsidRDefault="009A57B2" w:rsidP="009A57B2">
      <w:pPr>
        <w:numPr>
          <w:ilvl w:val="0"/>
          <w:numId w:val="8"/>
        </w:numPr>
        <w:rPr>
          <w:rFonts w:ascii="Times New Roman" w:hAnsi="Times New Roman" w:cs="Times New Roman"/>
          <w:sz w:val="24"/>
          <w:szCs w:val="24"/>
          <w:lang w:val="en-US"/>
        </w:rPr>
      </w:pPr>
      <w:r w:rsidRPr="009A57B2">
        <w:rPr>
          <w:rFonts w:ascii="Times New Roman" w:hAnsi="Times New Roman" w:cs="Times New Roman"/>
          <w:sz w:val="24"/>
          <w:szCs w:val="24"/>
          <w:lang w:val="en-US"/>
        </w:rPr>
        <w:t>EDV-normalised kinetic energy;</w:t>
      </w:r>
    </w:p>
    <w:p w14:paraId="46D56BCF" w14:textId="77777777" w:rsidR="009A57B2" w:rsidRPr="009A57B2" w:rsidRDefault="009A57B2" w:rsidP="009A57B2">
      <w:pPr>
        <w:numPr>
          <w:ilvl w:val="0"/>
          <w:numId w:val="8"/>
        </w:numPr>
        <w:rPr>
          <w:rFonts w:ascii="Times New Roman" w:hAnsi="Times New Roman" w:cs="Times New Roman"/>
          <w:sz w:val="24"/>
          <w:szCs w:val="24"/>
          <w:lang w:val="en-US"/>
        </w:rPr>
      </w:pPr>
      <w:r w:rsidRPr="009A57B2">
        <w:rPr>
          <w:rFonts w:ascii="Times New Roman" w:hAnsi="Times New Roman" w:cs="Times New Roman"/>
          <w:sz w:val="24"/>
          <w:szCs w:val="24"/>
          <w:lang w:val="en-US"/>
        </w:rPr>
        <w:t>vorticity;</w:t>
      </w:r>
    </w:p>
    <w:p w14:paraId="0495B87F" w14:textId="77777777" w:rsidR="009A57B2" w:rsidRPr="009A57B2" w:rsidRDefault="009A57B2" w:rsidP="009A57B2">
      <w:pPr>
        <w:numPr>
          <w:ilvl w:val="0"/>
          <w:numId w:val="8"/>
        </w:numPr>
        <w:rPr>
          <w:rFonts w:ascii="Times New Roman" w:hAnsi="Times New Roman" w:cs="Times New Roman"/>
          <w:sz w:val="24"/>
          <w:szCs w:val="24"/>
          <w:lang w:val="en-US"/>
        </w:rPr>
      </w:pPr>
      <w:r w:rsidRPr="009A57B2">
        <w:rPr>
          <w:rFonts w:ascii="Times New Roman" w:hAnsi="Times New Roman" w:cs="Times New Roman"/>
          <w:sz w:val="24"/>
          <w:szCs w:val="24"/>
          <w:lang w:val="en-US"/>
        </w:rPr>
        <w:t>energy loss.</w:t>
      </w:r>
    </w:p>
    <w:p w14:paraId="7ED3A0DF"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Each parameter was assessed across five predefined cardiac intervals:</w:t>
      </w:r>
    </w:p>
    <w:p w14:paraId="17CF88D2" w14:textId="77777777" w:rsidR="009A57B2" w:rsidRPr="009A57B2" w:rsidRDefault="009A57B2" w:rsidP="009A57B2">
      <w:pPr>
        <w:numPr>
          <w:ilvl w:val="0"/>
          <w:numId w:val="9"/>
        </w:numPr>
        <w:rPr>
          <w:rFonts w:ascii="Times New Roman" w:hAnsi="Times New Roman" w:cs="Times New Roman"/>
          <w:sz w:val="24"/>
          <w:szCs w:val="24"/>
          <w:lang w:val="en-US"/>
        </w:rPr>
      </w:pPr>
      <w:r w:rsidRPr="009A57B2">
        <w:rPr>
          <w:rFonts w:ascii="Times New Roman" w:hAnsi="Times New Roman" w:cs="Times New Roman"/>
          <w:sz w:val="24"/>
          <w:szCs w:val="24"/>
          <w:lang w:val="en-US"/>
        </w:rPr>
        <w:t>FullRR;</w:t>
      </w:r>
    </w:p>
    <w:p w14:paraId="0FC092DE" w14:textId="77777777" w:rsidR="009A57B2" w:rsidRPr="009A57B2" w:rsidRDefault="009A57B2" w:rsidP="009A57B2">
      <w:pPr>
        <w:numPr>
          <w:ilvl w:val="0"/>
          <w:numId w:val="9"/>
        </w:numPr>
        <w:rPr>
          <w:rFonts w:ascii="Times New Roman" w:hAnsi="Times New Roman" w:cs="Times New Roman"/>
          <w:sz w:val="24"/>
          <w:szCs w:val="24"/>
          <w:lang w:val="en-US"/>
        </w:rPr>
      </w:pPr>
      <w:r w:rsidRPr="009A57B2">
        <w:rPr>
          <w:rFonts w:ascii="Times New Roman" w:hAnsi="Times New Roman" w:cs="Times New Roman"/>
          <w:sz w:val="24"/>
          <w:szCs w:val="24"/>
          <w:lang w:val="en-US"/>
        </w:rPr>
        <w:t>systole;</w:t>
      </w:r>
    </w:p>
    <w:p w14:paraId="69CF196D" w14:textId="77777777" w:rsidR="009A57B2" w:rsidRPr="009A57B2" w:rsidRDefault="009A57B2" w:rsidP="009A57B2">
      <w:pPr>
        <w:numPr>
          <w:ilvl w:val="0"/>
          <w:numId w:val="9"/>
        </w:numPr>
        <w:rPr>
          <w:rFonts w:ascii="Times New Roman" w:hAnsi="Times New Roman" w:cs="Times New Roman"/>
          <w:sz w:val="24"/>
          <w:szCs w:val="24"/>
          <w:lang w:val="en-US"/>
        </w:rPr>
      </w:pPr>
      <w:r w:rsidRPr="009A57B2">
        <w:rPr>
          <w:rFonts w:ascii="Times New Roman" w:hAnsi="Times New Roman" w:cs="Times New Roman"/>
          <w:sz w:val="24"/>
          <w:szCs w:val="24"/>
          <w:lang w:val="en-US"/>
        </w:rPr>
        <w:t>diastole;</w:t>
      </w:r>
    </w:p>
    <w:p w14:paraId="490F4F14" w14:textId="77777777" w:rsidR="009A57B2" w:rsidRPr="009A57B2" w:rsidRDefault="009A57B2" w:rsidP="009A57B2">
      <w:pPr>
        <w:numPr>
          <w:ilvl w:val="0"/>
          <w:numId w:val="9"/>
        </w:numPr>
        <w:rPr>
          <w:rFonts w:ascii="Times New Roman" w:hAnsi="Times New Roman" w:cs="Times New Roman"/>
          <w:sz w:val="24"/>
          <w:szCs w:val="24"/>
          <w:lang w:val="en-US"/>
        </w:rPr>
      </w:pPr>
      <w:r w:rsidRPr="009A57B2">
        <w:rPr>
          <w:rFonts w:ascii="Times New Roman" w:hAnsi="Times New Roman" w:cs="Times New Roman"/>
          <w:sz w:val="24"/>
          <w:szCs w:val="24"/>
          <w:lang w:val="en-US"/>
        </w:rPr>
        <w:t>E-wave;</w:t>
      </w:r>
    </w:p>
    <w:p w14:paraId="6B597BFE" w14:textId="77777777" w:rsidR="009A57B2" w:rsidRPr="009A57B2" w:rsidRDefault="009A57B2" w:rsidP="009A57B2">
      <w:pPr>
        <w:numPr>
          <w:ilvl w:val="0"/>
          <w:numId w:val="9"/>
        </w:numPr>
        <w:rPr>
          <w:rFonts w:ascii="Times New Roman" w:hAnsi="Times New Roman" w:cs="Times New Roman"/>
          <w:sz w:val="24"/>
          <w:szCs w:val="24"/>
          <w:lang w:val="en-US"/>
        </w:rPr>
      </w:pPr>
      <w:r w:rsidRPr="009A57B2">
        <w:rPr>
          <w:rFonts w:ascii="Times New Roman" w:hAnsi="Times New Roman" w:cs="Times New Roman"/>
          <w:sz w:val="24"/>
          <w:szCs w:val="24"/>
          <w:lang w:val="en-US"/>
        </w:rPr>
        <w:t>A-wave.</w:t>
      </w:r>
    </w:p>
    <w:p w14:paraId="62F6B549"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cardiac intervals were defined within the MASS analysis workflow and applied consistently across the analysed datasets. The resulting phase-specific measurements were extracted for statistical analysis.</w:t>
      </w:r>
    </w:p>
    <w:p w14:paraId="2D958EA8"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Before statistical analysis, the exported dataset was checked for participant allocation, outcome parameter, cardiac phase and measurement units.</w:t>
      </w:r>
    </w:p>
    <w:p w14:paraId="5D8E9467"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2.6 Flow-energetic outcome measures</w:t>
      </w:r>
    </w:p>
    <w:p w14:paraId="41E0174C"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2.6.1 EDV-normalised LV kinetic energy</w:t>
      </w:r>
    </w:p>
    <w:p w14:paraId="4CEA9D51"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LV blood-flow kinetic energy was calculated within the LV endocardial region and normalised to LV EDV using the MASS built-in “Normalized by EDV” option. This normalisation procedure was applied to both AS and control datasets. The resulting values were expressed as µJ/mL.</w:t>
      </w:r>
    </w:p>
    <w:p w14:paraId="5FA21D0B"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2.6.2 LV vorticity</w:t>
      </w:r>
    </w:p>
    <w:p w14:paraId="6941090F"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 xml:space="preserve">Vorticity was assessed within the LV endocardial region using the MASS 4D-flow analysis and expressed in s⁻¹. The reported value represented the LV-region summary generated by MASS for each predefined cardiac interval. The available project documentation does not provide a sufficiently detailed software definition to independently characterise the reported value as peak, </w:t>
      </w:r>
      <w:r w:rsidRPr="009A57B2">
        <w:rPr>
          <w:rFonts w:ascii="Times New Roman" w:hAnsi="Times New Roman" w:cs="Times New Roman"/>
          <w:sz w:val="24"/>
          <w:szCs w:val="24"/>
          <w:lang w:val="en-US"/>
        </w:rPr>
        <w:lastRenderedPageBreak/>
        <w:t>volume-integrated or another specific vorticity metric; therefore, it is reported using the MASS parameter terminology.</w:t>
      </w:r>
    </w:p>
    <w:p w14:paraId="7F056B06"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2.6.3 LV energy loss</w:t>
      </w:r>
    </w:p>
    <w:p w14:paraId="0DE7B893"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LV energy loss was obtained from the MASS 4D-flow analysis and expressed in µW. The exact mathematical formulation implemented by the MASS energy-loss parameter was not independently established from the available project documentation. The parameter was therefore retained using the software-generated terminology rather than being reclassified as viscous energy loss or turbulent kinetic energy.</w:t>
      </w:r>
    </w:p>
    <w:p w14:paraId="0DA08864"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2.7 Statistical analysis</w:t>
      </w:r>
    </w:p>
    <w:p w14:paraId="629D2584"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Statistical analyses were performed using IBM SPSS Statistics version 32. The final analytical dataset comprised five AS participants and five controls. Given the small sample size, the analysis was exploratory and hypothesis-generating.</w:t>
      </w:r>
    </w:p>
    <w:p w14:paraId="41B513D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Three flow-energetic outcomes were assessed across five predefined cardiac intervals, resulting in 15 planned between-group comparisons.</w:t>
      </w:r>
    </w:p>
    <w:p w14:paraId="5AC7059B"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Continuous variables were assessed using descriptive statistics and graphical assessment of distribution. The Shapiro–Wilk test was used to assess normality. Independent-samples t-tests were used for approximately normally distributed outcomes. Welch's t-test was examined as a sensitivity analysis for all independent-samples t-test comparisons. The Mann–Whitney U test was used for the diastolic and A-wave kinetic-energy comparisons.</w:t>
      </w:r>
    </w:p>
    <w:p w14:paraId="202EF7BB"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Diastolic kinetic energy showed evidence of non-normality in the control group on Shapiro–Wilk testing (p = 0.004), whereas the corresponding AS result was p = 0.382. For A-wave kinetic energy, Shapiro–Wilk testing gave p = 0.057 in controls and p = 0.065 in AS; these borderline distributional findings, together with graphical assessment, supported use of the non-parametric test for this comparison.</w:t>
      </w:r>
    </w:p>
    <w:p w14:paraId="44E2946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Variables analysed using parametric tests were summarised as mean ± standard deviation (SD), whereas variables analysed using the Mann–Whitney U test were summarised as median (interquartile range, IQR).</w:t>
      </w:r>
    </w:p>
    <w:p w14:paraId="43641A98"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Between-group differences were reported with two-tailed p values and 95% confidence intervals (CIs), where applicable. The nominal statistical significance threshold was p &lt; 0.05.</w:t>
      </w:r>
    </w:p>
    <w:p w14:paraId="725D17A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Hedges' g was used as the standardised effect-size measure for independent-samples t-test comparisons because of the small sample size. No rank-biserial correlation was reported for the Mann–Whitney U comparisons.</w:t>
      </w:r>
    </w:p>
    <w:p w14:paraId="7860503B"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No formal adjustment for multiple comparisons was applied. The five cardiac-phase measurements represent related components of the cardiac cycle, and FullRR encompasses the systolic and diastolic periods. The 15 comparisons were therefore not treated as fully independent observations.</w:t>
      </w:r>
    </w:p>
    <w:p w14:paraId="21F2D20F"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lastRenderedPageBreak/>
        <w:t>One AS participant and two control participants had documented AF. AF was considered when interpreting phase-specific measurements because beat-to-beat variation and R-to-R variability may affect 4D-flow measurements through averaging across cardiac cycles, particularly for time-resolved flow measurements.¹</w:t>
      </w:r>
    </w:p>
    <w:p w14:paraId="7B714F34"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Baseline demographic and clinical characteristics were summarised descriptively. No formal statistical hypothesis testing of baseline characteristics was undertaken because of the small sample size and the exploratory purpose of the study.</w:t>
      </w:r>
    </w:p>
    <w:p w14:paraId="44F88237"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For AS haemodynamic descriptors, descriptive measures were reported using the available number of participants for whom each parameter was recorded. Mean transvalvular pressure gradient was available for all five analysed AS participants.</w:t>
      </w:r>
    </w:p>
    <w:p w14:paraId="0CA8496E"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No multivariable modelling, regression analysis or missing-data imputation was undertaken.</w:t>
      </w:r>
    </w:p>
    <w:p w14:paraId="2F15C572"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2.8 Ethical considerations and data governance</w:t>
      </w:r>
    </w:p>
    <w:p w14:paraId="71448100"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AS and control datasets originated from the PREFER-CMR registry. The published PREFER-CMR study reported approval from the National Research Ethics Service under REC reference 21/NE/0149, with pragmatic opt-out consent, and registration under NCT05114785. The study was conducted in accordance with the Declaration of Helsinki.¹</w:t>
      </w:r>
    </w:p>
    <w:p w14:paraId="6C15CDFD"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present dissertation involved secondary analysis of pre-existing, anonymised human CMR data. No new participants were recruited and no additional CMR examinations were undertaken specifically for this analysis.</w:t>
      </w:r>
    </w:p>
    <w:p w14:paraId="1B8C5FD1"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ethical and governance arrangements applicable to the present analysis were those of the parent PREFER-CMR registry, as confirmed by the supervisory research team. The present study therefore used existing registry data within the established ethical and governance framework of the parent study.</w:t>
      </w:r>
    </w:p>
    <w:p w14:paraId="7344A6F8"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Participants are referred to in the dissertation using sequential pseudonyms rather than the original research identifiers. The original identifiers are not reported because they contain potentially identifying scan information.</w:t>
      </w:r>
    </w:p>
    <w:p w14:paraId="2BC67454"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Declaration of contributions</w:t>
      </w:r>
    </w:p>
    <w:p w14:paraId="77697448" w14:textId="77777777" w:rsidR="009A57B2" w:rsidRPr="009A57B2" w:rsidRDefault="009A57B2" w:rsidP="009A57B2">
      <w:pPr>
        <w:rPr>
          <w:rFonts w:ascii="Times New Roman" w:hAnsi="Times New Roman" w:cs="Times New Roman"/>
          <w:sz w:val="24"/>
          <w:szCs w:val="24"/>
          <w:lang w:val="en-US"/>
        </w:rPr>
      </w:pPr>
      <w:r w:rsidRPr="009A57B2">
        <w:rPr>
          <w:rFonts w:ascii="Times New Roman" w:hAnsi="Times New Roman" w:cs="Times New Roman"/>
          <w:sz w:val="24"/>
          <w:szCs w:val="24"/>
          <w:lang w:val="en-US"/>
        </w:rPr>
        <w:t>The researcher undertook the CMR image review and LV contouring, 4D-flow CMR analysis, data extraction, quality checks and statistical analysis for the present study. Dr Rui Li provided supervisory quality-control review of the LV contours and methodological guidance. The supervisory research team provided access to the pre-existing PREFER-CMR datasets and relevant CMR acquisition and protocol information.</w:t>
      </w:r>
    </w:p>
    <w:p w14:paraId="239EF015" w14:textId="77777777" w:rsidR="009A57B2" w:rsidRPr="009A57B2" w:rsidRDefault="009A57B2" w:rsidP="009A57B2">
      <w:pPr>
        <w:rPr>
          <w:rFonts w:ascii="Times New Roman" w:hAnsi="Times New Roman" w:cs="Times New Roman"/>
          <w:b/>
          <w:bCs/>
          <w:sz w:val="24"/>
          <w:szCs w:val="24"/>
          <w:lang w:val="en-US"/>
        </w:rPr>
      </w:pPr>
      <w:r w:rsidRPr="009A57B2">
        <w:rPr>
          <w:rFonts w:ascii="Times New Roman" w:hAnsi="Times New Roman" w:cs="Times New Roman"/>
          <w:b/>
          <w:bCs/>
          <w:sz w:val="24"/>
          <w:szCs w:val="24"/>
          <w:lang w:val="en-US"/>
        </w:rPr>
        <w:t>References — Methods</w:t>
      </w:r>
    </w:p>
    <w:p w14:paraId="236D2E45" w14:textId="77777777" w:rsidR="009A57B2" w:rsidRPr="009A57B2" w:rsidRDefault="009A57B2" w:rsidP="009A57B2">
      <w:pPr>
        <w:numPr>
          <w:ilvl w:val="0"/>
          <w:numId w:val="10"/>
        </w:numPr>
        <w:rPr>
          <w:rFonts w:ascii="Times New Roman" w:hAnsi="Times New Roman" w:cs="Times New Roman"/>
          <w:sz w:val="24"/>
          <w:szCs w:val="24"/>
          <w:lang w:val="en-US"/>
        </w:rPr>
      </w:pPr>
      <w:r w:rsidRPr="009A57B2">
        <w:rPr>
          <w:rFonts w:ascii="Times New Roman" w:hAnsi="Times New Roman" w:cs="Times New Roman"/>
          <w:sz w:val="24"/>
          <w:szCs w:val="24"/>
          <w:lang w:val="en-US"/>
        </w:rPr>
        <w:t xml:space="preserve">Grafton-Clarke C, Assadi H, Li R, Mehmood Z, Hall R, Matthews G, et al. Four-dimensional flow provides incremental diagnostic value over echocardiography in aortic stenosis. </w:t>
      </w:r>
      <w:r w:rsidRPr="009A57B2">
        <w:rPr>
          <w:rFonts w:ascii="Times New Roman" w:hAnsi="Times New Roman" w:cs="Times New Roman"/>
          <w:i/>
          <w:iCs/>
          <w:sz w:val="24"/>
          <w:szCs w:val="24"/>
          <w:lang w:val="en-US"/>
        </w:rPr>
        <w:t>Open Heart</w:t>
      </w:r>
      <w:r w:rsidRPr="009A57B2">
        <w:rPr>
          <w:rFonts w:ascii="Times New Roman" w:hAnsi="Times New Roman" w:cs="Times New Roman"/>
          <w:sz w:val="24"/>
          <w:szCs w:val="24"/>
          <w:lang w:val="en-US"/>
        </w:rPr>
        <w:t>. 2025;12(1):e003081.</w:t>
      </w:r>
    </w:p>
    <w:p w14:paraId="2E94E256" w14:textId="77777777" w:rsidR="009A57B2" w:rsidRPr="009A57B2" w:rsidRDefault="009A57B2" w:rsidP="009A57B2">
      <w:pPr>
        <w:numPr>
          <w:ilvl w:val="0"/>
          <w:numId w:val="10"/>
        </w:numPr>
        <w:rPr>
          <w:rFonts w:ascii="Times New Roman" w:hAnsi="Times New Roman" w:cs="Times New Roman"/>
          <w:sz w:val="24"/>
          <w:szCs w:val="24"/>
          <w:lang w:val="en-US"/>
        </w:rPr>
      </w:pPr>
      <w:r w:rsidRPr="009A57B2">
        <w:rPr>
          <w:rFonts w:ascii="Times New Roman" w:hAnsi="Times New Roman" w:cs="Times New Roman"/>
          <w:sz w:val="24"/>
          <w:szCs w:val="24"/>
          <w:lang w:val="en-US"/>
        </w:rPr>
        <w:lastRenderedPageBreak/>
        <w:t xml:space="preserve">Elhawaz A, Archer GT, Zafar H, Fidock B, Barker N, Jones R, et al. Left ventricular blood flow kinetic energy is associated with the six-minute walk test and left ventricular remodelling post valvular intervention in aortic stenosis. </w:t>
      </w:r>
      <w:r w:rsidRPr="009A57B2">
        <w:rPr>
          <w:rFonts w:ascii="Times New Roman" w:hAnsi="Times New Roman" w:cs="Times New Roman"/>
          <w:i/>
          <w:iCs/>
          <w:sz w:val="24"/>
          <w:szCs w:val="24"/>
          <w:lang w:val="en-US"/>
        </w:rPr>
        <w:t>Quant Imaging Med Surg</w:t>
      </w:r>
      <w:r w:rsidRPr="009A57B2">
        <w:rPr>
          <w:rFonts w:ascii="Times New Roman" w:hAnsi="Times New Roman" w:cs="Times New Roman"/>
          <w:sz w:val="24"/>
          <w:szCs w:val="24"/>
          <w:lang w:val="en-US"/>
        </w:rPr>
        <w:t>. 2021;11(4):1470–1482.</w:t>
      </w:r>
    </w:p>
    <w:p w14:paraId="2186B810" w14:textId="4767D595" w:rsidR="00E675A6" w:rsidRPr="009A57B2" w:rsidRDefault="00E675A6" w:rsidP="00E675A6">
      <w:pPr>
        <w:rPr>
          <w:rFonts w:ascii="Times New Roman" w:hAnsi="Times New Roman" w:cs="Times New Roman"/>
          <w:sz w:val="24"/>
          <w:szCs w:val="24"/>
          <w:lang w:val="en-US"/>
        </w:rPr>
      </w:pPr>
    </w:p>
    <w:sectPr w:rsidR="00E675A6" w:rsidRPr="009A57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84503"/>
    <w:multiLevelType w:val="multilevel"/>
    <w:tmpl w:val="700C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E16B3"/>
    <w:multiLevelType w:val="multilevel"/>
    <w:tmpl w:val="0FB04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A967CF"/>
    <w:multiLevelType w:val="multilevel"/>
    <w:tmpl w:val="92543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287DD0"/>
    <w:multiLevelType w:val="multilevel"/>
    <w:tmpl w:val="CFD6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252B2"/>
    <w:multiLevelType w:val="multilevel"/>
    <w:tmpl w:val="9A32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FE7FE0"/>
    <w:multiLevelType w:val="multilevel"/>
    <w:tmpl w:val="EC5C1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186924"/>
    <w:multiLevelType w:val="multilevel"/>
    <w:tmpl w:val="CAEC5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28215A"/>
    <w:multiLevelType w:val="multilevel"/>
    <w:tmpl w:val="3F3C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A53C2E"/>
    <w:multiLevelType w:val="multilevel"/>
    <w:tmpl w:val="EF6A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B5549D"/>
    <w:multiLevelType w:val="multilevel"/>
    <w:tmpl w:val="86D2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752129">
    <w:abstractNumId w:val="4"/>
  </w:num>
  <w:num w:numId="2" w16cid:durableId="1847940602">
    <w:abstractNumId w:val="1"/>
  </w:num>
  <w:num w:numId="3" w16cid:durableId="1916352168">
    <w:abstractNumId w:val="3"/>
  </w:num>
  <w:num w:numId="4" w16cid:durableId="932202055">
    <w:abstractNumId w:val="5"/>
  </w:num>
  <w:num w:numId="5" w16cid:durableId="2103332307">
    <w:abstractNumId w:val="7"/>
  </w:num>
  <w:num w:numId="6" w16cid:durableId="1665354619">
    <w:abstractNumId w:val="8"/>
  </w:num>
  <w:num w:numId="7" w16cid:durableId="115100308">
    <w:abstractNumId w:val="0"/>
  </w:num>
  <w:num w:numId="8" w16cid:durableId="1625430289">
    <w:abstractNumId w:val="2"/>
  </w:num>
  <w:num w:numId="9" w16cid:durableId="2103989785">
    <w:abstractNumId w:val="9"/>
  </w:num>
  <w:num w:numId="10" w16cid:durableId="165714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512"/>
    <w:rsid w:val="000F55B9"/>
    <w:rsid w:val="001E0950"/>
    <w:rsid w:val="006B2CBB"/>
    <w:rsid w:val="006B3FA2"/>
    <w:rsid w:val="00744BCE"/>
    <w:rsid w:val="00757512"/>
    <w:rsid w:val="008B2E56"/>
    <w:rsid w:val="009A57B2"/>
    <w:rsid w:val="00B76EFA"/>
    <w:rsid w:val="00DF69BD"/>
    <w:rsid w:val="00E675A6"/>
    <w:rsid w:val="00F36CBB"/>
    <w:rsid w:val="00F765C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75072"/>
  <w15:chartTrackingRefBased/>
  <w15:docId w15:val="{7EF43864-C69D-4ADD-8728-44B62EC3A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FA2"/>
    <w:rPr>
      <w:lang w:val="en-GB"/>
    </w:rPr>
  </w:style>
  <w:style w:type="paragraph" w:styleId="Heading1">
    <w:name w:val="heading 1"/>
    <w:basedOn w:val="Normal"/>
    <w:next w:val="Normal"/>
    <w:link w:val="Heading1Char"/>
    <w:uiPriority w:val="9"/>
    <w:qFormat/>
    <w:rsid w:val="007575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75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5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5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5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51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75751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75751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5751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5751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5751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5751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5751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5751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57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51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575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51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57512"/>
    <w:pPr>
      <w:spacing w:before="160"/>
      <w:jc w:val="center"/>
    </w:pPr>
    <w:rPr>
      <w:i/>
      <w:iCs/>
      <w:color w:val="404040" w:themeColor="text1" w:themeTint="BF"/>
    </w:rPr>
  </w:style>
  <w:style w:type="character" w:customStyle="1" w:styleId="QuoteChar">
    <w:name w:val="Quote Char"/>
    <w:basedOn w:val="DefaultParagraphFont"/>
    <w:link w:val="Quote"/>
    <w:uiPriority w:val="29"/>
    <w:rsid w:val="00757512"/>
    <w:rPr>
      <w:i/>
      <w:iCs/>
      <w:color w:val="404040" w:themeColor="text1" w:themeTint="BF"/>
      <w:lang w:val="en-GB"/>
    </w:rPr>
  </w:style>
  <w:style w:type="paragraph" w:styleId="ListParagraph">
    <w:name w:val="List Paragraph"/>
    <w:basedOn w:val="Normal"/>
    <w:uiPriority w:val="34"/>
    <w:qFormat/>
    <w:rsid w:val="00757512"/>
    <w:pPr>
      <w:ind w:left="720"/>
      <w:contextualSpacing/>
    </w:pPr>
  </w:style>
  <w:style w:type="character" w:styleId="IntenseEmphasis">
    <w:name w:val="Intense Emphasis"/>
    <w:basedOn w:val="DefaultParagraphFont"/>
    <w:uiPriority w:val="21"/>
    <w:qFormat/>
    <w:rsid w:val="00757512"/>
    <w:rPr>
      <w:i/>
      <w:iCs/>
      <w:color w:val="0F4761" w:themeColor="accent1" w:themeShade="BF"/>
    </w:rPr>
  </w:style>
  <w:style w:type="paragraph" w:styleId="IntenseQuote">
    <w:name w:val="Intense Quote"/>
    <w:basedOn w:val="Normal"/>
    <w:next w:val="Normal"/>
    <w:link w:val="IntenseQuoteChar"/>
    <w:uiPriority w:val="30"/>
    <w:qFormat/>
    <w:rsid w:val="00757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512"/>
    <w:rPr>
      <w:i/>
      <w:iCs/>
      <w:color w:val="0F4761" w:themeColor="accent1" w:themeShade="BF"/>
      <w:lang w:val="en-GB"/>
    </w:rPr>
  </w:style>
  <w:style w:type="character" w:styleId="IntenseReference">
    <w:name w:val="Intense Reference"/>
    <w:basedOn w:val="DefaultParagraphFont"/>
    <w:uiPriority w:val="32"/>
    <w:qFormat/>
    <w:rsid w:val="007575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6185">
      <w:bodyDiv w:val="1"/>
      <w:marLeft w:val="0"/>
      <w:marRight w:val="0"/>
      <w:marTop w:val="0"/>
      <w:marBottom w:val="0"/>
      <w:divBdr>
        <w:top w:val="none" w:sz="0" w:space="0" w:color="auto"/>
        <w:left w:val="none" w:sz="0" w:space="0" w:color="auto"/>
        <w:bottom w:val="none" w:sz="0" w:space="0" w:color="auto"/>
        <w:right w:val="none" w:sz="0" w:space="0" w:color="auto"/>
      </w:divBdr>
    </w:div>
    <w:div w:id="323241783">
      <w:bodyDiv w:val="1"/>
      <w:marLeft w:val="0"/>
      <w:marRight w:val="0"/>
      <w:marTop w:val="0"/>
      <w:marBottom w:val="0"/>
      <w:divBdr>
        <w:top w:val="none" w:sz="0" w:space="0" w:color="auto"/>
        <w:left w:val="none" w:sz="0" w:space="0" w:color="auto"/>
        <w:bottom w:val="none" w:sz="0" w:space="0" w:color="auto"/>
        <w:right w:val="none" w:sz="0" w:space="0" w:color="auto"/>
      </w:divBdr>
    </w:div>
    <w:div w:id="1209494938">
      <w:bodyDiv w:val="1"/>
      <w:marLeft w:val="0"/>
      <w:marRight w:val="0"/>
      <w:marTop w:val="0"/>
      <w:marBottom w:val="0"/>
      <w:divBdr>
        <w:top w:val="none" w:sz="0" w:space="0" w:color="auto"/>
        <w:left w:val="none" w:sz="0" w:space="0" w:color="auto"/>
        <w:bottom w:val="none" w:sz="0" w:space="0" w:color="auto"/>
        <w:right w:val="none" w:sz="0" w:space="0" w:color="auto"/>
      </w:divBdr>
    </w:div>
    <w:div w:id="1459566918">
      <w:bodyDiv w:val="1"/>
      <w:marLeft w:val="0"/>
      <w:marRight w:val="0"/>
      <w:marTop w:val="0"/>
      <w:marBottom w:val="0"/>
      <w:divBdr>
        <w:top w:val="none" w:sz="0" w:space="0" w:color="auto"/>
        <w:left w:val="none" w:sz="0" w:space="0" w:color="auto"/>
        <w:bottom w:val="none" w:sz="0" w:space="0" w:color="auto"/>
        <w:right w:val="none" w:sz="0" w:space="0" w:color="auto"/>
      </w:divBdr>
    </w:div>
    <w:div w:id="1560750503">
      <w:bodyDiv w:val="1"/>
      <w:marLeft w:val="0"/>
      <w:marRight w:val="0"/>
      <w:marTop w:val="0"/>
      <w:marBottom w:val="0"/>
      <w:divBdr>
        <w:top w:val="none" w:sz="0" w:space="0" w:color="auto"/>
        <w:left w:val="none" w:sz="0" w:space="0" w:color="auto"/>
        <w:bottom w:val="none" w:sz="0" w:space="0" w:color="auto"/>
        <w:right w:val="none" w:sz="0" w:space="0" w:color="auto"/>
      </w:divBdr>
    </w:div>
    <w:div w:id="1644652840">
      <w:bodyDiv w:val="1"/>
      <w:marLeft w:val="0"/>
      <w:marRight w:val="0"/>
      <w:marTop w:val="0"/>
      <w:marBottom w:val="0"/>
      <w:divBdr>
        <w:top w:val="none" w:sz="0" w:space="0" w:color="auto"/>
        <w:left w:val="none" w:sz="0" w:space="0" w:color="auto"/>
        <w:bottom w:val="none" w:sz="0" w:space="0" w:color="auto"/>
        <w:right w:val="none" w:sz="0" w:space="0" w:color="auto"/>
      </w:divBdr>
    </w:div>
    <w:div w:id="1772241776">
      <w:bodyDiv w:val="1"/>
      <w:marLeft w:val="0"/>
      <w:marRight w:val="0"/>
      <w:marTop w:val="0"/>
      <w:marBottom w:val="0"/>
      <w:divBdr>
        <w:top w:val="none" w:sz="0" w:space="0" w:color="auto"/>
        <w:left w:val="none" w:sz="0" w:space="0" w:color="auto"/>
        <w:bottom w:val="none" w:sz="0" w:space="0" w:color="auto"/>
        <w:right w:val="none" w:sz="0" w:space="0" w:color="auto"/>
      </w:divBdr>
    </w:div>
    <w:div w:id="1820684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2388</Words>
  <Characters>13612</Characters>
  <Application>Microsoft Office Word</Application>
  <DocSecurity>0</DocSecurity>
  <Lines>113</Lines>
  <Paragraphs>31</Paragraphs>
  <ScaleCrop>false</ScaleCrop>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5</cp:revision>
  <dcterms:created xsi:type="dcterms:W3CDTF">2026-08-24T12:50:00Z</dcterms:created>
  <dcterms:modified xsi:type="dcterms:W3CDTF">2026-08-25T14:48:00Z</dcterms:modified>
</cp:coreProperties>
</file>