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C620A0">
      <w:pPr>
        <w:pStyle w:val="papertitle"/>
      </w:pPr>
      <w:r>
        <w:t>Intra-Operation Dynamic Voltage Scaling</w:t>
      </w:r>
    </w:p>
    <w:p w:rsidR="009303D9" w:rsidRDefault="00C620A0">
      <w:pPr>
        <w:pStyle w:val="papersubtitle"/>
      </w:pPr>
      <w:r>
        <w:t xml:space="preserve">Maximizing Peripheral Performance and Minimizing </w:t>
      </w:r>
      <w:r w:rsidR="00270768">
        <w:t>Energy Consumption</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270768" w:rsidP="005B520E">
      <w:pPr>
        <w:pStyle w:val="Author"/>
      </w:pPr>
      <w:r>
        <w:lastRenderedPageBreak/>
        <w:t>Daniel R. Moore</w:t>
      </w:r>
      <w:r>
        <w:tab/>
        <w:t>Alexander G. Dean</w:t>
      </w:r>
    </w:p>
    <w:p w:rsidR="009303D9" w:rsidRPr="005B520E" w:rsidRDefault="00270768" w:rsidP="005B520E">
      <w:pPr>
        <w:pStyle w:val="Affiliation"/>
      </w:pPr>
      <w:r>
        <w:t>Center for Efficient, Scalable and Reliable Computing</w:t>
      </w:r>
    </w:p>
    <w:p w:rsidR="009303D9" w:rsidRPr="005B520E" w:rsidRDefault="00270768" w:rsidP="005B520E">
      <w:pPr>
        <w:pStyle w:val="Affiliation"/>
      </w:pPr>
      <w:r>
        <w:t>Dept. of Electrical and Computer Engineering</w:t>
      </w:r>
    </w:p>
    <w:p w:rsidR="009303D9" w:rsidRPr="005B520E" w:rsidRDefault="00270768" w:rsidP="005B520E">
      <w:pPr>
        <w:pStyle w:val="Affiliation"/>
      </w:pPr>
      <w:r>
        <w:t>North Carolina State University, Raleigh, NC 27695, USA</w:t>
      </w:r>
    </w:p>
    <w:p w:rsidR="009303D9" w:rsidRPr="005B520E" w:rsidRDefault="00270768" w:rsidP="005B520E">
      <w:pPr>
        <w:pStyle w:val="Affiliation"/>
      </w:pPr>
      <w:r>
        <w:t>{drmoore2, agdean}@ncsu.edu</w:t>
      </w:r>
    </w:p>
    <w:p w:rsidR="00C620A0" w:rsidRDefault="00C620A0" w:rsidP="00C620A0">
      <w:pPr>
        <w:pStyle w:val="Affiliation"/>
        <w:jc w:val="both"/>
        <w:sectPr w:rsidR="00C620A0">
          <w:type w:val="continuous"/>
          <w:pgSz w:w="12240" w:h="15840" w:code="1"/>
          <w:pgMar w:top="1080" w:right="893" w:bottom="1440" w:left="893" w:header="720" w:footer="720" w:gutter="0"/>
          <w:cols w:space="720"/>
          <w:docGrid w:linePitch="360"/>
        </w:sectPr>
      </w:pPr>
    </w:p>
    <w:p w:rsidR="009303D9" w:rsidRPr="005B520E" w:rsidRDefault="009303D9" w:rsidP="00C620A0">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w:t>
      </w:r>
      <w:bookmarkStart w:id="0" w:name="_GoBack"/>
      <w:bookmarkEnd w:id="0"/>
      <w:r w:rsidRPr="005B520E">
        <w:t>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lastRenderedPageBreak/>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lastRenderedPageBreak/>
        <w:t>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lastRenderedPageBreak/>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lastRenderedPageBreak/>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270768"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0" t="0" r="14605" b="1714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C620A0" w:rsidRDefault="00C620A0"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C620A0" w:rsidRDefault="00C620A0"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269.1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">
                <v:textbox>
                  <w:txbxContent>
                    <w:p w:rsidR="00C620A0" w:rsidRDefault="00C620A0"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C620A0" w:rsidRDefault="00C620A0"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43C56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C1E68"/>
    <w:rsid w:val="001A2EFD"/>
    <w:rsid w:val="001B67DC"/>
    <w:rsid w:val="002254A9"/>
    <w:rsid w:val="00270768"/>
    <w:rsid w:val="003A19E2"/>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E3409"/>
    <w:rsid w:val="00B11A60"/>
    <w:rsid w:val="00B22613"/>
    <w:rsid w:val="00BA1025"/>
    <w:rsid w:val="00BC3420"/>
    <w:rsid w:val="00BE7D3C"/>
    <w:rsid w:val="00BF5FF6"/>
    <w:rsid w:val="00C0207F"/>
    <w:rsid w:val="00C16117"/>
    <w:rsid w:val="00C620A0"/>
    <w:rsid w:val="00C919A4"/>
    <w:rsid w:val="00CC393F"/>
    <w:rsid w:val="00D632BE"/>
    <w:rsid w:val="00D7536F"/>
    <w:rsid w:val="00E61E12"/>
    <w:rsid w:val="00E7596C"/>
    <w:rsid w:val="00E878F2"/>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EC59A-12DE-0640-9CCF-2D8B4A3C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2080</Words>
  <Characters>11858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Daniel Moore</cp:lastModifiedBy>
  <cp:revision>2</cp:revision>
  <dcterms:created xsi:type="dcterms:W3CDTF">2014-09-03T05:07:00Z</dcterms:created>
  <dcterms:modified xsi:type="dcterms:W3CDTF">2014-09-03T05:07:00Z</dcterms:modified>
</cp:coreProperties>
</file>