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Correlation Between Two-Dimensional and Three-Dimensional Virtual Planning on Soft Tissue Prediction for Orthognathic Surgery Using Dolphin 3D Software</w:t>
      </w:r>
    </w:p>
    <w:p>
      <w:pPr>
        <w:spacing w:after="360"/>
        <w:jc w:val="center"/>
      </w:pPr>
      <w:r>
        <w:rPr>
          <w:i/>
          <w:iCs/>
          <w:sz w:val="26"/>
          <w:szCs w:val="26"/>
        </w:rPr>
        <w:t xml:space="preserve">Statistical Methodology and Results</w:t>
      </w:r>
    </w:p>
    <w:p>
      <w:pPr>
        <w:pStyle w:val="Heading1"/>
      </w:pPr>
      <w:r>
        <w:t xml:space="preserve">Statistical Methodology</w:t>
      </w:r>
    </w:p>
    <w:p>
      <w:pPr>
        <w:pStyle w:val="Heading2"/>
      </w:pPr>
      <w:r>
        <w:t xml:space="preserve">Outcome variable</w:t>
      </w:r>
    </w:p>
    <w:p>
      <w:pPr>
        <w:spacing w:after="160"/>
        <w:jc w:val="both"/>
      </w:pPr>
      <w:r>
        <w:t xml:space="preserve">The primary outcome was the soft-tissue prediction error, defined as the linear difference (in millimetres) between the simulated (virtually planned) position and the actual postoperative position of three soft-tissue landmarks: upper lip, lower lip and soft-tissue pogonion. The error was recorded for every patient with both two-dimensional (2D) and three-dimensional (3D) virtual planning in Dolphin 3D software, so that each patient served as their own control (paired design). Errors were analysed as absolute values, without regard to direction. Recorded values of 0.00 mm represent a true zero error and were analysed as entered; all 10 patients were included.</w:t>
      </w:r>
    </w:p>
    <w:p>
      <w:pPr>
        <w:pStyle w:val="Heading2"/>
      </w:pPr>
      <w:r>
        <w:t xml:space="preserve">Descriptive statistics</w:t>
      </w:r>
    </w:p>
    <w:p>
      <w:pPr>
        <w:spacing w:after="160"/>
        <w:jc w:val="both"/>
      </w:pPr>
      <w:r>
        <w:t xml:space="preserve">Continuous variables were described as mean ± standard deviation (SD), 95% confidence interval (CI) of the mean, median (interquartile range, IQR) and range (minimum–maximum). Categorical variables were described as frequency and percentage.</w:t>
      </w:r>
    </w:p>
    <w:p>
      <w:pPr>
        <w:pStyle w:val="Heading2"/>
      </w:pPr>
      <w:r>
        <w:t xml:space="preserve">Comparison between 2D and 3D planning</w:t>
      </w:r>
    </w:p>
    <w:p>
      <w:pPr>
        <w:spacing w:after="160"/>
        <w:jc w:val="both"/>
      </w:pPr>
      <w:r>
        <w:t xml:space="preserve">Normality of the paired differences (2D − 3D) was tested with the Shapiro–Wilk test. The prediction errors of 2D and 3D planning were compared at each landmark with the paired </w:t>
      </w:r>
      <w:r>
        <w:rPr>
          <w:i/>
          <w:iCs/>
        </w:rPr>
        <w:t xml:space="preserve">t</w:t>
      </w:r>
      <w:r>
        <w:t xml:space="preserve">-test, and the mean difference was reported with its 95% CI. Because of the small sample size, the Wilcoxon signed-rank test was applied as a confirmatory non-parametric test. The effect size was expressed as Cohen's </w:t>
      </w:r>
      <w:r>
        <w:rPr>
          <w:i/>
          <w:iCs/>
        </w:rPr>
        <w:t xml:space="preserve">d</w:t>
      </w:r>
      <w:r>
        <w:t xml:space="preserve">z (mean difference divided by the SD of the differences) and interpreted as small (0.2), medium (0.5) or large (≥ 0.8). To control the family-wise error rate across the three landmarks, the paired </w:t>
      </w:r>
      <w:r>
        <w:rPr>
          <w:i/>
          <w:iCs/>
        </w:rPr>
        <w:t xml:space="preserve">t</w:t>
      </w:r>
      <w:r>
        <w:t xml:space="preserve">-test </w:t>
      </w:r>
      <w:r>
        <w:rPr>
          <w:i/>
          <w:iCs/>
        </w:rPr>
        <w:t xml:space="preserve">p</w:t>
      </w:r>
      <w:r>
        <w:t xml:space="preserve"> values were additionally adjusted with the Holm method. The overall prediction error of each patient was calculated as the mean of the three landmarks and compared in the same way.</w:t>
      </w:r>
    </w:p>
    <w:p>
      <w:pPr>
        <w:pStyle w:val="Heading2"/>
      </w:pPr>
      <w:r>
        <w:t xml:space="preserve">Correlation between 2D and 3D planning</w:t>
      </w:r>
    </w:p>
    <w:p>
      <w:pPr>
        <w:spacing w:after="160"/>
        <w:jc w:val="both"/>
      </w:pPr>
      <w:r>
        <w:t xml:space="preserve">The correlation between the 2D and 3D prediction errors at each landmark was assessed with Pearson's correlation coefficient (</w:t>
      </w:r>
      <w:r>
        <w:rPr>
          <w:i/>
          <w:iCs/>
        </w:rPr>
        <w:t xml:space="preserve">r</w:t>
      </w:r>
      <w:r>
        <w:t xml:space="preserve">). Spearman's rank correlation coefficient (</w:t>
      </w:r>
      <w:r>
        <w:rPr>
          <w:i/>
          <w:iCs/>
        </w:rPr>
        <w:t xml:space="preserve">ρ</w:t>
      </w:r>
      <w:r>
        <w:t xml:space="preserve">), which is robust to outliers, was reported alongside. Correlation strength was interpreted as weak (|</w:t>
      </w:r>
      <w:r>
        <w:rPr>
          <w:i/>
          <w:iCs/>
        </w:rPr>
        <w:t xml:space="preserve">r</w:t>
      </w:r>
      <w:r>
        <w:t xml:space="preserve">| &lt; 0.3), moderate (0.3–0.7) or strong (&gt; 0.7).</w:t>
      </w:r>
    </w:p>
    <w:p>
      <w:pPr>
        <w:pStyle w:val="Heading2"/>
      </w:pPr>
      <w:r>
        <w:t xml:space="preserve">Clinical acceptability</w:t>
      </w:r>
    </w:p>
    <w:p>
      <w:pPr>
        <w:spacing w:after="160"/>
        <w:jc w:val="both"/>
      </w:pPr>
      <w:r>
        <w:t xml:space="preserve">A prediction error of ≤ 2 mm was considered clinically acceptable. The proportions of clinically acceptable predictions with 2D and 3D planning were compared at each landmark with the exact McNemar test for paired proportions.</w:t>
      </w:r>
    </w:p>
    <w:p>
      <w:pPr>
        <w:pStyle w:val="Heading2"/>
      </w:pPr>
      <w:r>
        <w:t xml:space="preserve">Comparison among landmarks</w:t>
      </w:r>
    </w:p>
    <w:p>
      <w:pPr>
        <w:spacing w:after="160"/>
        <w:jc w:val="both"/>
      </w:pPr>
      <w:r>
        <w:t xml:space="preserve">Differences in prediction error among the three landmarks were tested separately for each planning method with the Friedman test, followed by pairwise Wilcoxon signed-rank tests with Bonferroni correction.</w:t>
      </w:r>
    </w:p>
    <w:p>
      <w:pPr>
        <w:pStyle w:val="Heading2"/>
      </w:pPr>
      <w:r>
        <w:t xml:space="preserve">Planned movement and prediction error</w:t>
      </w:r>
    </w:p>
    <w:p>
      <w:pPr>
        <w:spacing w:after="160"/>
        <w:jc w:val="both"/>
      </w:pPr>
      <w:r>
        <w:t xml:space="preserve">The association between the magnitude of the planned surgical movement and the prediction error at the corresponding landmark (maxillary advancement – upper lip; mandibular setback – lower lip; genioplasty advancement – soft-tissue pogonion) was explored with Spearman's rank correlation.</w:t>
      </w:r>
    </w:p>
    <w:p>
      <w:pPr>
        <w:pStyle w:val="Heading2"/>
      </w:pPr>
      <w:r>
        <w:t xml:space="preserve">Software and level of significance</w:t>
      </w:r>
    </w:p>
    <w:p>
      <w:pPr>
        <w:spacing w:after="160"/>
        <w:jc w:val="both"/>
      </w:pPr>
      <w:r>
        <w:t xml:space="preserve">Statistical analysis was performed with Python 3.13.17 using the SciPy (v1.18.1) and statsmodels (v0.15.0) libraries. All tests were two-tailed, and a </w:t>
      </w:r>
      <w:r>
        <w:rPr>
          <w:i/>
          <w:iCs/>
        </w:rPr>
        <w:t xml:space="preserve">p</w:t>
      </w:r>
      <w:r>
        <w:t xml:space="preserve"> value &lt; 0.05 was considered statistically significant.</w:t>
      </w:r>
    </w:p>
    <w:p>
      <w:pPr>
        <w:pStyle w:val="Heading1"/>
      </w:pPr>
      <w:r>
        <w:t xml:space="preserve">Results</w:t>
      </w:r>
    </w:p>
    <w:p>
      <w:pPr>
        <w:pStyle w:val="Heading2"/>
      </w:pPr>
      <w:r>
        <w:t xml:space="preserve">Sample characteristics</w:t>
      </w:r>
    </w:p>
    <w:p>
      <w:pPr>
        <w:spacing w:after="160"/>
        <w:jc w:val="both"/>
      </w:pPr>
      <w:r>
        <w:t xml:space="preserve">Ten patients with skeletal Class III deformity were included: six females (60%) and four males (40%), with a mean age of 21.7 ± 6.2 years (range 18–39). Nine patients (90%) underwent bimaxillary surgery (maxillary advancement with mandibular setback) and one (10%) underwent maxillary advancement only; seven patients (70%) also had an advancement genioplasty. The mean planned maxillary advancement was 6.8 ± 1.9 mm, the mandibular setback 5.0 ± 1.9 mm and the genioplasty advancement 4.9 ± 0.9 mm (Table 1).</w:t>
      </w:r>
    </w:p>
    <w:p>
      <w:pPr>
        <w:keepNext/>
        <w:spacing w:after="100" w:before="240" w:line="240"/>
      </w:pPr>
      <w:r>
        <w:rPr>
          <w:b/>
          <w:bCs/>
        </w:rPr>
        <w:t xml:space="preserve">Table 1. </w:t>
      </w:r>
      <w:r>
        <w:t xml:space="preserve">Patient characteristics and planned surgical movements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6"/>
        <w:gridCol w:w="1056"/>
        <w:gridCol w:w="1152"/>
        <w:gridCol w:w="1920"/>
        <w:gridCol w:w="1920"/>
        <w:gridCol w:w="1922"/>
      </w:tblGrid>
      <w:tr>
        <w:trPr>
          <w:tblHeader/>
        </w:trPr>
        <w:tc>
          <w:tcPr>
            <w:tcW w:type="dxa" w:w="1056"/>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left"/>
            </w:pPr>
            <w:r>
              <w:rPr>
                <w:b/>
                <w:bCs/>
                <w:sz w:val="19"/>
                <w:szCs w:val="19"/>
              </w:rPr>
              <w:t xml:space="preserve">Patient</w:t>
            </w:r>
          </w:p>
        </w:tc>
        <w:tc>
          <w:tcPr>
            <w:tcW w:type="dxa" w:w="1056"/>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Sex</w:t>
            </w:r>
          </w:p>
        </w:tc>
        <w:tc>
          <w:tcPr>
            <w:tcW w:type="dxa" w:w="1152"/>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Age (years)</w:t>
            </w:r>
          </w:p>
        </w:tc>
        <w:tc>
          <w:tcPr>
            <w:tcW w:type="dxa" w:w="1920"/>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Maxillary advancement (mm)</w:t>
            </w:r>
          </w:p>
        </w:tc>
        <w:tc>
          <w:tcPr>
            <w:tcW w:type="dxa" w:w="1920"/>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Mandibular setback (mm)</w:t>
            </w:r>
          </w:p>
        </w:tc>
        <w:tc>
          <w:tcPr>
            <w:tcW w:type="dxa" w:w="1922"/>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Genioplasty advancement (mm)</w:t>
            </w:r>
          </w:p>
        </w:tc>
      </w:tr>
      <w:tr>
        <w:trPr>
          <w:cantSplit/>
        </w:trPr>
        <w:tc>
          <w:tcPr>
            <w:tcW w:type="dxa" w:w="10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P01</w:t>
            </w:r>
          </w:p>
        </w:tc>
        <w:tc>
          <w:tcPr>
            <w:tcW w:type="dxa" w:w="10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Female</w:t>
            </w:r>
          </w:p>
        </w:tc>
        <w:tc>
          <w:tcPr>
            <w:tcW w:type="dxa" w:w="115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19</w:t>
            </w:r>
          </w:p>
        </w:tc>
        <w:tc>
          <w:tcPr>
            <w:tcW w:type="dxa" w:w="19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6</w:t>
            </w:r>
          </w:p>
        </w:tc>
        <w:tc>
          <w:tcPr>
            <w:tcW w:type="dxa" w:w="19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4</w:t>
            </w:r>
          </w:p>
        </w:tc>
        <w:tc>
          <w:tcPr>
            <w:tcW w:type="dxa" w:w="19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4</w:t>
            </w:r>
          </w:p>
        </w:tc>
      </w:tr>
      <w:tr>
        <w:trPr>
          <w:cantSplit/>
        </w:trPr>
        <w:tc>
          <w:tcPr>
            <w:tcW w:type="dxa" w:w="10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P02</w:t>
            </w:r>
          </w:p>
        </w:tc>
        <w:tc>
          <w:tcPr>
            <w:tcW w:type="dxa" w:w="10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Female</w:t>
            </w:r>
          </w:p>
        </w:tc>
        <w:tc>
          <w:tcPr>
            <w:tcW w:type="dxa" w:w="115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18</w:t>
            </w:r>
          </w:p>
        </w:tc>
        <w:tc>
          <w:tcPr>
            <w:tcW w:type="dxa" w:w="19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8</w:t>
            </w:r>
          </w:p>
        </w:tc>
        <w:tc>
          <w:tcPr>
            <w:tcW w:type="dxa" w:w="19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4</w:t>
            </w:r>
          </w:p>
        </w:tc>
        <w:tc>
          <w:tcPr>
            <w:tcW w:type="dxa" w:w="19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6</w:t>
            </w:r>
          </w:p>
        </w:tc>
      </w:tr>
      <w:tr>
        <w:trPr>
          <w:cantSplit/>
        </w:trPr>
        <w:tc>
          <w:tcPr>
            <w:tcW w:type="dxa" w:w="10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P03</w:t>
            </w:r>
          </w:p>
        </w:tc>
        <w:tc>
          <w:tcPr>
            <w:tcW w:type="dxa" w:w="10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Female</w:t>
            </w:r>
          </w:p>
        </w:tc>
        <w:tc>
          <w:tcPr>
            <w:tcW w:type="dxa" w:w="115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18</w:t>
            </w:r>
          </w:p>
        </w:tc>
        <w:tc>
          <w:tcPr>
            <w:tcW w:type="dxa" w:w="19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5</w:t>
            </w:r>
          </w:p>
        </w:tc>
        <w:tc>
          <w:tcPr>
            <w:tcW w:type="dxa" w:w="19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9</w:t>
            </w:r>
          </w:p>
        </w:tc>
        <w:tc>
          <w:tcPr>
            <w:tcW w:type="dxa" w:w="19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w:t>
            </w:r>
          </w:p>
        </w:tc>
      </w:tr>
      <w:tr>
        <w:trPr>
          <w:cantSplit/>
        </w:trPr>
        <w:tc>
          <w:tcPr>
            <w:tcW w:type="dxa" w:w="10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P04</w:t>
            </w:r>
          </w:p>
        </w:tc>
        <w:tc>
          <w:tcPr>
            <w:tcW w:type="dxa" w:w="10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Male</w:t>
            </w:r>
          </w:p>
        </w:tc>
        <w:tc>
          <w:tcPr>
            <w:tcW w:type="dxa" w:w="115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20</w:t>
            </w:r>
          </w:p>
        </w:tc>
        <w:tc>
          <w:tcPr>
            <w:tcW w:type="dxa" w:w="19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5</w:t>
            </w:r>
          </w:p>
        </w:tc>
        <w:tc>
          <w:tcPr>
            <w:tcW w:type="dxa" w:w="19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7</w:t>
            </w:r>
          </w:p>
        </w:tc>
        <w:tc>
          <w:tcPr>
            <w:tcW w:type="dxa" w:w="19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4</w:t>
            </w:r>
          </w:p>
        </w:tc>
      </w:tr>
      <w:tr>
        <w:trPr>
          <w:cantSplit/>
        </w:trPr>
        <w:tc>
          <w:tcPr>
            <w:tcW w:type="dxa" w:w="10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P05</w:t>
            </w:r>
          </w:p>
        </w:tc>
        <w:tc>
          <w:tcPr>
            <w:tcW w:type="dxa" w:w="10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Female</w:t>
            </w:r>
          </w:p>
        </w:tc>
        <w:tc>
          <w:tcPr>
            <w:tcW w:type="dxa" w:w="115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21</w:t>
            </w:r>
          </w:p>
        </w:tc>
        <w:tc>
          <w:tcPr>
            <w:tcW w:type="dxa" w:w="19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6</w:t>
            </w:r>
          </w:p>
        </w:tc>
        <w:tc>
          <w:tcPr>
            <w:tcW w:type="dxa" w:w="19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6</w:t>
            </w:r>
          </w:p>
        </w:tc>
        <w:tc>
          <w:tcPr>
            <w:tcW w:type="dxa" w:w="19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5</w:t>
            </w:r>
          </w:p>
        </w:tc>
      </w:tr>
      <w:tr>
        <w:trPr>
          <w:cantSplit/>
        </w:trPr>
        <w:tc>
          <w:tcPr>
            <w:tcW w:type="dxa" w:w="10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P06</w:t>
            </w:r>
          </w:p>
        </w:tc>
        <w:tc>
          <w:tcPr>
            <w:tcW w:type="dxa" w:w="10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Female</w:t>
            </w:r>
          </w:p>
        </w:tc>
        <w:tc>
          <w:tcPr>
            <w:tcW w:type="dxa" w:w="115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19</w:t>
            </w:r>
          </w:p>
        </w:tc>
        <w:tc>
          <w:tcPr>
            <w:tcW w:type="dxa" w:w="19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10</w:t>
            </w:r>
          </w:p>
        </w:tc>
        <w:tc>
          <w:tcPr>
            <w:tcW w:type="dxa" w:w="19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3</w:t>
            </w:r>
          </w:p>
        </w:tc>
        <w:tc>
          <w:tcPr>
            <w:tcW w:type="dxa" w:w="19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w:t>
            </w:r>
          </w:p>
        </w:tc>
      </w:tr>
      <w:tr>
        <w:trPr>
          <w:cantSplit/>
        </w:trPr>
        <w:tc>
          <w:tcPr>
            <w:tcW w:type="dxa" w:w="10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P07</w:t>
            </w:r>
          </w:p>
        </w:tc>
        <w:tc>
          <w:tcPr>
            <w:tcW w:type="dxa" w:w="10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Male</w:t>
            </w:r>
          </w:p>
        </w:tc>
        <w:tc>
          <w:tcPr>
            <w:tcW w:type="dxa" w:w="115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20</w:t>
            </w:r>
          </w:p>
        </w:tc>
        <w:tc>
          <w:tcPr>
            <w:tcW w:type="dxa" w:w="19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6</w:t>
            </w:r>
          </w:p>
        </w:tc>
        <w:tc>
          <w:tcPr>
            <w:tcW w:type="dxa" w:w="19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4</w:t>
            </w:r>
          </w:p>
        </w:tc>
        <w:tc>
          <w:tcPr>
            <w:tcW w:type="dxa" w:w="19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6</w:t>
            </w:r>
          </w:p>
        </w:tc>
      </w:tr>
      <w:tr>
        <w:trPr>
          <w:cantSplit/>
        </w:trPr>
        <w:tc>
          <w:tcPr>
            <w:tcW w:type="dxa" w:w="10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P08</w:t>
            </w:r>
          </w:p>
        </w:tc>
        <w:tc>
          <w:tcPr>
            <w:tcW w:type="dxa" w:w="10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Male</w:t>
            </w:r>
          </w:p>
        </w:tc>
        <w:tc>
          <w:tcPr>
            <w:tcW w:type="dxa" w:w="115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39</w:t>
            </w:r>
          </w:p>
        </w:tc>
        <w:tc>
          <w:tcPr>
            <w:tcW w:type="dxa" w:w="19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10</w:t>
            </w:r>
          </w:p>
        </w:tc>
        <w:tc>
          <w:tcPr>
            <w:tcW w:type="dxa" w:w="19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w:t>
            </w:r>
          </w:p>
        </w:tc>
        <w:tc>
          <w:tcPr>
            <w:tcW w:type="dxa" w:w="19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w:t>
            </w:r>
          </w:p>
        </w:tc>
      </w:tr>
      <w:tr>
        <w:trPr>
          <w:cantSplit/>
        </w:trPr>
        <w:tc>
          <w:tcPr>
            <w:tcW w:type="dxa" w:w="10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P09</w:t>
            </w:r>
          </w:p>
        </w:tc>
        <w:tc>
          <w:tcPr>
            <w:tcW w:type="dxa" w:w="10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Male</w:t>
            </w:r>
          </w:p>
        </w:tc>
        <w:tc>
          <w:tcPr>
            <w:tcW w:type="dxa" w:w="115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22</w:t>
            </w:r>
          </w:p>
        </w:tc>
        <w:tc>
          <w:tcPr>
            <w:tcW w:type="dxa" w:w="19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6</w:t>
            </w:r>
          </w:p>
        </w:tc>
        <w:tc>
          <w:tcPr>
            <w:tcW w:type="dxa" w:w="19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4</w:t>
            </w:r>
          </w:p>
        </w:tc>
        <w:tc>
          <w:tcPr>
            <w:tcW w:type="dxa" w:w="19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4</w:t>
            </w:r>
          </w:p>
        </w:tc>
      </w:tr>
      <w:tr>
        <w:trPr>
          <w:cantSplit/>
        </w:trPr>
        <w:tc>
          <w:tcPr>
            <w:tcW w:type="dxa" w:w="10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P10</w:t>
            </w:r>
          </w:p>
        </w:tc>
        <w:tc>
          <w:tcPr>
            <w:tcW w:type="dxa" w:w="10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Female</w:t>
            </w:r>
          </w:p>
        </w:tc>
        <w:tc>
          <w:tcPr>
            <w:tcW w:type="dxa" w:w="115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21</w:t>
            </w:r>
          </w:p>
        </w:tc>
        <w:tc>
          <w:tcPr>
            <w:tcW w:type="dxa" w:w="19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6</w:t>
            </w:r>
          </w:p>
        </w:tc>
        <w:tc>
          <w:tcPr>
            <w:tcW w:type="dxa" w:w="19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4</w:t>
            </w:r>
          </w:p>
        </w:tc>
        <w:tc>
          <w:tcPr>
            <w:tcW w:type="dxa" w:w="19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5</w:t>
            </w:r>
          </w:p>
        </w:tc>
      </w:tr>
      <w:tr>
        <w:trPr>
          <w:cantSplit/>
        </w:trPr>
        <w:tc>
          <w:tcPr>
            <w:tcW w:type="dxa" w:w="1056"/>
            <w:tcBorders>
              <w:top w:val="single" w:color="000000" w:sz="6"/>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Mean ± SD</w:t>
            </w:r>
          </w:p>
        </w:tc>
        <w:tc>
          <w:tcPr>
            <w:tcW w:type="dxa" w:w="1056"/>
            <w:tcBorders>
              <w:top w:val="single" w:color="000000" w:sz="6"/>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F 6 / M 4</w:t>
            </w:r>
          </w:p>
        </w:tc>
        <w:tc>
          <w:tcPr>
            <w:tcW w:type="dxa" w:w="1152"/>
            <w:tcBorders>
              <w:top w:val="single" w:color="000000" w:sz="6"/>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21.7 ± 6.2</w:t>
            </w:r>
          </w:p>
        </w:tc>
        <w:tc>
          <w:tcPr>
            <w:tcW w:type="dxa" w:w="1920"/>
            <w:tcBorders>
              <w:top w:val="single" w:color="000000" w:sz="6"/>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6.8 ± 1.9</w:t>
            </w:r>
          </w:p>
        </w:tc>
        <w:tc>
          <w:tcPr>
            <w:tcW w:type="dxa" w:w="1920"/>
            <w:tcBorders>
              <w:top w:val="single" w:color="000000" w:sz="6"/>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5.0 ± 1.9 (</w:t>
            </w:r>
            <w:r>
              <w:rPr>
                <w:i/>
                <w:iCs/>
                <w:sz w:val="19"/>
                <w:szCs w:val="19"/>
              </w:rPr>
              <w:t xml:space="preserve">n</w:t>
            </w:r>
            <w:r>
              <w:rPr>
                <w:sz w:val="19"/>
                <w:szCs w:val="19"/>
              </w:rPr>
              <w:t xml:space="preserve"> = 9)</w:t>
            </w:r>
          </w:p>
        </w:tc>
        <w:tc>
          <w:tcPr>
            <w:tcW w:type="dxa" w:w="1922"/>
            <w:tcBorders>
              <w:top w:val="single" w:color="000000" w:sz="6"/>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4.9 ± 0.9 (</w:t>
            </w:r>
            <w:r>
              <w:rPr>
                <w:i/>
                <w:iCs/>
                <w:sz w:val="19"/>
                <w:szCs w:val="19"/>
              </w:rPr>
              <w:t xml:space="preserve">n</w:t>
            </w:r>
            <w:r>
              <w:rPr>
                <w:sz w:val="19"/>
                <w:szCs w:val="19"/>
              </w:rPr>
              <w:t xml:space="preserve"> = 7)</w:t>
            </w:r>
          </w:p>
        </w:tc>
      </w:tr>
      <w:tr>
        <w:trPr>
          <w:cantSplit/>
        </w:trPr>
        <w:tc>
          <w:tcPr>
            <w:tcW w:type="dxa" w:w="1056"/>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left"/>
            </w:pPr>
            <w:r>
              <w:rPr>
                <w:sz w:val="19"/>
                <w:szCs w:val="19"/>
              </w:rPr>
              <w:t xml:space="preserve">Range</w:t>
            </w:r>
          </w:p>
        </w:tc>
        <w:tc>
          <w:tcPr>
            <w:tcW w:type="dxa" w:w="1056"/>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p>
        </w:tc>
        <w:tc>
          <w:tcPr>
            <w:tcW w:type="dxa" w:w="1152"/>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18–39</w:t>
            </w:r>
          </w:p>
        </w:tc>
        <w:tc>
          <w:tcPr>
            <w:tcW w:type="dxa" w:w="1920"/>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5–10</w:t>
            </w:r>
          </w:p>
        </w:tc>
        <w:tc>
          <w:tcPr>
            <w:tcW w:type="dxa" w:w="1920"/>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3–9</w:t>
            </w:r>
          </w:p>
        </w:tc>
        <w:tc>
          <w:tcPr>
            <w:tcW w:type="dxa" w:w="1922"/>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4–6</w:t>
            </w:r>
          </w:p>
        </w:tc>
      </w:tr>
    </w:tbl>
    <w:p>
      <w:pPr>
        <w:spacing w:after="240" w:before="60" w:line="240"/>
      </w:pPr>
      <w:r>
        <w:rPr>
          <w:sz w:val="18"/>
          <w:szCs w:val="18"/>
        </w:rPr>
        <w:t xml:space="preserve">F = female; M = male; — = movement not performed. Mean ± SD of the mandibular setback and genioplasty is given for the patients who received that movement.</w:t>
      </w:r>
    </w:p>
    <w:p>
      <w:pPr>
        <w:pStyle w:val="Heading2"/>
      </w:pPr>
      <w:r>
        <w:t xml:space="preserve">Soft-tissue prediction error</w:t>
      </w:r>
    </w:p>
    <w:p>
      <w:pPr>
        <w:spacing w:after="160"/>
        <w:jc w:val="both"/>
      </w:pPr>
      <w:r>
        <w:t xml:space="preserve">Table 2 summarises the prediction errors. With 2D planning, the mean error was 3.00 ± 1.20 mm at the upper lip, 4.43 ± 2.06 mm at the lower lip and 4.89 ± 3.94 mm at soft-tissue pogonion. With 3D planning, the corresponding errors were 1.63 ± 0.77 mm, 2.33 ± 2.33 mm and 4.90 ± 4.80 mm. The overall prediction error per patient (mean of the three landmarks) was 4.11 ± 1.98 mm with 2D and 2.95 ± 2.40 mm with 3D planning. The soft-tissue pogonion showed the widest variation with both methods (2D: 0.00–12.10 mm; 3D: 0.00–12.09 mm).</w:t>
      </w:r>
    </w:p>
    <w:p>
      <w:pPr>
        <w:keepNext/>
        <w:spacing w:after="100" w:before="240" w:line="240"/>
      </w:pPr>
      <w:r>
        <w:rPr>
          <w:b/>
          <w:bCs/>
        </w:rPr>
        <w:t xml:space="preserve">Table 2. </w:t>
      </w:r>
      <w:r>
        <w:t xml:space="preserve">Descriptive statistics of the soft-tissue prediction error (mm) with 2D and 3D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1"/>
        <w:gridCol w:w="837"/>
        <w:gridCol w:w="465"/>
        <w:gridCol w:w="1395"/>
        <w:gridCol w:w="1395"/>
        <w:gridCol w:w="1861"/>
        <w:gridCol w:w="1212"/>
      </w:tblGrid>
      <w:tr>
        <w:trPr>
          <w:tblHeader/>
        </w:trPr>
        <w:tc>
          <w:tcPr>
            <w:tcW w:type="dxa" w:w="1861"/>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left"/>
            </w:pPr>
            <w:r>
              <w:rPr>
                <w:b/>
                <w:bCs/>
                <w:sz w:val="19"/>
                <w:szCs w:val="19"/>
              </w:rPr>
              <w:t xml:space="preserve">Landmark</w:t>
            </w:r>
          </w:p>
        </w:tc>
        <w:tc>
          <w:tcPr>
            <w:tcW w:type="dxa" w:w="837"/>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Method</w:t>
            </w:r>
          </w:p>
        </w:tc>
        <w:tc>
          <w:tcPr>
            <w:tcW w:type="dxa" w:w="465"/>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i/>
                <w:iCs/>
                <w:sz w:val="19"/>
                <w:szCs w:val="19"/>
              </w:rPr>
              <w:t xml:space="preserve">N</w:t>
            </w:r>
          </w:p>
        </w:tc>
        <w:tc>
          <w:tcPr>
            <w:tcW w:type="dxa" w:w="1395"/>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Mean ± SD</w:t>
            </w:r>
          </w:p>
        </w:tc>
        <w:tc>
          <w:tcPr>
            <w:tcW w:type="dxa" w:w="1395"/>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95% CI</w:t>
            </w:r>
          </w:p>
        </w:tc>
        <w:tc>
          <w:tcPr>
            <w:tcW w:type="dxa" w:w="1861"/>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Median (IQR)</w:t>
            </w:r>
          </w:p>
        </w:tc>
        <w:tc>
          <w:tcPr>
            <w:tcW w:type="dxa" w:w="1212"/>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Min–Max</w:t>
            </w:r>
          </w:p>
        </w:tc>
      </w:tr>
      <w:tr>
        <w:trPr>
          <w:cantSplit/>
        </w:trPr>
        <w:tc>
          <w:tcPr>
            <w:tcW w:type="dxa" w:w="186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Upper lip</w:t>
            </w:r>
          </w:p>
        </w:tc>
        <w:tc>
          <w:tcPr>
            <w:tcW w:type="dxa" w:w="83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2D</w:t>
            </w:r>
          </w:p>
        </w:tc>
        <w:tc>
          <w:tcPr>
            <w:tcW w:type="dxa" w:w="4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10</w:t>
            </w:r>
          </w:p>
        </w:tc>
        <w:tc>
          <w:tcPr>
            <w:tcW w:type="dxa" w:w="139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3.00 ± 1.20</w:t>
            </w:r>
          </w:p>
        </w:tc>
        <w:tc>
          <w:tcPr>
            <w:tcW w:type="dxa" w:w="139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2.14 to 3.85</w:t>
            </w:r>
          </w:p>
        </w:tc>
        <w:tc>
          <w:tcPr>
            <w:tcW w:type="dxa" w:w="186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2.95 (2.63–3.34)</w:t>
            </w:r>
          </w:p>
        </w:tc>
        <w:tc>
          <w:tcPr>
            <w:tcW w:type="dxa" w:w="12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1.10–5.50</w:t>
            </w:r>
          </w:p>
        </w:tc>
      </w:tr>
      <w:tr>
        <w:trPr>
          <w:cantSplit/>
        </w:trPr>
        <w:tc>
          <w:tcPr>
            <w:tcW w:type="dxa" w:w="186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p>
        </w:tc>
        <w:tc>
          <w:tcPr>
            <w:tcW w:type="dxa" w:w="83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3D</w:t>
            </w:r>
          </w:p>
        </w:tc>
        <w:tc>
          <w:tcPr>
            <w:tcW w:type="dxa" w:w="4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10</w:t>
            </w:r>
          </w:p>
        </w:tc>
        <w:tc>
          <w:tcPr>
            <w:tcW w:type="dxa" w:w="139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1.63 ± 0.77</w:t>
            </w:r>
          </w:p>
        </w:tc>
        <w:tc>
          <w:tcPr>
            <w:tcW w:type="dxa" w:w="139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1.08 to 2.18</w:t>
            </w:r>
          </w:p>
        </w:tc>
        <w:tc>
          <w:tcPr>
            <w:tcW w:type="dxa" w:w="186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1.85 (1.28–2.04)</w:t>
            </w:r>
          </w:p>
        </w:tc>
        <w:tc>
          <w:tcPr>
            <w:tcW w:type="dxa" w:w="12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0.00–2.68</w:t>
            </w:r>
          </w:p>
        </w:tc>
      </w:tr>
      <w:tr>
        <w:trPr>
          <w:cantSplit/>
        </w:trPr>
        <w:tc>
          <w:tcPr>
            <w:tcW w:type="dxa" w:w="186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Lower lip</w:t>
            </w:r>
          </w:p>
        </w:tc>
        <w:tc>
          <w:tcPr>
            <w:tcW w:type="dxa" w:w="83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2D</w:t>
            </w:r>
          </w:p>
        </w:tc>
        <w:tc>
          <w:tcPr>
            <w:tcW w:type="dxa" w:w="4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10</w:t>
            </w:r>
          </w:p>
        </w:tc>
        <w:tc>
          <w:tcPr>
            <w:tcW w:type="dxa" w:w="139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4.43 ± 2.06</w:t>
            </w:r>
          </w:p>
        </w:tc>
        <w:tc>
          <w:tcPr>
            <w:tcW w:type="dxa" w:w="139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2.96 to 5.90</w:t>
            </w:r>
          </w:p>
        </w:tc>
        <w:tc>
          <w:tcPr>
            <w:tcW w:type="dxa" w:w="186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4.85 (3.58–5.63)</w:t>
            </w:r>
          </w:p>
        </w:tc>
        <w:tc>
          <w:tcPr>
            <w:tcW w:type="dxa" w:w="12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0.00–7.30</w:t>
            </w:r>
          </w:p>
        </w:tc>
      </w:tr>
      <w:tr>
        <w:trPr>
          <w:cantSplit/>
        </w:trPr>
        <w:tc>
          <w:tcPr>
            <w:tcW w:type="dxa" w:w="186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p>
        </w:tc>
        <w:tc>
          <w:tcPr>
            <w:tcW w:type="dxa" w:w="83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3D</w:t>
            </w:r>
          </w:p>
        </w:tc>
        <w:tc>
          <w:tcPr>
            <w:tcW w:type="dxa" w:w="4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10</w:t>
            </w:r>
          </w:p>
        </w:tc>
        <w:tc>
          <w:tcPr>
            <w:tcW w:type="dxa" w:w="139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2.33 ± 2.33</w:t>
            </w:r>
          </w:p>
        </w:tc>
        <w:tc>
          <w:tcPr>
            <w:tcW w:type="dxa" w:w="139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0.66 to 3.99</w:t>
            </w:r>
          </w:p>
        </w:tc>
        <w:tc>
          <w:tcPr>
            <w:tcW w:type="dxa" w:w="186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1.52 (0.84–3.47)</w:t>
            </w:r>
          </w:p>
        </w:tc>
        <w:tc>
          <w:tcPr>
            <w:tcW w:type="dxa" w:w="12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0.00–6.59</w:t>
            </w:r>
          </w:p>
        </w:tc>
      </w:tr>
      <w:tr>
        <w:trPr>
          <w:cantSplit/>
        </w:trPr>
        <w:tc>
          <w:tcPr>
            <w:tcW w:type="dxa" w:w="186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Soft-tissue pogonion</w:t>
            </w:r>
          </w:p>
        </w:tc>
        <w:tc>
          <w:tcPr>
            <w:tcW w:type="dxa" w:w="83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2D</w:t>
            </w:r>
          </w:p>
        </w:tc>
        <w:tc>
          <w:tcPr>
            <w:tcW w:type="dxa" w:w="4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10</w:t>
            </w:r>
          </w:p>
        </w:tc>
        <w:tc>
          <w:tcPr>
            <w:tcW w:type="dxa" w:w="139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4.89 ± 3.94</w:t>
            </w:r>
          </w:p>
        </w:tc>
        <w:tc>
          <w:tcPr>
            <w:tcW w:type="dxa" w:w="139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2.07 to 7.71</w:t>
            </w:r>
          </w:p>
        </w:tc>
        <w:tc>
          <w:tcPr>
            <w:tcW w:type="dxa" w:w="186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4.90 (1.65–6.15)</w:t>
            </w:r>
          </w:p>
        </w:tc>
        <w:tc>
          <w:tcPr>
            <w:tcW w:type="dxa" w:w="12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0.00–12.10</w:t>
            </w:r>
          </w:p>
        </w:tc>
      </w:tr>
      <w:tr>
        <w:trPr>
          <w:cantSplit/>
        </w:trPr>
        <w:tc>
          <w:tcPr>
            <w:tcW w:type="dxa" w:w="186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p>
        </w:tc>
        <w:tc>
          <w:tcPr>
            <w:tcW w:type="dxa" w:w="83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3D</w:t>
            </w:r>
          </w:p>
        </w:tc>
        <w:tc>
          <w:tcPr>
            <w:tcW w:type="dxa" w:w="4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10</w:t>
            </w:r>
          </w:p>
        </w:tc>
        <w:tc>
          <w:tcPr>
            <w:tcW w:type="dxa" w:w="139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4.90 ± 4.80</w:t>
            </w:r>
          </w:p>
        </w:tc>
        <w:tc>
          <w:tcPr>
            <w:tcW w:type="dxa" w:w="139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1.47 to 8.34</w:t>
            </w:r>
          </w:p>
        </w:tc>
        <w:tc>
          <w:tcPr>
            <w:tcW w:type="dxa" w:w="186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3.87 (0.65–8.31)</w:t>
            </w:r>
          </w:p>
        </w:tc>
        <w:tc>
          <w:tcPr>
            <w:tcW w:type="dxa" w:w="12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0.00–12.09</w:t>
            </w:r>
          </w:p>
        </w:tc>
      </w:tr>
      <w:tr>
        <w:trPr>
          <w:cantSplit/>
        </w:trPr>
        <w:tc>
          <w:tcPr>
            <w:tcW w:type="dxa" w:w="1861"/>
            <w:tcBorders>
              <w:top w:val="single" w:color="000000" w:sz="6"/>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Overall (patient mean)</w:t>
            </w:r>
          </w:p>
        </w:tc>
        <w:tc>
          <w:tcPr>
            <w:tcW w:type="dxa" w:w="837"/>
            <w:tcBorders>
              <w:top w:val="single" w:color="000000" w:sz="6"/>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2D</w:t>
            </w:r>
          </w:p>
        </w:tc>
        <w:tc>
          <w:tcPr>
            <w:tcW w:type="dxa" w:w="465"/>
            <w:tcBorders>
              <w:top w:val="single" w:color="000000" w:sz="6"/>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10</w:t>
            </w:r>
          </w:p>
        </w:tc>
        <w:tc>
          <w:tcPr>
            <w:tcW w:type="dxa" w:w="1395"/>
            <w:tcBorders>
              <w:top w:val="single" w:color="000000" w:sz="6"/>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4.11 ± 1.98</w:t>
            </w:r>
          </w:p>
        </w:tc>
        <w:tc>
          <w:tcPr>
            <w:tcW w:type="dxa" w:w="1395"/>
            <w:tcBorders>
              <w:top w:val="single" w:color="000000" w:sz="6"/>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2.69 to 5.52</w:t>
            </w:r>
          </w:p>
        </w:tc>
        <w:tc>
          <w:tcPr>
            <w:tcW w:type="dxa" w:w="1861"/>
            <w:tcBorders>
              <w:top w:val="single" w:color="000000" w:sz="6"/>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4.11 (2.97–5.68)</w:t>
            </w:r>
          </w:p>
        </w:tc>
        <w:tc>
          <w:tcPr>
            <w:tcW w:type="dxa" w:w="1212"/>
            <w:tcBorders>
              <w:top w:val="single" w:color="000000" w:sz="6"/>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0.87–6.97</w:t>
            </w:r>
          </w:p>
        </w:tc>
      </w:tr>
      <w:tr>
        <w:trPr>
          <w:cantSplit/>
        </w:trPr>
        <w:tc>
          <w:tcPr>
            <w:tcW w:type="dxa" w:w="1861"/>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left"/>
            </w:pPr>
          </w:p>
        </w:tc>
        <w:tc>
          <w:tcPr>
            <w:tcW w:type="dxa" w:w="837"/>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3D</w:t>
            </w:r>
          </w:p>
        </w:tc>
        <w:tc>
          <w:tcPr>
            <w:tcW w:type="dxa" w:w="465"/>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10</w:t>
            </w:r>
          </w:p>
        </w:tc>
        <w:tc>
          <w:tcPr>
            <w:tcW w:type="dxa" w:w="1395"/>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2.95 ± 2.40</w:t>
            </w:r>
          </w:p>
        </w:tc>
        <w:tc>
          <w:tcPr>
            <w:tcW w:type="dxa" w:w="1395"/>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1.23 to 4.67</w:t>
            </w:r>
          </w:p>
        </w:tc>
        <w:tc>
          <w:tcPr>
            <w:tcW w:type="dxa" w:w="1861"/>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2.50 (0.95–5.21)</w:t>
            </w:r>
          </w:p>
        </w:tc>
        <w:tc>
          <w:tcPr>
            <w:tcW w:type="dxa" w:w="1212"/>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0.00–6.30</w:t>
            </w:r>
          </w:p>
        </w:tc>
      </w:tr>
    </w:tbl>
    <w:p>
      <w:pPr>
        <w:spacing w:after="240" w:before="60" w:line="240"/>
      </w:pPr>
      <w:r>
        <w:rPr>
          <w:sz w:val="18"/>
          <w:szCs w:val="18"/>
        </w:rPr>
        <w:t xml:space="preserve">SD = standard deviation; CI = confidence interval; IQR = interquartile range. Overall = mean of the three landmarks for each patient.</w:t>
      </w:r>
    </w:p>
    <w:p>
      <w:pPr>
        <w:pStyle w:val="Heading2"/>
      </w:pPr>
      <w:r>
        <w:t xml:space="preserve">Comparison of prediction error between 2D and 3D planning</w:t>
      </w:r>
    </w:p>
    <w:p>
      <w:pPr>
        <w:spacing w:after="160"/>
        <w:jc w:val="both"/>
      </w:pPr>
      <w:r>
        <w:t xml:space="preserve">The paired differences were normally distributed at all landmarks (Shapiro–Wilk </w:t>
      </w:r>
      <w:r>
        <w:rPr>
          <w:i/>
          <w:iCs/>
        </w:rPr>
        <w:t xml:space="preserve">p</w:t>
      </w:r>
      <w:r>
        <w:t xml:space="preserve"> ≥ 0.23), so the paired </w:t>
      </w:r>
      <w:r>
        <w:rPr>
          <w:i/>
          <w:iCs/>
        </w:rPr>
        <w:t xml:space="preserve">t</w:t>
      </w:r>
      <w:r>
        <w:t xml:space="preserve">-test was appropriate. 3D planning produced a significantly smaller prediction error than 2D planning at the upper lip (mean difference 1.37 mm, 95% CI 0.40 to 2.34; </w:t>
      </w:r>
      <w:r>
        <w:rPr>
          <w:i/>
          <w:iCs/>
        </w:rPr>
        <w:t xml:space="preserve">p</w:t>
      </w:r>
      <w:r>
        <w:t xml:space="preserve"> = 0.011; </w:t>
      </w:r>
      <w:r>
        <w:rPr>
          <w:i/>
          <w:iCs/>
        </w:rPr>
        <w:t xml:space="preserve">d</w:t>
      </w:r>
      <w:r>
        <w:t xml:space="preserve">z = 1.01) and at the lower lip (mean difference 2.10 mm, 95% CI 1.05 to 3.16; </w:t>
      </w:r>
      <w:r>
        <w:rPr>
          <w:i/>
          <w:iCs/>
        </w:rPr>
        <w:t xml:space="preserve">p</w:t>
      </w:r>
      <w:r>
        <w:t xml:space="preserve"> = 0.001; </w:t>
      </w:r>
      <w:r>
        <w:rPr>
          <w:i/>
          <w:iCs/>
        </w:rPr>
        <w:t xml:space="preserve">d</w:t>
      </w:r>
      <w:r>
        <w:t xml:space="preserve">z = 1.43). No significant difference between the two methods was found at the soft-tissue pogonion (mean difference −0.01 mm, 95% CI −3.93 to 3.90; </w:t>
      </w:r>
      <w:r>
        <w:rPr>
          <w:i/>
          <w:iCs/>
        </w:rPr>
        <w:t xml:space="preserve">p</w:t>
      </w:r>
      <w:r>
        <w:t xml:space="preserve"> = 0.994). All conclusions were unchanged after Holm correction for the three landmarks. The Wilcoxon signed-rank test led to the same conclusions in every comparison.</w:t>
      </w:r>
    </w:p>
    <w:p>
      <w:pPr>
        <w:spacing w:after="160"/>
        <w:jc w:val="both"/>
      </w:pPr>
      <w:r>
        <w:t xml:space="preserve">Averaged over the three landmarks, the overall prediction error per patient was 1.15 mm smaller with 3D planning (95% CI −0.45 to 2.76); this difference was not statistically significant (</w:t>
      </w:r>
      <w:r>
        <w:rPr>
          <w:i/>
          <w:iCs/>
        </w:rPr>
        <w:t xml:space="preserve">p</w:t>
      </w:r>
      <w:r>
        <w:t xml:space="preserve"> = 0.139). At patient level (Figure 1), 3D planning gave the smaller error in 8 of 10 patients at the upper lip, 8 of 10 patients at the lower lip and 5 of 10 patients at the soft-tissue pogonion.</w:t>
      </w:r>
    </w:p>
    <w:p>
      <w:pPr>
        <w:keepNext/>
        <w:spacing w:after="100" w:before="240" w:line="240"/>
      </w:pPr>
      <w:r>
        <w:rPr>
          <w:b/>
          <w:bCs/>
        </w:rPr>
        <w:t xml:space="preserve">Table 3. </w:t>
      </w:r>
      <w:r>
        <w:t xml:space="preserve">Comparison of prediction error between 2D and 3D planning (paired </w:t>
      </w:r>
      <w:r>
        <w:rPr>
          <w:i/>
          <w:iCs/>
        </w:rPr>
        <w:t xml:space="preserve">t</w:t>
      </w:r>
      <w:r>
        <w:t xml:space="preserve">-test)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1263"/>
        <w:gridCol w:w="1353"/>
        <w:gridCol w:w="902"/>
        <w:gridCol w:w="902"/>
        <w:gridCol w:w="722"/>
        <w:gridCol w:w="722"/>
        <w:gridCol w:w="992"/>
        <w:gridCol w:w="636"/>
      </w:tblGrid>
      <w:tr>
        <w:trPr>
          <w:tblHeader/>
        </w:trPr>
        <w:tc>
          <w:tcPr>
            <w:tcW w:type="dxa" w:w="1534"/>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left"/>
            </w:pPr>
            <w:r>
              <w:rPr>
                <w:b/>
                <w:bCs/>
                <w:sz w:val="18"/>
                <w:szCs w:val="18"/>
              </w:rPr>
              <w:t xml:space="preserve">Landmark</w:t>
            </w:r>
          </w:p>
        </w:tc>
        <w:tc>
          <w:tcPr>
            <w:tcW w:type="dxa" w:w="1263"/>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8"/>
                <w:szCs w:val="18"/>
              </w:rPr>
              <w:t xml:space="preserve">Mean difference ± SD (mm)</w:t>
            </w:r>
          </w:p>
        </w:tc>
        <w:tc>
          <w:tcPr>
            <w:tcW w:type="dxa" w:w="1353"/>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8"/>
                <w:szCs w:val="18"/>
              </w:rPr>
              <w:t xml:space="preserve">95% CI</w:t>
            </w:r>
          </w:p>
        </w:tc>
        <w:tc>
          <w:tcPr>
            <w:tcW w:type="dxa" w:w="902"/>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8"/>
                <w:szCs w:val="18"/>
              </w:rPr>
              <w:t xml:space="preserve">Shapiro–Wilk </w:t>
            </w:r>
            <w:r>
              <w:rPr>
                <w:b/>
                <w:bCs/>
                <w:i/>
                <w:iCs/>
                <w:sz w:val="18"/>
                <w:szCs w:val="18"/>
              </w:rPr>
              <w:t xml:space="preserve">p</w:t>
            </w:r>
          </w:p>
        </w:tc>
        <w:tc>
          <w:tcPr>
            <w:tcW w:type="dxa" w:w="902"/>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i/>
                <w:iCs/>
                <w:sz w:val="18"/>
                <w:szCs w:val="18"/>
              </w:rPr>
              <w:t xml:space="preserve">t</w:t>
            </w:r>
            <w:r>
              <w:rPr>
                <w:b/>
                <w:bCs/>
                <w:sz w:val="18"/>
                <w:szCs w:val="18"/>
              </w:rPr>
              <w:t xml:space="preserve"> (df)</w:t>
            </w:r>
          </w:p>
        </w:tc>
        <w:tc>
          <w:tcPr>
            <w:tcW w:type="dxa" w:w="722"/>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i/>
                <w:iCs/>
                <w:sz w:val="18"/>
                <w:szCs w:val="18"/>
              </w:rPr>
              <w:t xml:space="preserve">p</w:t>
            </w:r>
          </w:p>
        </w:tc>
        <w:tc>
          <w:tcPr>
            <w:tcW w:type="dxa" w:w="722"/>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8"/>
                <w:szCs w:val="18"/>
              </w:rPr>
              <w:t xml:space="preserve">Holm </w:t>
            </w:r>
            <w:r>
              <w:rPr>
                <w:b/>
                <w:bCs/>
                <w:i/>
                <w:iCs/>
                <w:sz w:val="18"/>
                <w:szCs w:val="18"/>
              </w:rPr>
              <w:t xml:space="preserve">p</w:t>
            </w:r>
          </w:p>
        </w:tc>
        <w:tc>
          <w:tcPr>
            <w:tcW w:type="dxa" w:w="992"/>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8"/>
                <w:szCs w:val="18"/>
              </w:rPr>
              <w:t xml:space="preserve">Wilcoxon </w:t>
            </w:r>
            <w:r>
              <w:rPr>
                <w:b/>
                <w:bCs/>
                <w:i/>
                <w:iCs/>
                <w:sz w:val="18"/>
                <w:szCs w:val="18"/>
              </w:rPr>
              <w:t xml:space="preserve">p</w:t>
            </w:r>
          </w:p>
        </w:tc>
        <w:tc>
          <w:tcPr>
            <w:tcW w:type="dxa" w:w="636"/>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i/>
                <w:iCs/>
                <w:sz w:val="18"/>
                <w:szCs w:val="18"/>
              </w:rPr>
              <w:t xml:space="preserve">d</w:t>
            </w:r>
            <w:r>
              <w:rPr>
                <w:b/>
                <w:bCs/>
                <w:sz w:val="18"/>
                <w:szCs w:val="18"/>
              </w:rPr>
              <w:t xml:space="preserve">z</w:t>
            </w:r>
          </w:p>
        </w:tc>
      </w:tr>
      <w:tr>
        <w:trPr>
          <w:cantSplit/>
        </w:trPr>
        <w:tc>
          <w:tcPr>
            <w:tcW w:type="dxa" w:w="153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8"/>
                <w:szCs w:val="18"/>
              </w:rPr>
              <w:t xml:space="preserve">Upper lip</w:t>
            </w:r>
          </w:p>
        </w:tc>
        <w:tc>
          <w:tcPr>
            <w:tcW w:type="dxa" w:w="126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8"/>
                <w:szCs w:val="18"/>
              </w:rPr>
              <w:t xml:space="preserve">1.37 ± 1.35</w:t>
            </w:r>
          </w:p>
        </w:tc>
        <w:tc>
          <w:tcPr>
            <w:tcW w:type="dxa" w:w="135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8"/>
                <w:szCs w:val="18"/>
              </w:rPr>
              <w:t xml:space="preserve">0.40 to 2.34</w:t>
            </w:r>
          </w:p>
        </w:tc>
        <w:tc>
          <w:tcPr>
            <w:tcW w:type="dxa" w:w="90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8"/>
                <w:szCs w:val="18"/>
              </w:rPr>
              <w:t xml:space="preserve">0.550</w:t>
            </w:r>
          </w:p>
        </w:tc>
        <w:tc>
          <w:tcPr>
            <w:tcW w:type="dxa" w:w="90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8"/>
                <w:szCs w:val="18"/>
              </w:rPr>
              <w:t xml:space="preserve">3.20 (9)</w:t>
            </w:r>
          </w:p>
        </w:tc>
        <w:tc>
          <w:tcPr>
            <w:tcW w:type="dxa" w:w="7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bCs/>
                <w:sz w:val="18"/>
                <w:szCs w:val="18"/>
              </w:rPr>
              <w:t xml:space="preserve">0.011*</w:t>
            </w:r>
          </w:p>
        </w:tc>
        <w:tc>
          <w:tcPr>
            <w:tcW w:type="dxa" w:w="7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bCs/>
                <w:sz w:val="18"/>
                <w:szCs w:val="18"/>
              </w:rPr>
              <w:t xml:space="preserve">0.022*</w:t>
            </w:r>
          </w:p>
        </w:tc>
        <w:tc>
          <w:tcPr>
            <w:tcW w:type="dxa" w:w="99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bCs/>
                <w:sz w:val="18"/>
                <w:szCs w:val="18"/>
              </w:rPr>
              <w:t xml:space="preserve">0.010*</w:t>
            </w:r>
          </w:p>
        </w:tc>
        <w:tc>
          <w:tcPr>
            <w:tcW w:type="dxa" w:w="63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8"/>
                <w:szCs w:val="18"/>
              </w:rPr>
              <w:t xml:space="preserve">1.01</w:t>
            </w:r>
          </w:p>
        </w:tc>
      </w:tr>
      <w:tr>
        <w:trPr>
          <w:cantSplit/>
        </w:trPr>
        <w:tc>
          <w:tcPr>
            <w:tcW w:type="dxa" w:w="153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8"/>
                <w:szCs w:val="18"/>
              </w:rPr>
              <w:t xml:space="preserve">Lower lip</w:t>
            </w:r>
          </w:p>
        </w:tc>
        <w:tc>
          <w:tcPr>
            <w:tcW w:type="dxa" w:w="126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8"/>
                <w:szCs w:val="18"/>
              </w:rPr>
              <w:t xml:space="preserve">2.10 ± 1.47</w:t>
            </w:r>
          </w:p>
        </w:tc>
        <w:tc>
          <w:tcPr>
            <w:tcW w:type="dxa" w:w="135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8"/>
                <w:szCs w:val="18"/>
              </w:rPr>
              <w:t xml:space="preserve">1.05 to 3.16</w:t>
            </w:r>
          </w:p>
        </w:tc>
        <w:tc>
          <w:tcPr>
            <w:tcW w:type="dxa" w:w="90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8"/>
                <w:szCs w:val="18"/>
              </w:rPr>
              <w:t xml:space="preserve">0.254</w:t>
            </w:r>
          </w:p>
        </w:tc>
        <w:tc>
          <w:tcPr>
            <w:tcW w:type="dxa" w:w="90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8"/>
                <w:szCs w:val="18"/>
              </w:rPr>
              <w:t xml:space="preserve">4.52 (9)</w:t>
            </w:r>
          </w:p>
        </w:tc>
        <w:tc>
          <w:tcPr>
            <w:tcW w:type="dxa" w:w="7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bCs/>
                <w:sz w:val="18"/>
                <w:szCs w:val="18"/>
              </w:rPr>
              <w:t xml:space="preserve">0.001*</w:t>
            </w:r>
          </w:p>
        </w:tc>
        <w:tc>
          <w:tcPr>
            <w:tcW w:type="dxa" w:w="7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bCs/>
                <w:sz w:val="18"/>
                <w:szCs w:val="18"/>
              </w:rPr>
              <w:t xml:space="preserve">0.004*</w:t>
            </w:r>
          </w:p>
        </w:tc>
        <w:tc>
          <w:tcPr>
            <w:tcW w:type="dxa" w:w="99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bCs/>
                <w:sz w:val="18"/>
                <w:szCs w:val="18"/>
              </w:rPr>
              <w:t xml:space="preserve">0.008*</w:t>
            </w:r>
          </w:p>
        </w:tc>
        <w:tc>
          <w:tcPr>
            <w:tcW w:type="dxa" w:w="63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8"/>
                <w:szCs w:val="18"/>
              </w:rPr>
              <w:t xml:space="preserve">1.43</w:t>
            </w:r>
          </w:p>
        </w:tc>
      </w:tr>
      <w:tr>
        <w:trPr>
          <w:cantSplit/>
        </w:trPr>
        <w:tc>
          <w:tcPr>
            <w:tcW w:type="dxa" w:w="153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8"/>
                <w:szCs w:val="18"/>
              </w:rPr>
              <w:t xml:space="preserve">Soft-tissue pogonion</w:t>
            </w:r>
          </w:p>
        </w:tc>
        <w:tc>
          <w:tcPr>
            <w:tcW w:type="dxa" w:w="126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8"/>
                <w:szCs w:val="18"/>
              </w:rPr>
              <w:t xml:space="preserve">−0.01 ± 5.48</w:t>
            </w:r>
          </w:p>
        </w:tc>
        <w:tc>
          <w:tcPr>
            <w:tcW w:type="dxa" w:w="135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8"/>
                <w:szCs w:val="18"/>
              </w:rPr>
              <w:t xml:space="preserve">−3.93 to 3.90</w:t>
            </w:r>
          </w:p>
        </w:tc>
        <w:tc>
          <w:tcPr>
            <w:tcW w:type="dxa" w:w="90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8"/>
                <w:szCs w:val="18"/>
              </w:rPr>
              <w:t xml:space="preserve">0.515</w:t>
            </w:r>
          </w:p>
        </w:tc>
        <w:tc>
          <w:tcPr>
            <w:tcW w:type="dxa" w:w="90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8"/>
                <w:szCs w:val="18"/>
              </w:rPr>
              <w:t xml:space="preserve">−0.01 (9)</w:t>
            </w:r>
          </w:p>
        </w:tc>
        <w:tc>
          <w:tcPr>
            <w:tcW w:type="dxa" w:w="7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val="false"/>
                <w:bCs w:val="false"/>
                <w:sz w:val="18"/>
                <w:szCs w:val="18"/>
              </w:rPr>
              <w:t xml:space="preserve">0.994</w:t>
            </w:r>
          </w:p>
        </w:tc>
        <w:tc>
          <w:tcPr>
            <w:tcW w:type="dxa" w:w="7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val="false"/>
                <w:bCs w:val="false"/>
                <w:sz w:val="18"/>
                <w:szCs w:val="18"/>
              </w:rPr>
              <w:t xml:space="preserve">0.994</w:t>
            </w:r>
          </w:p>
        </w:tc>
        <w:tc>
          <w:tcPr>
            <w:tcW w:type="dxa" w:w="99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val="false"/>
                <w:bCs w:val="false"/>
                <w:sz w:val="18"/>
                <w:szCs w:val="18"/>
              </w:rPr>
              <w:t xml:space="preserve">0.910</w:t>
            </w:r>
          </w:p>
        </w:tc>
        <w:tc>
          <w:tcPr>
            <w:tcW w:type="dxa" w:w="63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8"/>
                <w:szCs w:val="18"/>
              </w:rPr>
              <w:t xml:space="preserve">0.00</w:t>
            </w:r>
          </w:p>
        </w:tc>
      </w:tr>
      <w:tr>
        <w:trPr>
          <w:cantSplit/>
        </w:trPr>
        <w:tc>
          <w:tcPr>
            <w:tcW w:type="dxa" w:w="1534"/>
            <w:tcBorders>
              <w:top w:val="single" w:color="000000" w:sz="6"/>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left"/>
            </w:pPr>
            <w:r>
              <w:rPr>
                <w:sz w:val="18"/>
                <w:szCs w:val="18"/>
              </w:rPr>
              <w:t xml:space="preserve">Overall (patient mean)</w:t>
            </w:r>
          </w:p>
        </w:tc>
        <w:tc>
          <w:tcPr>
            <w:tcW w:type="dxa" w:w="1263"/>
            <w:tcBorders>
              <w:top w:val="single" w:color="000000" w:sz="6"/>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8"/>
                <w:szCs w:val="18"/>
              </w:rPr>
              <w:t xml:space="preserve">1.15 ± 2.24</w:t>
            </w:r>
          </w:p>
        </w:tc>
        <w:tc>
          <w:tcPr>
            <w:tcW w:type="dxa" w:w="1353"/>
            <w:tcBorders>
              <w:top w:val="single" w:color="000000" w:sz="6"/>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8"/>
                <w:szCs w:val="18"/>
              </w:rPr>
              <w:t xml:space="preserve">−0.45 to 2.76</w:t>
            </w:r>
          </w:p>
        </w:tc>
        <w:tc>
          <w:tcPr>
            <w:tcW w:type="dxa" w:w="902"/>
            <w:tcBorders>
              <w:top w:val="single" w:color="000000" w:sz="6"/>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8"/>
                <w:szCs w:val="18"/>
              </w:rPr>
              <w:t xml:space="preserve">0.229</w:t>
            </w:r>
          </w:p>
        </w:tc>
        <w:tc>
          <w:tcPr>
            <w:tcW w:type="dxa" w:w="902"/>
            <w:tcBorders>
              <w:top w:val="single" w:color="000000" w:sz="6"/>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8"/>
                <w:szCs w:val="18"/>
              </w:rPr>
              <w:t xml:space="preserve">1.63 (9)</w:t>
            </w:r>
          </w:p>
        </w:tc>
        <w:tc>
          <w:tcPr>
            <w:tcW w:type="dxa" w:w="722"/>
            <w:tcBorders>
              <w:top w:val="single" w:color="000000" w:sz="6"/>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b w:val="false"/>
                <w:bCs w:val="false"/>
                <w:sz w:val="18"/>
                <w:szCs w:val="18"/>
              </w:rPr>
              <w:t xml:space="preserve">0.139</w:t>
            </w:r>
          </w:p>
        </w:tc>
        <w:tc>
          <w:tcPr>
            <w:tcW w:type="dxa" w:w="722"/>
            <w:tcBorders>
              <w:top w:val="single" w:color="000000" w:sz="6"/>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8"/>
                <w:szCs w:val="18"/>
              </w:rPr>
              <w:t xml:space="preserve">—</w:t>
            </w:r>
          </w:p>
        </w:tc>
        <w:tc>
          <w:tcPr>
            <w:tcW w:type="dxa" w:w="992"/>
            <w:tcBorders>
              <w:top w:val="single" w:color="000000" w:sz="6"/>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b w:val="false"/>
                <w:bCs w:val="false"/>
                <w:sz w:val="18"/>
                <w:szCs w:val="18"/>
              </w:rPr>
              <w:t xml:space="preserve">0.084</w:t>
            </w:r>
          </w:p>
        </w:tc>
        <w:tc>
          <w:tcPr>
            <w:tcW w:type="dxa" w:w="636"/>
            <w:tcBorders>
              <w:top w:val="single" w:color="000000" w:sz="6"/>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8"/>
                <w:szCs w:val="18"/>
              </w:rPr>
              <w:t xml:space="preserve">0.51</w:t>
            </w:r>
          </w:p>
        </w:tc>
      </w:tr>
    </w:tbl>
    <w:p>
      <w:pPr>
        <w:spacing w:after="240" w:before="60" w:line="240"/>
      </w:pPr>
      <w:r>
        <w:rPr>
          <w:sz w:val="18"/>
          <w:szCs w:val="18"/>
        </w:rPr>
        <w:t xml:space="preserve">Mean difference = 2D − 3D; positive values indicate a larger error with 2D planning. Shapiro–Wilk test applied to the paired differences. Holm </w:t>
      </w:r>
      <w:r>
        <w:rPr>
          <w:i/>
          <w:iCs/>
          <w:sz w:val="18"/>
          <w:szCs w:val="18"/>
        </w:rPr>
        <w:t xml:space="preserve">p</w:t>
      </w:r>
      <w:r>
        <w:rPr>
          <w:sz w:val="18"/>
          <w:szCs w:val="18"/>
        </w:rPr>
        <w:t xml:space="preserve"> = paired </w:t>
      </w:r>
      <w:r>
        <w:rPr>
          <w:i/>
          <w:iCs/>
          <w:sz w:val="18"/>
          <w:szCs w:val="18"/>
        </w:rPr>
        <w:t xml:space="preserve">t</w:t>
      </w:r>
      <w:r>
        <w:rPr>
          <w:sz w:val="18"/>
          <w:szCs w:val="18"/>
        </w:rPr>
        <w:t xml:space="preserve">-test </w:t>
      </w:r>
      <w:r>
        <w:rPr>
          <w:i/>
          <w:iCs/>
          <w:sz w:val="18"/>
          <w:szCs w:val="18"/>
        </w:rPr>
        <w:t xml:space="preserve">p</w:t>
      </w:r>
      <w:r>
        <w:rPr>
          <w:sz w:val="18"/>
          <w:szCs w:val="18"/>
        </w:rPr>
        <w:t xml:space="preserve"> adjusted for the three landmarks. </w:t>
      </w:r>
      <w:r>
        <w:rPr>
          <w:i/>
          <w:iCs/>
          <w:sz w:val="18"/>
          <w:szCs w:val="18"/>
        </w:rPr>
        <w:t xml:space="preserve">d</w:t>
      </w:r>
      <w:r>
        <w:rPr>
          <w:sz w:val="18"/>
          <w:szCs w:val="18"/>
        </w:rPr>
        <w:t xml:space="preserve">z = Cohen's effect size for paired data. *Statistically significant (</w:t>
      </w:r>
      <w:r>
        <w:rPr>
          <w:i/>
          <w:iCs/>
          <w:sz w:val="18"/>
          <w:szCs w:val="18"/>
        </w:rPr>
        <w:t xml:space="preserve">p</w:t>
      </w:r>
      <w:r>
        <w:rPr>
          <w:sz w:val="18"/>
          <w:szCs w:val="18"/>
        </w:rPr>
        <w:t xml:space="preserve"> &lt; 0.05).</w:t>
      </w:r>
    </w:p>
    <w:p>
      <w:pPr>
        <w:keepNext/>
        <w:spacing w:after="60" w:before="240" w:line="240" w:lineRule="auto"/>
        <w:jc w:val="center"/>
      </w:pPr>
      <w:r>
        <w:drawing>
          <wp:inline distT="0" distB="0" distL="0" distR="0">
            <wp:extent cx="5667375"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2266950"/>
                    </a:xfrm>
                    <a:prstGeom prst="rect">
                      <a:avLst/>
                    </a:prstGeom>
                  </pic:spPr>
                </pic:pic>
              </a:graphicData>
            </a:graphic>
          </wp:inline>
        </w:drawing>
      </w:r>
    </w:p>
    <w:p>
      <w:pPr>
        <w:spacing w:after="240" w:line="240"/>
        <w:jc w:val="both"/>
      </w:pPr>
      <w:r>
        <w:rPr>
          <w:b/>
          <w:bCs/>
          <w:sz w:val="20"/>
          <w:szCs w:val="20"/>
        </w:rPr>
        <w:t xml:space="preserve">Figure 1. </w:t>
      </w:r>
      <w:r>
        <w:rPr>
          <w:sz w:val="20"/>
          <w:szCs w:val="20"/>
        </w:rPr>
        <w:t xml:space="preserve">Soft-tissue prediction error with 2D and 3D planning at each landmark. Each grey line connects the 2D and 3D errors of one patient; short horizontal bars show the mean. The dashed line marks the 2 mm limit of clinical acceptability.</w:t>
      </w:r>
    </w:p>
    <w:p>
      <w:pPr>
        <w:pStyle w:val="Heading2"/>
      </w:pPr>
      <w:r>
        <w:t xml:space="preserve">Correlation between 2D and 3D prediction errors</w:t>
      </w:r>
    </w:p>
    <w:p>
      <w:pPr>
        <w:spacing w:after="160"/>
        <w:jc w:val="both"/>
      </w:pPr>
      <w:r>
        <w:t xml:space="preserve">The correlation between the 2D and 3D prediction errors (Table 4, Figure 2) was weak and non-significant at the upper lip (</w:t>
      </w:r>
      <w:r>
        <w:rPr>
          <w:i/>
          <w:iCs/>
        </w:rPr>
        <w:t xml:space="preserve">r</w:t>
      </w:r>
      <w:r>
        <w:t xml:space="preserve"> = 0.10, </w:t>
      </w:r>
      <w:r>
        <w:rPr>
          <w:i/>
          <w:iCs/>
        </w:rPr>
        <w:t xml:space="preserve">p</w:t>
      </w:r>
      <w:r>
        <w:t xml:space="preserve"> = 0.773; </w:t>
      </w:r>
      <w:r>
        <w:rPr>
          <w:i/>
          <w:iCs/>
        </w:rPr>
        <w:t xml:space="preserve">ρ</w:t>
      </w:r>
      <w:r>
        <w:t xml:space="preserve"> = 0.05, </w:t>
      </w:r>
      <w:r>
        <w:rPr>
          <w:i/>
          <w:iCs/>
        </w:rPr>
        <w:t xml:space="preserve">p</w:t>
      </w:r>
      <w:r>
        <w:t xml:space="preserve"> = 0.881); strong and significant at the lower lip (</w:t>
      </w:r>
      <w:r>
        <w:rPr>
          <w:i/>
          <w:iCs/>
        </w:rPr>
        <w:t xml:space="preserve">r</w:t>
      </w:r>
      <w:r>
        <w:t xml:space="preserve"> = 0.78, </w:t>
      </w:r>
      <w:r>
        <w:rPr>
          <w:i/>
          <w:iCs/>
        </w:rPr>
        <w:t xml:space="preserve">p</w:t>
      </w:r>
      <w:r>
        <w:t xml:space="preserve"> = 0.008; </w:t>
      </w:r>
      <w:r>
        <w:rPr>
          <w:i/>
          <w:iCs/>
        </w:rPr>
        <w:t xml:space="preserve">ρ</w:t>
      </w:r>
      <w:r>
        <w:t xml:space="preserve"> = 0.92, </w:t>
      </w:r>
      <w:r>
        <w:rPr>
          <w:i/>
          <w:iCs/>
        </w:rPr>
        <w:t xml:space="preserve">p</w:t>
      </w:r>
      <w:r>
        <w:t xml:space="preserve"> &lt; 0.001); weak and non-significant at the soft-tissue pogonion (</w:t>
      </w:r>
      <w:r>
        <w:rPr>
          <w:i/>
          <w:iCs/>
        </w:rPr>
        <w:t xml:space="preserve">r</w:t>
      </w:r>
      <w:r>
        <w:t xml:space="preserve"> = 0.23, </w:t>
      </w:r>
      <w:r>
        <w:rPr>
          <w:i/>
          <w:iCs/>
        </w:rPr>
        <w:t xml:space="preserve">p</w:t>
      </w:r>
      <w:r>
        <w:t xml:space="preserve"> = 0.529; </w:t>
      </w:r>
      <w:r>
        <w:rPr>
          <w:i/>
          <w:iCs/>
        </w:rPr>
        <w:t xml:space="preserve">ρ</w:t>
      </w:r>
      <w:r>
        <w:t xml:space="preserve"> = 0.51, </w:t>
      </w:r>
      <w:r>
        <w:rPr>
          <w:i/>
          <w:iCs/>
        </w:rPr>
        <w:t xml:space="preserve">p</w:t>
      </w:r>
      <w:r>
        <w:t xml:space="preserve"> = 0.132). Thus, patients whose lower lip was poorly predicted by 2D planning also tended to be poorly predicted by 3D planning. For the overall prediction error per patient, the correlation was moderate and non-significant (</w:t>
      </w:r>
      <w:r>
        <w:rPr>
          <w:i/>
          <w:iCs/>
        </w:rPr>
        <w:t xml:space="preserve">r</w:t>
      </w:r>
      <w:r>
        <w:t xml:space="preserve"> = 0.49, </w:t>
      </w:r>
      <w:r>
        <w:rPr>
          <w:i/>
          <w:iCs/>
        </w:rPr>
        <w:t xml:space="preserve">p</w:t>
      </w:r>
      <w:r>
        <w:t xml:space="preserve"> = 0.151).</w:t>
      </w:r>
    </w:p>
    <w:p>
      <w:pPr>
        <w:keepNext/>
        <w:spacing w:after="100" w:before="240" w:line="240"/>
      </w:pPr>
      <w:r>
        <w:rPr>
          <w:b/>
          <w:bCs/>
        </w:rPr>
        <w:t xml:space="preserve">Table 4. </w:t>
      </w:r>
      <w:r>
        <w:t xml:space="preserve">Correlation between 2D and 3D prediction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722"/>
        <w:gridCol w:w="1444"/>
        <w:gridCol w:w="1444"/>
        <w:gridCol w:w="1534"/>
        <w:gridCol w:w="1536"/>
      </w:tblGrid>
      <w:tr>
        <w:trPr>
          <w:tblHeader/>
        </w:trPr>
        <w:tc>
          <w:tcPr>
            <w:tcW w:type="dxa" w:w="2346"/>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left"/>
            </w:pPr>
            <w:r>
              <w:rPr>
                <w:b/>
                <w:bCs/>
                <w:sz w:val="19"/>
                <w:szCs w:val="19"/>
              </w:rPr>
              <w:t xml:space="preserve">Landmark</w:t>
            </w:r>
          </w:p>
        </w:tc>
        <w:tc>
          <w:tcPr>
            <w:tcW w:type="dxa" w:w="722"/>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i/>
                <w:iCs/>
                <w:sz w:val="19"/>
                <w:szCs w:val="19"/>
              </w:rPr>
              <w:t xml:space="preserve">N</w:t>
            </w:r>
          </w:p>
        </w:tc>
        <w:tc>
          <w:tcPr>
            <w:tcW w:type="dxa" w:w="1444"/>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Pearson </w:t>
            </w:r>
            <w:r>
              <w:rPr>
                <w:b/>
                <w:bCs/>
                <w:i/>
                <w:iCs/>
                <w:sz w:val="19"/>
                <w:szCs w:val="19"/>
              </w:rPr>
              <w:t xml:space="preserve">r</w:t>
            </w:r>
          </w:p>
        </w:tc>
        <w:tc>
          <w:tcPr>
            <w:tcW w:type="dxa" w:w="1444"/>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i/>
                <w:iCs/>
                <w:sz w:val="19"/>
                <w:szCs w:val="19"/>
              </w:rPr>
              <w:t xml:space="preserve">p</w:t>
            </w:r>
          </w:p>
        </w:tc>
        <w:tc>
          <w:tcPr>
            <w:tcW w:type="dxa" w:w="1534"/>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Spearman </w:t>
            </w:r>
            <w:r>
              <w:rPr>
                <w:b/>
                <w:bCs/>
                <w:i/>
                <w:iCs/>
                <w:sz w:val="19"/>
                <w:szCs w:val="19"/>
              </w:rPr>
              <w:t xml:space="preserve">ρ</w:t>
            </w:r>
          </w:p>
        </w:tc>
        <w:tc>
          <w:tcPr>
            <w:tcW w:type="dxa" w:w="1536"/>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i/>
                <w:iCs/>
                <w:sz w:val="19"/>
                <w:szCs w:val="19"/>
              </w:rPr>
              <w:t xml:space="preserve">p</w:t>
            </w:r>
          </w:p>
        </w:tc>
      </w:tr>
      <w:tr>
        <w:trPr>
          <w:cantSplit/>
        </w:trPr>
        <w:tc>
          <w:tcPr>
            <w:tcW w:type="dxa" w:w="234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Upper lip</w:t>
            </w:r>
          </w:p>
        </w:tc>
        <w:tc>
          <w:tcPr>
            <w:tcW w:type="dxa" w:w="7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10</w:t>
            </w:r>
          </w:p>
        </w:tc>
        <w:tc>
          <w:tcPr>
            <w:tcW w:type="dxa" w:w="144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0.10</w:t>
            </w:r>
          </w:p>
        </w:tc>
        <w:tc>
          <w:tcPr>
            <w:tcW w:type="dxa" w:w="144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val="false"/>
                <w:bCs w:val="false"/>
                <w:sz w:val="19"/>
                <w:szCs w:val="19"/>
              </w:rPr>
              <w:t xml:space="preserve">0.773</w:t>
            </w:r>
          </w:p>
        </w:tc>
        <w:tc>
          <w:tcPr>
            <w:tcW w:type="dxa" w:w="153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0.05</w:t>
            </w:r>
          </w:p>
        </w:tc>
        <w:tc>
          <w:tcPr>
            <w:tcW w:type="dxa" w:w="153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val="false"/>
                <w:bCs w:val="false"/>
                <w:sz w:val="19"/>
                <w:szCs w:val="19"/>
              </w:rPr>
              <w:t xml:space="preserve">0.881</w:t>
            </w:r>
          </w:p>
        </w:tc>
      </w:tr>
      <w:tr>
        <w:trPr>
          <w:cantSplit/>
        </w:trPr>
        <w:tc>
          <w:tcPr>
            <w:tcW w:type="dxa" w:w="234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Lower lip</w:t>
            </w:r>
          </w:p>
        </w:tc>
        <w:tc>
          <w:tcPr>
            <w:tcW w:type="dxa" w:w="7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10</w:t>
            </w:r>
          </w:p>
        </w:tc>
        <w:tc>
          <w:tcPr>
            <w:tcW w:type="dxa" w:w="144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0.78</w:t>
            </w:r>
          </w:p>
        </w:tc>
        <w:tc>
          <w:tcPr>
            <w:tcW w:type="dxa" w:w="144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0.008*</w:t>
            </w:r>
          </w:p>
        </w:tc>
        <w:tc>
          <w:tcPr>
            <w:tcW w:type="dxa" w:w="153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0.92</w:t>
            </w:r>
          </w:p>
        </w:tc>
        <w:tc>
          <w:tcPr>
            <w:tcW w:type="dxa" w:w="153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&lt;0.001*</w:t>
            </w:r>
          </w:p>
        </w:tc>
      </w:tr>
      <w:tr>
        <w:trPr>
          <w:cantSplit/>
        </w:trPr>
        <w:tc>
          <w:tcPr>
            <w:tcW w:type="dxa" w:w="234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Soft-tissue pogonion</w:t>
            </w:r>
          </w:p>
        </w:tc>
        <w:tc>
          <w:tcPr>
            <w:tcW w:type="dxa" w:w="7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10</w:t>
            </w:r>
          </w:p>
        </w:tc>
        <w:tc>
          <w:tcPr>
            <w:tcW w:type="dxa" w:w="144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0.23</w:t>
            </w:r>
          </w:p>
        </w:tc>
        <w:tc>
          <w:tcPr>
            <w:tcW w:type="dxa" w:w="144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val="false"/>
                <w:bCs w:val="false"/>
                <w:sz w:val="19"/>
                <w:szCs w:val="19"/>
              </w:rPr>
              <w:t xml:space="preserve">0.529</w:t>
            </w:r>
          </w:p>
        </w:tc>
        <w:tc>
          <w:tcPr>
            <w:tcW w:type="dxa" w:w="153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0.51</w:t>
            </w:r>
          </w:p>
        </w:tc>
        <w:tc>
          <w:tcPr>
            <w:tcW w:type="dxa" w:w="153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val="false"/>
                <w:bCs w:val="false"/>
                <w:sz w:val="19"/>
                <w:szCs w:val="19"/>
              </w:rPr>
              <w:t xml:space="preserve">0.132</w:t>
            </w:r>
          </w:p>
        </w:tc>
      </w:tr>
      <w:tr>
        <w:trPr>
          <w:cantSplit/>
        </w:trPr>
        <w:tc>
          <w:tcPr>
            <w:tcW w:type="dxa" w:w="2346"/>
            <w:tcBorders>
              <w:top w:val="single" w:color="000000" w:sz="6"/>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left"/>
            </w:pPr>
            <w:r>
              <w:rPr>
                <w:sz w:val="19"/>
                <w:szCs w:val="19"/>
              </w:rPr>
              <w:t xml:space="preserve">Overall (patient mean)</w:t>
            </w:r>
          </w:p>
        </w:tc>
        <w:tc>
          <w:tcPr>
            <w:tcW w:type="dxa" w:w="722"/>
            <w:tcBorders>
              <w:top w:val="single" w:color="000000" w:sz="6"/>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10</w:t>
            </w:r>
          </w:p>
        </w:tc>
        <w:tc>
          <w:tcPr>
            <w:tcW w:type="dxa" w:w="1444"/>
            <w:tcBorders>
              <w:top w:val="single" w:color="000000" w:sz="6"/>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0.49</w:t>
            </w:r>
          </w:p>
        </w:tc>
        <w:tc>
          <w:tcPr>
            <w:tcW w:type="dxa" w:w="1444"/>
            <w:tcBorders>
              <w:top w:val="single" w:color="000000" w:sz="6"/>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b w:val="false"/>
                <w:bCs w:val="false"/>
                <w:sz w:val="19"/>
                <w:szCs w:val="19"/>
              </w:rPr>
              <w:t xml:space="preserve">0.151</w:t>
            </w:r>
          </w:p>
        </w:tc>
        <w:tc>
          <w:tcPr>
            <w:tcW w:type="dxa" w:w="1534"/>
            <w:tcBorders>
              <w:top w:val="single" w:color="000000" w:sz="6"/>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0.47</w:t>
            </w:r>
          </w:p>
        </w:tc>
        <w:tc>
          <w:tcPr>
            <w:tcW w:type="dxa" w:w="1536"/>
            <w:tcBorders>
              <w:top w:val="single" w:color="000000" w:sz="6"/>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b w:val="false"/>
                <w:bCs w:val="false"/>
                <w:sz w:val="19"/>
                <w:szCs w:val="19"/>
              </w:rPr>
              <w:t xml:space="preserve">0.174</w:t>
            </w:r>
          </w:p>
        </w:tc>
      </w:tr>
    </w:tbl>
    <w:p>
      <w:pPr>
        <w:spacing w:after="240" w:before="60" w:line="240"/>
      </w:pPr>
      <w:r>
        <w:rPr>
          <w:i/>
          <w:iCs/>
          <w:sz w:val="18"/>
          <w:szCs w:val="18"/>
        </w:rPr>
        <w:t xml:space="preserve">r</w:t>
      </w:r>
      <w:r>
        <w:rPr>
          <w:sz w:val="18"/>
          <w:szCs w:val="18"/>
        </w:rPr>
        <w:t xml:space="preserve"> = Pearson correlation coefficient; </w:t>
      </w:r>
      <w:r>
        <w:rPr>
          <w:i/>
          <w:iCs/>
          <w:sz w:val="18"/>
          <w:szCs w:val="18"/>
        </w:rPr>
        <w:t xml:space="preserve">ρ</w:t>
      </w:r>
      <w:r>
        <w:rPr>
          <w:sz w:val="18"/>
          <w:szCs w:val="18"/>
        </w:rPr>
        <w:t xml:space="preserve"> = Spearman rank correlation coefficient. *Statistically significant (</w:t>
      </w:r>
      <w:r>
        <w:rPr>
          <w:i/>
          <w:iCs/>
          <w:sz w:val="18"/>
          <w:szCs w:val="18"/>
        </w:rPr>
        <w:t xml:space="preserve">p</w:t>
      </w:r>
      <w:r>
        <w:rPr>
          <w:sz w:val="18"/>
          <w:szCs w:val="18"/>
        </w:rPr>
        <w:t xml:space="preserve"> &lt; 0.05).</w:t>
      </w:r>
    </w:p>
    <w:p>
      <w:pPr>
        <w:keepNext/>
        <w:spacing w:after="60" w:before="240" w:line="240" w:lineRule="auto"/>
        <w:jc w:val="center"/>
      </w:pPr>
      <w:r>
        <w:drawing>
          <wp:inline distT="0" distB="0" distL="0" distR="0">
            <wp:extent cx="566737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143125"/>
                    </a:xfrm>
                    <a:prstGeom prst="rect">
                      <a:avLst/>
                    </a:prstGeom>
                  </pic:spPr>
                </pic:pic>
              </a:graphicData>
            </a:graphic>
          </wp:inline>
        </w:drawing>
      </w:r>
    </w:p>
    <w:p>
      <w:pPr>
        <w:spacing w:after="240" w:line="240"/>
        <w:jc w:val="both"/>
      </w:pPr>
      <w:r>
        <w:rPr>
          <w:b/>
          <w:bCs/>
          <w:sz w:val="20"/>
          <w:szCs w:val="20"/>
        </w:rPr>
        <w:t xml:space="preserve">Figure 2. </w:t>
      </w:r>
      <w:r>
        <w:rPr>
          <w:sz w:val="20"/>
          <w:szCs w:val="20"/>
        </w:rPr>
        <w:t xml:space="preserve">Relationship between 2D and 3D prediction errors at each landmark. The dashed diagonal is the line of equality: points below it are patients in whom 3D planning was more accurate. </w:t>
      </w:r>
      <w:r>
        <w:rPr>
          <w:i/>
          <w:iCs/>
          <w:sz w:val="20"/>
          <w:szCs w:val="20"/>
        </w:rPr>
        <w:t xml:space="preserve">r</w:t>
      </w:r>
      <w:r>
        <w:rPr>
          <w:sz w:val="20"/>
          <w:szCs w:val="20"/>
        </w:rPr>
        <w:t xml:space="preserve"> = Pearson correlation coefficient.</w:t>
      </w:r>
    </w:p>
    <w:p>
      <w:pPr>
        <w:pStyle w:val="Heading2"/>
      </w:pPr>
      <w:r>
        <w:t xml:space="preserve">Clinical acceptability of the prediction</w:t>
      </w:r>
    </w:p>
    <w:p>
      <w:pPr>
        <w:spacing w:after="160"/>
        <w:jc w:val="both"/>
      </w:pPr>
      <w:r>
        <w:t xml:space="preserve">Of the 30 landmark predictions, 18 (60.0%) were within the clinically acceptable limit of 2 mm with 3D planning, compared with 6 (20.0%) with 2D planning (Table 5). 3D planning gave more clinically acceptable predictions at every landmark (upper lip 7/10 vs 2/10; lower lip 6/10 vs 1/10; soft-tissue pogonion 5/10 vs 3/10, 3D vs 2D). However, none of the per-landmark differences reached statistical significance (McNemar </w:t>
      </w:r>
      <w:r>
        <w:rPr>
          <w:i/>
          <w:iCs/>
        </w:rPr>
        <w:t xml:space="preserve">p</w:t>
      </w:r>
      <w:r>
        <w:t xml:space="preserve"> = 0.125, 0.063, 0.625, respectively), reflecting the small number of patients.</w:t>
      </w:r>
    </w:p>
    <w:p>
      <w:pPr>
        <w:keepNext/>
        <w:spacing w:after="100" w:before="240" w:line="240"/>
      </w:pPr>
      <w:r>
        <w:rPr>
          <w:b/>
          <w:bCs/>
        </w:rPr>
        <w:t xml:space="preserve">Table 5. </w:t>
      </w:r>
      <w:r>
        <w:t xml:space="preserve">Number (%) of predictions within the clinically acceptable limit (≤ 2 mm)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722"/>
        <w:gridCol w:w="1895"/>
        <w:gridCol w:w="1895"/>
        <w:gridCol w:w="1987"/>
      </w:tblGrid>
      <w:tr>
        <w:trPr>
          <w:tblHeader/>
        </w:trPr>
        <w:tc>
          <w:tcPr>
            <w:tcW w:type="dxa" w:w="2527"/>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left"/>
            </w:pPr>
            <w:r>
              <w:rPr>
                <w:b/>
                <w:bCs/>
                <w:sz w:val="19"/>
                <w:szCs w:val="19"/>
              </w:rPr>
              <w:t xml:space="preserve">Landmark</w:t>
            </w:r>
          </w:p>
        </w:tc>
        <w:tc>
          <w:tcPr>
            <w:tcW w:type="dxa" w:w="722"/>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i/>
                <w:iCs/>
                <w:sz w:val="19"/>
                <w:szCs w:val="19"/>
              </w:rPr>
              <w:t xml:space="preserve">N</w:t>
            </w:r>
          </w:p>
        </w:tc>
        <w:tc>
          <w:tcPr>
            <w:tcW w:type="dxa" w:w="1895"/>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2D ≤ 2 mm, n (%)</w:t>
            </w:r>
          </w:p>
        </w:tc>
        <w:tc>
          <w:tcPr>
            <w:tcW w:type="dxa" w:w="1895"/>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3D ≤ 2 mm, n (%)</w:t>
            </w:r>
          </w:p>
        </w:tc>
        <w:tc>
          <w:tcPr>
            <w:tcW w:type="dxa" w:w="1987"/>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McNemar </w:t>
            </w:r>
            <w:r>
              <w:rPr>
                <w:b/>
                <w:bCs/>
                <w:i/>
                <w:iCs/>
                <w:sz w:val="19"/>
                <w:szCs w:val="19"/>
              </w:rPr>
              <w:t xml:space="preserve">p</w:t>
            </w:r>
          </w:p>
        </w:tc>
      </w:tr>
      <w:tr>
        <w:trPr>
          <w:cantSplit/>
        </w:trPr>
        <w:tc>
          <w:tcPr>
            <w:tcW w:type="dxa" w:w="252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Upper lip</w:t>
            </w:r>
          </w:p>
        </w:tc>
        <w:tc>
          <w:tcPr>
            <w:tcW w:type="dxa" w:w="7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10</w:t>
            </w:r>
          </w:p>
        </w:tc>
        <w:tc>
          <w:tcPr>
            <w:tcW w:type="dxa" w:w="189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2 (20.0%)</w:t>
            </w:r>
          </w:p>
        </w:tc>
        <w:tc>
          <w:tcPr>
            <w:tcW w:type="dxa" w:w="189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7 (70.0%)</w:t>
            </w:r>
          </w:p>
        </w:tc>
        <w:tc>
          <w:tcPr>
            <w:tcW w:type="dxa" w:w="198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val="false"/>
                <w:bCs w:val="false"/>
                <w:sz w:val="19"/>
                <w:szCs w:val="19"/>
              </w:rPr>
              <w:t xml:space="preserve">0.125</w:t>
            </w:r>
          </w:p>
        </w:tc>
      </w:tr>
      <w:tr>
        <w:trPr>
          <w:cantSplit/>
        </w:trPr>
        <w:tc>
          <w:tcPr>
            <w:tcW w:type="dxa" w:w="252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Lower lip</w:t>
            </w:r>
          </w:p>
        </w:tc>
        <w:tc>
          <w:tcPr>
            <w:tcW w:type="dxa" w:w="7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10</w:t>
            </w:r>
          </w:p>
        </w:tc>
        <w:tc>
          <w:tcPr>
            <w:tcW w:type="dxa" w:w="189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 (10.0%)</w:t>
            </w:r>
          </w:p>
        </w:tc>
        <w:tc>
          <w:tcPr>
            <w:tcW w:type="dxa" w:w="189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6 (60.0%)</w:t>
            </w:r>
          </w:p>
        </w:tc>
        <w:tc>
          <w:tcPr>
            <w:tcW w:type="dxa" w:w="198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val="false"/>
                <w:bCs w:val="false"/>
                <w:sz w:val="19"/>
                <w:szCs w:val="19"/>
              </w:rPr>
              <w:t xml:space="preserve">0.063</w:t>
            </w:r>
          </w:p>
        </w:tc>
      </w:tr>
      <w:tr>
        <w:trPr>
          <w:cantSplit/>
        </w:trPr>
        <w:tc>
          <w:tcPr>
            <w:tcW w:type="dxa" w:w="252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Soft-tissue pogonion</w:t>
            </w:r>
          </w:p>
        </w:tc>
        <w:tc>
          <w:tcPr>
            <w:tcW w:type="dxa" w:w="7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10</w:t>
            </w:r>
          </w:p>
        </w:tc>
        <w:tc>
          <w:tcPr>
            <w:tcW w:type="dxa" w:w="189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3 (30.0%)</w:t>
            </w:r>
          </w:p>
        </w:tc>
        <w:tc>
          <w:tcPr>
            <w:tcW w:type="dxa" w:w="189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5 (50.0%)</w:t>
            </w:r>
          </w:p>
        </w:tc>
        <w:tc>
          <w:tcPr>
            <w:tcW w:type="dxa" w:w="198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val="false"/>
                <w:bCs w:val="false"/>
                <w:sz w:val="19"/>
                <w:szCs w:val="19"/>
              </w:rPr>
              <w:t xml:space="preserve">0.625</w:t>
            </w:r>
          </w:p>
        </w:tc>
      </w:tr>
      <w:tr>
        <w:trPr>
          <w:cantSplit/>
        </w:trPr>
        <w:tc>
          <w:tcPr>
            <w:tcW w:type="dxa" w:w="2527"/>
            <w:tcBorders>
              <w:top w:val="single" w:color="000000" w:sz="6"/>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left"/>
            </w:pPr>
            <w:r>
              <w:rPr>
                <w:sz w:val="19"/>
                <w:szCs w:val="19"/>
              </w:rPr>
              <w:t xml:space="preserve">All predictions†</w:t>
            </w:r>
          </w:p>
        </w:tc>
        <w:tc>
          <w:tcPr>
            <w:tcW w:type="dxa" w:w="722"/>
            <w:tcBorders>
              <w:top w:val="single" w:color="000000" w:sz="6"/>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30</w:t>
            </w:r>
          </w:p>
        </w:tc>
        <w:tc>
          <w:tcPr>
            <w:tcW w:type="dxa" w:w="1895"/>
            <w:tcBorders>
              <w:top w:val="single" w:color="000000" w:sz="6"/>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6 (20.0%)</w:t>
            </w:r>
          </w:p>
        </w:tc>
        <w:tc>
          <w:tcPr>
            <w:tcW w:type="dxa" w:w="1895"/>
            <w:tcBorders>
              <w:top w:val="single" w:color="000000" w:sz="6"/>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18 (60.0%)</w:t>
            </w:r>
          </w:p>
        </w:tc>
        <w:tc>
          <w:tcPr>
            <w:tcW w:type="dxa" w:w="1987"/>
            <w:tcBorders>
              <w:top w:val="single" w:color="000000" w:sz="6"/>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w:t>
            </w:r>
          </w:p>
        </w:tc>
      </w:tr>
    </w:tbl>
    <w:p>
      <w:pPr>
        <w:spacing w:after="240" w:before="60" w:line="240"/>
      </w:pPr>
      <w:r>
        <w:rPr>
          <w:sz w:val="18"/>
          <w:szCs w:val="18"/>
        </w:rPr>
        <w:t xml:space="preserve">†All landmark predictions pooled (three per patient); shown descriptively without a test because the three landmarks of one patient are not independent observations. *Statistically significant (</w:t>
      </w:r>
      <w:r>
        <w:rPr>
          <w:i/>
          <w:iCs/>
          <w:sz w:val="18"/>
          <w:szCs w:val="18"/>
        </w:rPr>
        <w:t xml:space="preserve">p</w:t>
      </w:r>
      <w:r>
        <w:rPr>
          <w:sz w:val="18"/>
          <w:szCs w:val="18"/>
        </w:rPr>
        <w:t xml:space="preserve"> &lt; 0.05).</w:t>
      </w:r>
    </w:p>
    <w:p>
      <w:pPr>
        <w:pStyle w:val="Heading2"/>
      </w:pPr>
      <w:r>
        <w:t xml:space="preserve">Comparison of prediction error among landmarks</w:t>
      </w:r>
    </w:p>
    <w:p>
      <w:pPr>
        <w:spacing w:after="160"/>
        <w:jc w:val="both"/>
      </w:pPr>
      <w:r>
        <w:t xml:space="preserve">The prediction error did not differ significantly among the three landmarks with either 2D (</w:t>
      </w:r>
      <w:r>
        <w:rPr>
          <w:i/>
          <w:iCs/>
        </w:rPr>
        <w:t xml:space="preserve">χ</w:t>
      </w:r>
      <w:r>
        <w:t xml:space="preserve">²(2) = 4.67, </w:t>
      </w:r>
      <w:r>
        <w:rPr>
          <w:i/>
          <w:iCs/>
        </w:rPr>
        <w:t xml:space="preserve">p</w:t>
      </w:r>
      <w:r>
        <w:t xml:space="preserve"> = 0.097) or 3D (</w:t>
      </w:r>
      <w:r>
        <w:rPr>
          <w:i/>
          <w:iCs/>
        </w:rPr>
        <w:t xml:space="preserve">χ</w:t>
      </w:r>
      <w:r>
        <w:t xml:space="preserve">²(2) = 5.71, </w:t>
      </w:r>
      <w:r>
        <w:rPr>
          <w:i/>
          <w:iCs/>
        </w:rPr>
        <w:t xml:space="preserve">p</w:t>
      </w:r>
      <w:r>
        <w:t xml:space="preserve"> = 0.058) planning (Table 6). None of the Bonferroni-adjusted pairwise comparisons was significant. With 3D planning, the median error at soft-tissue pogonion (3.87 mm) was higher than at the upper lip (1.85 mm) and lower lip (1.52 mm).</w:t>
      </w:r>
    </w:p>
    <w:p>
      <w:pPr>
        <w:keepNext/>
        <w:spacing w:after="100" w:before="240" w:line="240"/>
      </w:pPr>
      <w:r>
        <w:rPr>
          <w:b/>
          <w:bCs/>
        </w:rPr>
        <w:t xml:space="preserve">Table 6. </w:t>
      </w:r>
      <w:r>
        <w:t xml:space="preserve">Prediction error (mm) among the three landmarks for each planning method (Friedman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714"/>
        <w:gridCol w:w="1714"/>
        <w:gridCol w:w="1714"/>
        <w:gridCol w:w="1534"/>
        <w:gridCol w:w="1358"/>
      </w:tblGrid>
      <w:tr>
        <w:trPr>
          <w:tblHeader/>
        </w:trPr>
        <w:tc>
          <w:tcPr>
            <w:tcW w:type="dxa" w:w="992"/>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left"/>
            </w:pPr>
            <w:r>
              <w:rPr>
                <w:b/>
                <w:bCs/>
                <w:sz w:val="19"/>
                <w:szCs w:val="19"/>
              </w:rPr>
              <w:t xml:space="preserve">Method</w:t>
            </w:r>
          </w:p>
        </w:tc>
        <w:tc>
          <w:tcPr>
            <w:tcW w:type="dxa" w:w="1714"/>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Upper lip</w:t>
            </w:r>
          </w:p>
        </w:tc>
        <w:tc>
          <w:tcPr>
            <w:tcW w:type="dxa" w:w="1714"/>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Lower lip</w:t>
            </w:r>
          </w:p>
        </w:tc>
        <w:tc>
          <w:tcPr>
            <w:tcW w:type="dxa" w:w="1714"/>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Soft-tissue pogonion</w:t>
            </w:r>
          </w:p>
        </w:tc>
        <w:tc>
          <w:tcPr>
            <w:tcW w:type="dxa" w:w="1534"/>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Friedman </w:t>
            </w:r>
            <w:r>
              <w:rPr>
                <w:b/>
                <w:bCs/>
                <w:i/>
                <w:iCs/>
                <w:sz w:val="19"/>
                <w:szCs w:val="19"/>
              </w:rPr>
              <w:t xml:space="preserve">χ</w:t>
            </w:r>
            <w:r>
              <w:rPr>
                <w:b/>
                <w:bCs/>
                <w:sz w:val="19"/>
                <w:szCs w:val="19"/>
              </w:rPr>
              <w:t xml:space="preserve">² (df = 2)</w:t>
            </w:r>
          </w:p>
        </w:tc>
        <w:tc>
          <w:tcPr>
            <w:tcW w:type="dxa" w:w="1358"/>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i/>
                <w:iCs/>
                <w:sz w:val="19"/>
                <w:szCs w:val="19"/>
              </w:rPr>
              <w:t xml:space="preserve">p</w:t>
            </w:r>
          </w:p>
        </w:tc>
      </w:tr>
      <w:tr>
        <w:trPr>
          <w:cantSplit/>
        </w:trPr>
        <w:tc>
          <w:tcPr>
            <w:tcW w:type="dxa" w:w="99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2D</w:t>
            </w:r>
          </w:p>
        </w:tc>
        <w:tc>
          <w:tcPr>
            <w:tcW w:type="dxa" w:w="17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2.95 (2.63–3.34)</w:t>
            </w:r>
          </w:p>
        </w:tc>
        <w:tc>
          <w:tcPr>
            <w:tcW w:type="dxa" w:w="17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4.85 (3.58–5.63)</w:t>
            </w:r>
          </w:p>
        </w:tc>
        <w:tc>
          <w:tcPr>
            <w:tcW w:type="dxa" w:w="17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4.90 (1.65–6.15)</w:t>
            </w:r>
          </w:p>
        </w:tc>
        <w:tc>
          <w:tcPr>
            <w:tcW w:type="dxa" w:w="153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4.67</w:t>
            </w:r>
          </w:p>
        </w:tc>
        <w:tc>
          <w:tcPr>
            <w:tcW w:type="dxa" w:w="135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val="false"/>
                <w:bCs w:val="false"/>
                <w:sz w:val="19"/>
                <w:szCs w:val="19"/>
              </w:rPr>
              <w:t xml:space="preserve">0.097</w:t>
            </w:r>
          </w:p>
        </w:tc>
      </w:tr>
      <w:tr>
        <w:trPr>
          <w:cantSplit/>
        </w:trPr>
        <w:tc>
          <w:tcPr>
            <w:tcW w:type="dxa" w:w="992"/>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left"/>
            </w:pPr>
            <w:r>
              <w:rPr>
                <w:sz w:val="19"/>
                <w:szCs w:val="19"/>
              </w:rPr>
              <w:t xml:space="preserve">3D</w:t>
            </w:r>
          </w:p>
        </w:tc>
        <w:tc>
          <w:tcPr>
            <w:tcW w:type="dxa" w:w="1714"/>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1.85 (1.28–2.04)</w:t>
            </w:r>
          </w:p>
        </w:tc>
        <w:tc>
          <w:tcPr>
            <w:tcW w:type="dxa" w:w="1714"/>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1.52 (0.84–3.47)</w:t>
            </w:r>
          </w:p>
        </w:tc>
        <w:tc>
          <w:tcPr>
            <w:tcW w:type="dxa" w:w="1714"/>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3.87 (0.65–8.31)</w:t>
            </w:r>
          </w:p>
        </w:tc>
        <w:tc>
          <w:tcPr>
            <w:tcW w:type="dxa" w:w="1534"/>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5.71</w:t>
            </w:r>
          </w:p>
        </w:tc>
        <w:tc>
          <w:tcPr>
            <w:tcW w:type="dxa" w:w="1358"/>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b w:val="false"/>
                <w:bCs w:val="false"/>
                <w:sz w:val="19"/>
                <w:szCs w:val="19"/>
              </w:rPr>
              <w:t xml:space="preserve">0.058</w:t>
            </w:r>
          </w:p>
        </w:tc>
      </w:tr>
    </w:tbl>
    <w:p>
      <w:pPr>
        <w:spacing w:after="240" w:before="60" w:line="240"/>
      </w:pPr>
      <w:r>
        <w:rPr>
          <w:sz w:val="18"/>
          <w:szCs w:val="18"/>
        </w:rPr>
        <w:t xml:space="preserve">Values are median (IQR). Bonferroni-adjusted pairwise Wilcoxon tests — 2D: upper lip vs lower lip </w:t>
      </w:r>
      <w:r>
        <w:rPr>
          <w:i/>
          <w:iCs/>
          <w:sz w:val="18"/>
          <w:szCs w:val="18"/>
        </w:rPr>
        <w:t xml:space="preserve">p</w:t>
      </w:r>
      <w:r>
        <w:rPr>
          <w:sz w:val="18"/>
          <w:szCs w:val="18"/>
        </w:rPr>
        <w:t xml:space="preserve"> = 0.146, upper lip vs pogonion </w:t>
      </w:r>
      <w:r>
        <w:rPr>
          <w:i/>
          <w:iCs/>
          <w:sz w:val="18"/>
          <w:szCs w:val="18"/>
        </w:rPr>
        <w:t xml:space="preserve">p</w:t>
      </w:r>
      <w:r>
        <w:rPr>
          <w:sz w:val="18"/>
          <w:szCs w:val="18"/>
        </w:rPr>
        <w:t xml:space="preserve"> = 0.697, lower lip vs pogonion </w:t>
      </w:r>
      <w:r>
        <w:rPr>
          <w:i/>
          <w:iCs/>
          <w:sz w:val="18"/>
          <w:szCs w:val="18"/>
        </w:rPr>
        <w:t xml:space="preserve">p</w:t>
      </w:r>
      <w:r>
        <w:rPr>
          <w:sz w:val="18"/>
          <w:szCs w:val="18"/>
        </w:rPr>
        <w:t xml:space="preserve"> = 1.000; 3D: upper lip vs lower lip </w:t>
      </w:r>
      <w:r>
        <w:rPr>
          <w:i/>
          <w:iCs/>
          <w:sz w:val="18"/>
          <w:szCs w:val="18"/>
        </w:rPr>
        <w:t xml:space="preserve">p</w:t>
      </w:r>
      <w:r>
        <w:rPr>
          <w:sz w:val="18"/>
          <w:szCs w:val="18"/>
        </w:rPr>
        <w:t xml:space="preserve"> = 1.000, upper lip vs pogonion </w:t>
      </w:r>
      <w:r>
        <w:rPr>
          <w:i/>
          <w:iCs/>
          <w:sz w:val="18"/>
          <w:szCs w:val="18"/>
        </w:rPr>
        <w:t xml:space="preserve">p</w:t>
      </w:r>
      <w:r>
        <w:rPr>
          <w:sz w:val="18"/>
          <w:szCs w:val="18"/>
        </w:rPr>
        <w:t xml:space="preserve"> = 0.223, lower lip vs pogonion </w:t>
      </w:r>
      <w:r>
        <w:rPr>
          <w:i/>
          <w:iCs/>
          <w:sz w:val="18"/>
          <w:szCs w:val="18"/>
        </w:rPr>
        <w:t xml:space="preserve">p</w:t>
      </w:r>
      <w:r>
        <w:rPr>
          <w:sz w:val="18"/>
          <w:szCs w:val="18"/>
        </w:rPr>
        <w:t xml:space="preserve"> = 0.070. *Statistically significant (</w:t>
      </w:r>
      <w:r>
        <w:rPr>
          <w:i/>
          <w:iCs/>
          <w:sz w:val="18"/>
          <w:szCs w:val="18"/>
        </w:rPr>
        <w:t xml:space="preserve">p</w:t>
      </w:r>
      <w:r>
        <w:rPr>
          <w:sz w:val="18"/>
          <w:szCs w:val="18"/>
        </w:rPr>
        <w:t xml:space="preserve"> &lt; 0.05).</w:t>
      </w:r>
    </w:p>
    <w:p>
      <w:pPr>
        <w:pStyle w:val="Heading2"/>
      </w:pPr>
      <w:r>
        <w:t xml:space="preserve">Planned surgical movement and prediction error</w:t>
      </w:r>
    </w:p>
    <w:p>
      <w:pPr>
        <w:spacing w:after="160"/>
        <w:jc w:val="both"/>
      </w:pPr>
      <w:r>
        <w:t xml:space="preserve">No significant correlation was found between the magnitude of the planned surgical movement and the prediction error at the corresponding landmark, with either 2D (</w:t>
      </w:r>
      <w:r>
        <w:rPr>
          <w:i/>
          <w:iCs/>
        </w:rPr>
        <w:t xml:space="preserve">ρ</w:t>
      </w:r>
      <w:r>
        <w:t xml:space="preserve"> = 0.05 to 0.25) or 3D planning (</w:t>
      </w:r>
      <w:r>
        <w:rPr>
          <w:i/>
          <w:iCs/>
        </w:rPr>
        <w:t xml:space="preserve">ρ</w:t>
      </w:r>
      <w:r>
        <w:t xml:space="preserve"> = 0.01 to 0.25; all </w:t>
      </w:r>
      <w:r>
        <w:rPr>
          <w:i/>
          <w:iCs/>
        </w:rPr>
        <w:t xml:space="preserve">p</w:t>
      </w:r>
      <w:r>
        <w:t xml:space="preserve"> ≥ 0.48) (Table 7). Given the small sample, this analysis is exploratory.</w:t>
      </w:r>
    </w:p>
    <w:p>
      <w:pPr>
        <w:keepNext/>
        <w:spacing w:after="100" w:before="240" w:line="240"/>
      </w:pPr>
      <w:r>
        <w:rPr>
          <w:b/>
          <w:bCs/>
        </w:rPr>
        <w:t xml:space="preserve">Table 7. </w:t>
      </w:r>
      <w:r>
        <w:t xml:space="preserve">Correlation between the magnitude of the planned movement and the prediction error (exploratory)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346"/>
        <w:gridCol w:w="1173"/>
        <w:gridCol w:w="1173"/>
        <w:gridCol w:w="1173"/>
        <w:gridCol w:w="1176"/>
      </w:tblGrid>
      <w:tr>
        <w:trPr>
          <w:tblHeader/>
        </w:trPr>
        <w:tc>
          <w:tcPr>
            <w:tcW w:type="dxa" w:w="1985"/>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left"/>
            </w:pPr>
            <w:r>
              <w:rPr>
                <w:b/>
                <w:bCs/>
                <w:sz w:val="19"/>
                <w:szCs w:val="19"/>
              </w:rPr>
              <w:t xml:space="preserve">Landmark</w:t>
            </w:r>
          </w:p>
        </w:tc>
        <w:tc>
          <w:tcPr>
            <w:tcW w:type="dxa" w:w="2346"/>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Planned movement</w:t>
            </w:r>
          </w:p>
        </w:tc>
        <w:tc>
          <w:tcPr>
            <w:tcW w:type="dxa" w:w="1173"/>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2D </w:t>
            </w:r>
            <w:r>
              <w:rPr>
                <w:b/>
                <w:bCs/>
                <w:i/>
                <w:iCs/>
                <w:sz w:val="19"/>
                <w:szCs w:val="19"/>
              </w:rPr>
              <w:t xml:space="preserve">ρ</w:t>
            </w:r>
          </w:p>
        </w:tc>
        <w:tc>
          <w:tcPr>
            <w:tcW w:type="dxa" w:w="1173"/>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i/>
                <w:iCs/>
                <w:sz w:val="19"/>
                <w:szCs w:val="19"/>
              </w:rPr>
              <w:t xml:space="preserve">p</w:t>
            </w:r>
          </w:p>
        </w:tc>
        <w:tc>
          <w:tcPr>
            <w:tcW w:type="dxa" w:w="1173"/>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sz w:val="19"/>
                <w:szCs w:val="19"/>
              </w:rPr>
              <w:t xml:space="preserve">3D </w:t>
            </w:r>
            <w:r>
              <w:rPr>
                <w:b/>
                <w:bCs/>
                <w:i/>
                <w:iCs/>
                <w:sz w:val="19"/>
                <w:szCs w:val="19"/>
              </w:rPr>
              <w:t xml:space="preserve">ρ</w:t>
            </w:r>
          </w:p>
        </w:tc>
        <w:tc>
          <w:tcPr>
            <w:tcW w:type="dxa" w:w="1176"/>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keepNext/>
              <w:spacing w:after="0" w:line="240" w:lineRule="auto"/>
              <w:jc w:val="center"/>
            </w:pPr>
            <w:r>
              <w:rPr>
                <w:b/>
                <w:bCs/>
                <w:i/>
                <w:iCs/>
                <w:sz w:val="19"/>
                <w:szCs w:val="19"/>
              </w:rPr>
              <w:t xml:space="preserve">p</w:t>
            </w:r>
          </w:p>
        </w:tc>
      </w:tr>
      <w:tr>
        <w:trPr>
          <w:cantSplit/>
        </w:trPr>
        <w:tc>
          <w:tcPr>
            <w:tcW w:type="dxa" w:w="198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Upper lip</w:t>
            </w:r>
          </w:p>
        </w:tc>
        <w:tc>
          <w:tcPr>
            <w:tcW w:type="dxa" w:w="234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Maxillary advancement</w:t>
            </w:r>
          </w:p>
        </w:tc>
        <w:tc>
          <w:tcPr>
            <w:tcW w:type="dxa" w:w="117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0.25</w:t>
            </w:r>
          </w:p>
        </w:tc>
        <w:tc>
          <w:tcPr>
            <w:tcW w:type="dxa" w:w="117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val="false"/>
                <w:bCs w:val="false"/>
                <w:sz w:val="19"/>
                <w:szCs w:val="19"/>
              </w:rPr>
              <w:t xml:space="preserve">0.479</w:t>
            </w:r>
          </w:p>
        </w:tc>
        <w:tc>
          <w:tcPr>
            <w:tcW w:type="dxa" w:w="117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0.01</w:t>
            </w:r>
          </w:p>
        </w:tc>
        <w:tc>
          <w:tcPr>
            <w:tcW w:type="dxa" w:w="117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val="false"/>
                <w:bCs w:val="false"/>
                <w:sz w:val="19"/>
                <w:szCs w:val="19"/>
              </w:rPr>
              <w:t xml:space="preserve">0.972</w:t>
            </w:r>
          </w:p>
        </w:tc>
      </w:tr>
      <w:tr>
        <w:trPr>
          <w:cantSplit/>
        </w:trPr>
        <w:tc>
          <w:tcPr>
            <w:tcW w:type="dxa" w:w="198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left"/>
            </w:pPr>
            <w:r>
              <w:rPr>
                <w:sz w:val="19"/>
                <w:szCs w:val="19"/>
              </w:rPr>
              <w:t xml:space="preserve">Lower lip</w:t>
            </w:r>
          </w:p>
        </w:tc>
        <w:tc>
          <w:tcPr>
            <w:tcW w:type="dxa" w:w="234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Mandibular setback</w:t>
            </w:r>
          </w:p>
        </w:tc>
        <w:tc>
          <w:tcPr>
            <w:tcW w:type="dxa" w:w="117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0.05</w:t>
            </w:r>
          </w:p>
        </w:tc>
        <w:tc>
          <w:tcPr>
            <w:tcW w:type="dxa" w:w="117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val="false"/>
                <w:bCs w:val="false"/>
                <w:sz w:val="19"/>
                <w:szCs w:val="19"/>
              </w:rPr>
              <w:t xml:space="preserve">0.901</w:t>
            </w:r>
          </w:p>
        </w:tc>
        <w:tc>
          <w:tcPr>
            <w:tcW w:type="dxa" w:w="117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sz w:val="19"/>
                <w:szCs w:val="19"/>
              </w:rPr>
              <w:t xml:space="preserve">0.25</w:t>
            </w:r>
          </w:p>
        </w:tc>
        <w:tc>
          <w:tcPr>
            <w:tcW w:type="dxa" w:w="117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lineRule="auto"/>
              <w:jc w:val="center"/>
            </w:pPr>
            <w:r>
              <w:rPr>
                <w:b w:val="false"/>
                <w:bCs w:val="false"/>
                <w:sz w:val="19"/>
                <w:szCs w:val="19"/>
              </w:rPr>
              <w:t xml:space="preserve">0.481</w:t>
            </w:r>
          </w:p>
        </w:tc>
      </w:tr>
      <w:tr>
        <w:trPr>
          <w:cantSplit/>
        </w:trPr>
        <w:tc>
          <w:tcPr>
            <w:tcW w:type="dxa" w:w="1985"/>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left"/>
            </w:pPr>
            <w:r>
              <w:rPr>
                <w:sz w:val="19"/>
                <w:szCs w:val="19"/>
              </w:rPr>
              <w:t xml:space="preserve">Soft-tissue pogonion</w:t>
            </w:r>
          </w:p>
        </w:tc>
        <w:tc>
          <w:tcPr>
            <w:tcW w:type="dxa" w:w="2346"/>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Genioplasty advancement</w:t>
            </w:r>
          </w:p>
        </w:tc>
        <w:tc>
          <w:tcPr>
            <w:tcW w:type="dxa" w:w="1173"/>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0.06</w:t>
            </w:r>
          </w:p>
        </w:tc>
        <w:tc>
          <w:tcPr>
            <w:tcW w:type="dxa" w:w="1173"/>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b w:val="false"/>
                <w:bCs w:val="false"/>
                <w:sz w:val="19"/>
                <w:szCs w:val="19"/>
              </w:rPr>
              <w:t xml:space="preserve">0.877</w:t>
            </w:r>
          </w:p>
        </w:tc>
        <w:tc>
          <w:tcPr>
            <w:tcW w:type="dxa" w:w="1173"/>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sz w:val="19"/>
                <w:szCs w:val="19"/>
              </w:rPr>
              <w:t xml:space="preserve">0.11</w:t>
            </w:r>
          </w:p>
        </w:tc>
        <w:tc>
          <w:tcPr>
            <w:tcW w:type="dxa" w:w="1176"/>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keepNext w:val="false"/>
              <w:spacing w:after="0" w:line="240" w:lineRule="auto"/>
              <w:jc w:val="center"/>
            </w:pPr>
            <w:r>
              <w:rPr>
                <w:b w:val="false"/>
                <w:bCs w:val="false"/>
                <w:sz w:val="19"/>
                <w:szCs w:val="19"/>
              </w:rPr>
              <w:t xml:space="preserve">0.769</w:t>
            </w:r>
          </w:p>
        </w:tc>
      </w:tr>
    </w:tbl>
    <w:p>
      <w:pPr>
        <w:spacing w:after="240" w:before="60" w:line="240"/>
      </w:pPr>
      <w:r>
        <w:rPr>
          <w:i/>
          <w:iCs/>
          <w:sz w:val="18"/>
          <w:szCs w:val="18"/>
        </w:rPr>
        <w:t xml:space="preserve">ρ</w:t>
      </w:r>
      <w:r>
        <w:rPr>
          <w:sz w:val="18"/>
          <w:szCs w:val="18"/>
        </w:rPr>
        <w:t xml:space="preserve"> = Spearman rank correlation coefficient; a movement that was not performed was entered as 0 mm. *Statistically significant (</w:t>
      </w:r>
      <w:r>
        <w:rPr>
          <w:i/>
          <w:iCs/>
          <w:sz w:val="18"/>
          <w:szCs w:val="18"/>
        </w:rPr>
        <w:t xml:space="preserve">p</w:t>
      </w:r>
      <w:r>
        <w:rPr>
          <w:sz w:val="18"/>
          <w:szCs w:val="18"/>
        </w:rPr>
        <w:t xml:space="preserve"> &lt; 0.05).</w:t>
      </w:r>
    </w:p>
    <w:p>
      <w:pPr>
        <w:pStyle w:val="Heading2"/>
      </w:pPr>
      <w:r>
        <w:t xml:space="preserve">Summary of the main findings</w:t>
      </w:r>
    </w:p>
    <w:p>
      <w:pPr>
        <w:pStyle w:val="ListParagraph"/>
        <w:numPr>
          <w:ilvl w:val="0"/>
          <w:numId w:val="2"/>
        </w:numPr>
        <w:spacing w:after="80"/>
      </w:pPr>
      <w:r>
        <w:t xml:space="preserve">Compared with 2D planning, 3D planning gave a significantly smaller prediction error at the upper lip (mean 1.63 vs 3.00 mm; </w:t>
      </w:r>
      <w:r>
        <w:rPr>
          <w:i/>
          <w:iCs/>
        </w:rPr>
        <w:t xml:space="preserve">d</w:t>
      </w:r>
      <w:r>
        <w:t xml:space="preserve">z = 1.01) and a significantly smaller error at the lower lip (2.33 vs 4.43 mm; </w:t>
      </w:r>
      <w:r>
        <w:rPr>
          <w:i/>
          <w:iCs/>
        </w:rPr>
        <w:t xml:space="preserve">d</w:t>
      </w:r>
      <w:r>
        <w:t xml:space="preserve">z = 1.43).</w:t>
      </w:r>
    </w:p>
    <w:p>
      <w:pPr>
        <w:pStyle w:val="ListParagraph"/>
        <w:numPr>
          <w:ilvl w:val="0"/>
          <w:numId w:val="2"/>
        </w:numPr>
        <w:spacing w:after="80"/>
      </w:pPr>
      <w:r>
        <w:t xml:space="preserve">At soft-tissue pogonion, the two methods were equally accurate (4.90 vs 4.89 mm), and both showed the largest and most variable errors.</w:t>
      </w:r>
    </w:p>
    <w:p>
      <w:pPr>
        <w:pStyle w:val="ListParagraph"/>
        <w:numPr>
          <w:ilvl w:val="0"/>
          <w:numId w:val="2"/>
        </w:numPr>
        <w:spacing w:after="80"/>
      </w:pPr>
      <w:r>
        <w:t xml:space="preserve">The 2D and 3D errors were significantly correlated only at the lower lip.</w:t>
      </w:r>
    </w:p>
    <w:p>
      <w:pPr>
        <w:pStyle w:val="ListParagraph"/>
        <w:numPr>
          <w:ilvl w:val="0"/>
          <w:numId w:val="2"/>
        </w:numPr>
        <w:spacing w:after="80"/>
      </w:pPr>
      <w:r>
        <w:t xml:space="preserve">60% of 3D predictions versus 20% of 2D predictions were within the clinically acceptable limit of 2 mm.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line="276"/>
      <w:jc w:val="center"/>
    </w:pPr>
    <w:rPr>
      <w:rFonts w:ascii="Times New Roman" w:cs="Times New Roman" w:eastAsia="Times New Roman" w:hAnsi="Times New Roman"/>
      <w:b/>
      <w:bCs/>
      <w:sz w:val="30"/>
      <w:szCs w:val="3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7d76bc6de68fd6814e7a2a80e5889ce7756a6c.png"/><Relationship Id="rId8" Type="http://schemas.openxmlformats.org/officeDocument/2006/relationships/image" Target="media/a26591e3438104a22c76b6351b3460fadf9404b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methodology and results</dc:title>
  <dc:creator>Statistical analysis</dc:creator>
  <cp:lastModifiedBy>Un-named</cp:lastModifiedBy>
  <cp:revision>1</cp:revision>
  <dcterms:created xsi:type="dcterms:W3CDTF">2026-10-26T05:16:58.056Z</dcterms:created>
  <dcterms:modified xsi:type="dcterms:W3CDTF">2026-10-26T05:16:58.057Z</dcterms:modified>
</cp:coreProperties>
</file>

<file path=docProps/custom.xml><?xml version="1.0" encoding="utf-8"?>
<Properties xmlns="http://schemas.openxmlformats.org/officeDocument/2006/custom-properties" xmlns:vt="http://schemas.openxmlformats.org/officeDocument/2006/docPropsVTypes"/>
</file>