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0"/>
          <w:szCs w:val="30"/>
        </w:rPr>
        <w:t xml:space="preserve">Revision notes: Table 9, manuscript text and Figures 2–5</w:t>
      </w:r>
    </w:p>
    <w:p>
      <w:pPr>
        <w:spacing w:after="240"/>
      </w:pPr>
      <w:r>
        <w:rPr>
          <w:i/>
          <w:iCs/>
        </w:rPr>
        <w:t xml:space="preserve">Evaluation of Bone Fenestration, Dehiscence, and Maxillary Sinus Proximity in Maxillary Posterior Teeth: A CBCT Study on a Malaysian Subpopulation</w:t>
      </w:r>
    </w:p>
    <w:p>
      <w:pPr>
        <w:pStyle w:val="Heading1"/>
        <w:spacing w:after="140" w:before="280"/>
      </w:pPr>
      <w:r>
        <w:t xml:space="preserve">1. Summary</w:t>
      </w:r>
    </w:p>
    <w:p>
      <w:pPr>
        <w:pStyle w:val="ListParagraph"/>
        <w:numPr>
          <w:ilvl w:val="0"/>
          <w:numId w:val="2"/>
        </w:numPr>
        <w:spacing w:after="80"/>
      </w:pPr>
      <w:r>
        <w:rPr>
          <w:b/>
          <w:bCs/>
        </w:rPr>
        <w:t xml:space="preserve">Table 9 total row: </w:t>
      </w:r>
      <w:r>
        <w:t xml:space="preserve">χ²(6) = 10.76, p = 0.096 (Pearson chi-square, computed from the Table 9 counts; all expected counts ≥ 5). The pooled association between ethnicity and vertical sinus relationship is not significant.</w:t>
      </w:r>
    </w:p>
    <w:p>
      <w:pPr>
        <w:pStyle w:val="ListParagraph"/>
        <w:numPr>
          <w:ilvl w:val="0"/>
          <w:numId w:val="2"/>
        </w:numPr>
        <w:spacing w:after="80"/>
      </w:pPr>
      <w:r>
        <w:rPr>
          <w:b/>
          <w:bCs/>
        </w:rPr>
        <w:t xml:space="preserve">Discussion p-value: </w:t>
      </w:r>
      <w:r>
        <w:t xml:space="preserve">χ²(6) = 18.94, p = 0.004 cannot be reproduced from any version of the counts. It came from an earlier, error-flagged ethnicity table in the statistics workbook and should be replaced (change 3).</w:t>
      </w:r>
    </w:p>
    <w:p>
      <w:pPr>
        <w:pStyle w:val="ListParagraph"/>
        <w:numPr>
          <w:ilvl w:val="0"/>
          <w:numId w:val="2"/>
        </w:numPr>
        <w:spacing w:after="80"/>
      </w:pPr>
      <w:r>
        <w:rPr>
          <w:b/>
          <w:bCs/>
        </w:rPr>
        <w:t xml:space="preserve">Table 9 corrections: </w:t>
      </w:r>
      <w:r>
        <w:t xml:space="preserve">one superscript letter (second molars, Chinese, Type 0: b → a, as in the SPSS output) and two typos.</w:t>
      </w:r>
    </w:p>
    <w:p>
      <w:pPr>
        <w:pStyle w:val="ListParagraph"/>
        <w:numPr>
          <w:ilvl w:val="0"/>
          <w:numId w:val="2"/>
        </w:numPr>
        <w:spacing w:after="80"/>
      </w:pPr>
      <w:r>
        <w:rPr>
          <w:b/>
          <w:bCs/>
        </w:rPr>
        <w:t xml:space="preserve">Figures 2–5: </w:t>
      </w:r>
      <w:r>
        <w:t xml:space="preserve">drawn from the published tables only; no raw data were used. Files are supplied as 600 dpi TIFF and PNG and as vector PDF.</w:t>
      </w:r>
    </w:p>
    <w:p>
      <w:pPr>
        <w:pStyle w:val="ListParagraph"/>
        <w:numPr>
          <w:ilvl w:val="0"/>
          <w:numId w:val="2"/>
        </w:numPr>
        <w:spacing w:after="80"/>
      </w:pPr>
      <w:r>
        <w:rPr>
          <w:b/>
          <w:bCs/>
        </w:rPr>
        <w:t xml:space="preserve">Checks: </w:t>
      </w:r>
      <w:r>
        <w:t xml:space="preserve">the four tooth-group p-values in Table 9 were re-computed with the Fisher–Freeman–Halton exact test (Monte Carlo, 100,000 samples) and agree with the reported values: 0.365, 0.019, 0.028, 0.032 vs 0.366, 0.019, 0.027, 0.032.</w:t>
      </w:r>
    </w:p>
    <w:p>
      <w:pPr>
        <w:pStyle w:val="Heading1"/>
        <w:pageBreakBefore/>
        <w:spacing w:after="140" w:before="280"/>
      </w:pPr>
      <w:r>
        <w:t xml:space="preserve">2. Revised Table 9</w:t>
      </w:r>
    </w:p>
    <w:p>
      <w:pPr>
        <w:keepNext/>
        <w:spacing w:after="120"/>
      </w:pPr>
      <w:r>
        <w:rPr>
          <w:b/>
          <w:bCs/>
        </w:rPr>
        <w:t xml:space="preserve">Table 9 </w:t>
      </w:r>
      <w:r>
        <w:t xml:space="preserve">Chi square analysis for ethnicity and vertical sinus relationship according to tooth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250"/>
        <w:gridCol w:w="1150"/>
        <w:gridCol w:w="1150"/>
        <w:gridCol w:w="1150"/>
        <w:gridCol w:w="900"/>
        <w:gridCol w:w="1160"/>
      </w:tblGrid>
      <w:tr>
        <w:trPr>
          <w:tblHeader/>
        </w:trPr>
        <w:tc>
          <w:tcPr>
            <w:tcW w:type="dxa" w:w="1500"/>
            <w:gridSpan w:val="1"/>
            <w:vMerge w:val="restart"/>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spacing w:after="0" w:line="240" w:lineRule="auto"/>
              <w:jc w:val="left"/>
            </w:pPr>
            <w:r>
              <w:rPr>
                <w:b/>
                <w:bCs/>
                <w:sz w:val="20"/>
                <w:szCs w:val="20"/>
              </w:rPr>
              <w:t xml:space="preserve">Tooth group</w:t>
            </w:r>
          </w:p>
        </w:tc>
        <w:tc>
          <w:tcPr>
            <w:tcW w:type="dxa" w:w="1100"/>
            <w:gridSpan w:val="1"/>
            <w:vMerge w:val="restart"/>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spacing w:after="0" w:line="240" w:lineRule="auto"/>
              <w:jc w:val="left"/>
            </w:pPr>
            <w:r>
              <w:rPr>
                <w:b/>
                <w:bCs/>
                <w:sz w:val="20"/>
                <w:szCs w:val="20"/>
              </w:rPr>
              <w:t xml:space="preserve">Ethnicity</w:t>
            </w:r>
          </w:p>
        </w:tc>
        <w:tc>
          <w:tcPr>
            <w:tcW w:type="dxa" w:w="4700"/>
            <w:gridSpan w:val="4"/>
            <w:tcBorders>
              <w:top w:val="single" w:color="000000" w:sz="12"/>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b/>
                <w:bCs/>
                <w:sz w:val="20"/>
                <w:szCs w:val="20"/>
              </w:rPr>
              <w:t xml:space="preserve">Vertical sinus relationship, N (%)</w:t>
            </w:r>
          </w:p>
        </w:tc>
        <w:tc>
          <w:tcPr>
            <w:tcW w:type="dxa" w:w="900"/>
            <w:gridSpan w:val="1"/>
            <w:vMerge w:val="restart"/>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spacing w:after="0" w:line="240" w:lineRule="auto"/>
              <w:jc w:val="center"/>
            </w:pPr>
            <w:r>
              <w:rPr>
                <w:b/>
                <w:bCs/>
                <w:sz w:val="20"/>
                <w:szCs w:val="20"/>
              </w:rPr>
              <w:t xml:space="preserve">Total</w:t>
            </w:r>
          </w:p>
        </w:tc>
        <w:tc>
          <w:tcPr>
            <w:tcW w:type="dxa" w:w="1160"/>
            <w:gridSpan w:val="1"/>
            <w:vMerge w:val="restart"/>
            <w:tcBorders>
              <w:top w:val="single" w:color="000000" w:sz="12"/>
              <w:left w:val="none" w:color="FFFFFF" w:sz="0"/>
              <w:bottom w:val="single" w:color="000000" w:sz="6"/>
              <w:right w:val="none" w:color="FFFFFF" w:sz="0"/>
            </w:tcBorders>
            <w:tcMar>
              <w:top w:type="dxa" w:w="50"/>
              <w:left w:type="dxa" w:w="70"/>
              <w:bottom w:type="dxa" w:w="50"/>
              <w:right w:type="dxa" w:w="70"/>
            </w:tcMar>
            <w:vAlign w:val="center"/>
          </w:tcPr>
          <w:p>
            <w:pPr>
              <w:spacing w:after="0" w:line="240" w:lineRule="auto"/>
              <w:jc w:val="center"/>
            </w:pPr>
            <w:r>
              <w:rPr>
                <w:b/>
                <w:bCs/>
                <w:sz w:val="20"/>
                <w:szCs w:val="20"/>
              </w:rPr>
              <w:t xml:space="preserve">p-value</w:t>
            </w:r>
          </w:p>
        </w:tc>
      </w:tr>
      <w:tr>
        <w:trPr>
          <w:tblHeader/>
        </w:trPr>
        <w:tc>
          <w:tcPr>
            <w:gridSpan w:val="1"/>
            <w:vMerge w:val="continue"/>
            <w:tcBorders>
              <w:top w:val="single" w:color="000000" w:sz="12"/>
              <w:left w:val="none" w:color="FFFFFF" w:sz="0"/>
              <w:bottom w:val="single" w:color="000000" w:sz="6"/>
              <w:right w:val="none" w:color="FFFFFF" w:sz="0"/>
            </w:tcBorders>
          </w:tcPr>
          <w:p/>
        </w:tc>
        <w:tc>
          <w:tcPr>
            <w:gridSpan w:val="1"/>
            <w:vMerge w:val="continue"/>
            <w:tcBorders>
              <w:top w:val="single" w:color="000000" w:sz="12"/>
              <w:left w:val="none" w:color="FFFFFF" w:sz="0"/>
              <w:bottom w:val="single" w:color="000000" w:sz="6"/>
              <w:right w:val="none" w:color="FFFFFF" w:sz="0"/>
            </w:tcBorders>
          </w:tcPr>
          <w:p/>
        </w:tc>
        <w:tc>
          <w:tcPr>
            <w:tcW w:type="dxa" w:w="1250"/>
            <w:gridSpan w:val="1"/>
            <w:tcBorders>
              <w:top w:val="none" w:color="FFFFFF" w:sz="0"/>
              <w:left w:val="none" w:color="FFFFFF" w:sz="0"/>
              <w:bottom w:val="single" w:color="000000" w:sz="6"/>
              <w:right w:val="none" w:color="FFFFFF" w:sz="0"/>
            </w:tcBorders>
            <w:tcMar>
              <w:top w:type="dxa" w:w="50"/>
              <w:left w:type="dxa" w:w="70"/>
              <w:bottom w:type="dxa" w:w="50"/>
              <w:right w:type="dxa" w:w="70"/>
            </w:tcMar>
            <w:vAlign w:val="center"/>
          </w:tcPr>
          <w:p>
            <w:pPr>
              <w:spacing w:after="0" w:line="240" w:lineRule="auto"/>
              <w:jc w:val="center"/>
            </w:pPr>
            <w:r>
              <w:rPr>
                <w:b/>
                <w:bCs/>
                <w:sz w:val="20"/>
                <w:szCs w:val="20"/>
              </w:rPr>
              <w:t xml:space="preserve">Type 0</w:t>
            </w:r>
          </w:p>
        </w:tc>
        <w:tc>
          <w:tcPr>
            <w:tcW w:type="dxa" w:w="1150"/>
            <w:gridSpan w:val="1"/>
            <w:tcBorders>
              <w:top w:val="none" w:color="FFFFFF" w:sz="0"/>
              <w:left w:val="none" w:color="FFFFFF" w:sz="0"/>
              <w:bottom w:val="single" w:color="000000" w:sz="6"/>
              <w:right w:val="none" w:color="FFFFFF" w:sz="0"/>
            </w:tcBorders>
            <w:tcMar>
              <w:top w:type="dxa" w:w="50"/>
              <w:left w:type="dxa" w:w="70"/>
              <w:bottom w:type="dxa" w:w="50"/>
              <w:right w:type="dxa" w:w="70"/>
            </w:tcMar>
            <w:vAlign w:val="center"/>
          </w:tcPr>
          <w:p>
            <w:pPr>
              <w:spacing w:after="0" w:line="240" w:lineRule="auto"/>
              <w:jc w:val="center"/>
            </w:pPr>
            <w:r>
              <w:rPr>
                <w:b/>
                <w:bCs/>
                <w:sz w:val="20"/>
                <w:szCs w:val="20"/>
              </w:rPr>
              <w:t xml:space="preserve">Type 1</w:t>
            </w:r>
          </w:p>
        </w:tc>
        <w:tc>
          <w:tcPr>
            <w:tcW w:type="dxa" w:w="1150"/>
            <w:gridSpan w:val="1"/>
            <w:tcBorders>
              <w:top w:val="none" w:color="FFFFFF" w:sz="0"/>
              <w:left w:val="none" w:color="FFFFFF" w:sz="0"/>
              <w:bottom w:val="single" w:color="000000" w:sz="6"/>
              <w:right w:val="none" w:color="FFFFFF" w:sz="0"/>
            </w:tcBorders>
            <w:tcMar>
              <w:top w:type="dxa" w:w="50"/>
              <w:left w:type="dxa" w:w="70"/>
              <w:bottom w:type="dxa" w:w="50"/>
              <w:right w:type="dxa" w:w="70"/>
            </w:tcMar>
            <w:vAlign w:val="center"/>
          </w:tcPr>
          <w:p>
            <w:pPr>
              <w:spacing w:after="0" w:line="240" w:lineRule="auto"/>
              <w:jc w:val="center"/>
            </w:pPr>
            <w:r>
              <w:rPr>
                <w:b/>
                <w:bCs/>
                <w:sz w:val="20"/>
                <w:szCs w:val="20"/>
              </w:rPr>
              <w:t xml:space="preserve">Type 2</w:t>
            </w:r>
          </w:p>
        </w:tc>
        <w:tc>
          <w:tcPr>
            <w:tcW w:type="dxa" w:w="1150"/>
            <w:gridSpan w:val="1"/>
            <w:tcBorders>
              <w:top w:val="none" w:color="FFFFFF" w:sz="0"/>
              <w:left w:val="none" w:color="FFFFFF" w:sz="0"/>
              <w:bottom w:val="single" w:color="000000" w:sz="6"/>
              <w:right w:val="none" w:color="FFFFFF" w:sz="0"/>
            </w:tcBorders>
            <w:tcMar>
              <w:top w:type="dxa" w:w="50"/>
              <w:left w:type="dxa" w:w="70"/>
              <w:bottom w:type="dxa" w:w="50"/>
              <w:right w:type="dxa" w:w="70"/>
            </w:tcMar>
            <w:vAlign w:val="center"/>
          </w:tcPr>
          <w:p>
            <w:pPr>
              <w:spacing w:after="0" w:line="240" w:lineRule="auto"/>
              <w:jc w:val="center"/>
            </w:pPr>
            <w:r>
              <w:rPr>
                <w:b/>
                <w:bCs/>
                <w:sz w:val="20"/>
                <w:szCs w:val="20"/>
              </w:rPr>
              <w:t xml:space="preserve">Type 3</w:t>
            </w:r>
          </w:p>
        </w:tc>
        <w:tc>
          <w:tcPr>
            <w:gridSpan w:val="1"/>
            <w:vMerge w:val="continue"/>
            <w:tcBorders>
              <w:top w:val="single" w:color="000000" w:sz="12"/>
              <w:left w:val="none" w:color="FFFFFF" w:sz="0"/>
              <w:bottom w:val="single" w:color="000000" w:sz="6"/>
              <w:right w:val="none" w:color="FFFFFF" w:sz="0"/>
            </w:tcBorders>
          </w:tcPr>
          <w:p/>
        </w:tc>
        <w:tc>
          <w:tcPr>
            <w:gridSpan w:val="1"/>
            <w:vMerge w:val="continue"/>
            <w:tcBorders>
              <w:top w:val="single" w:color="000000" w:sz="12"/>
              <w:left w:val="none" w:color="FFFFFF" w:sz="0"/>
              <w:bottom w:val="single" w:color="000000" w:sz="6"/>
              <w:right w:val="none" w:color="FFFFFF" w:sz="0"/>
            </w:tcBorders>
          </w:tcPr>
          <w:p/>
        </w:tc>
      </w:tr>
      <w:tr>
        <w:trPr>
          <w:cantSplit/>
        </w:trPr>
        <w:tc>
          <w:tcPr>
            <w:tcW w:type="dxa" w:w="1500"/>
            <w:gridSpan w:val="1"/>
            <w:vMerge w:val="restart"/>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First premolars</w:t>
            </w:r>
          </w:p>
        </w:tc>
        <w:tc>
          <w:tcPr>
            <w:tcW w:type="dxa" w:w="11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Malay</w:t>
            </w:r>
          </w:p>
        </w:tc>
        <w:tc>
          <w:tcPr>
            <w:tcW w:type="dxa" w:w="12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84</w:t>
            </w:r>
            <w:r>
              <w:rPr>
                <w:sz w:val="20"/>
                <w:szCs w:val="20"/>
                <w:vertAlign w:val="superscript"/>
              </w:rPr>
              <w:t xml:space="preserve">a</w:t>
            </w:r>
            <w:r>
              <w:rPr>
                <w:sz w:val="20"/>
                <w:szCs w:val="20"/>
              </w:rPr>
              <w:t xml:space="preserve"> (76.4)</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12</w:t>
            </w:r>
            <w:r>
              <w:rPr>
                <w:sz w:val="20"/>
                <w:szCs w:val="20"/>
                <w:vertAlign w:val="superscript"/>
              </w:rPr>
              <w:t xml:space="preserve">a</w:t>
            </w:r>
            <w:r>
              <w:rPr>
                <w:sz w:val="20"/>
                <w:szCs w:val="20"/>
              </w:rPr>
              <w:t xml:space="preserve"> (10.9)</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12</w:t>
            </w:r>
            <w:r>
              <w:rPr>
                <w:sz w:val="20"/>
                <w:szCs w:val="20"/>
                <w:vertAlign w:val="superscript"/>
              </w:rPr>
              <w:t xml:space="preserve">a</w:t>
            </w:r>
            <w:r>
              <w:rPr>
                <w:sz w:val="20"/>
                <w:szCs w:val="20"/>
              </w:rPr>
              <w:t xml:space="preserve"> (10.9)</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2</w:t>
            </w:r>
            <w:r>
              <w:rPr>
                <w:sz w:val="20"/>
                <w:szCs w:val="20"/>
                <w:vertAlign w:val="superscript"/>
              </w:rPr>
              <w:t xml:space="preserve">a</w:t>
            </w:r>
            <w:r>
              <w:rPr>
                <w:sz w:val="20"/>
                <w:szCs w:val="20"/>
              </w:rPr>
              <w:t xml:space="preserve"> (1.8)</w:t>
            </w:r>
          </w:p>
        </w:tc>
        <w:tc>
          <w:tcPr>
            <w:tcW w:type="dxa" w:w="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110</w:t>
            </w:r>
          </w:p>
        </w:tc>
        <w:tc>
          <w:tcPr>
            <w:tcW w:type="dxa" w:w="1160"/>
            <w:gridSpan w:val="1"/>
            <w:vMerge w:val="restart"/>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0.366</w:t>
            </w:r>
          </w:p>
        </w:tc>
      </w:tr>
      <w:tr>
        <w:trPr>
          <w:cantSplit/>
        </w:trPr>
        <w:tc>
          <w:tcPr>
            <w:gridSpan w:val="1"/>
            <w:vMerge w:val="continue"/>
            <w:tcBorders>
              <w:top w:val="none" w:color="FFFFFF" w:sz="0"/>
              <w:left w:val="none" w:color="FFFFFF" w:sz="0"/>
              <w:bottom w:val="none" w:color="FFFFFF" w:sz="0"/>
              <w:right w:val="none" w:color="FFFFFF" w:sz="0"/>
            </w:tcBorders>
          </w:tcPr>
          <w:p/>
        </w:tc>
        <w:tc>
          <w:tcPr>
            <w:tcW w:type="dxa" w:w="11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Chinese</w:t>
            </w:r>
          </w:p>
        </w:tc>
        <w:tc>
          <w:tcPr>
            <w:tcW w:type="dxa" w:w="1250"/>
            <w:gridSpan w:val="1"/>
            <w:tcBorders>
              <w:top w:val="none" w:color="FFFFFF" w:sz="0"/>
              <w:left w:val="none" w:color="FFFFFF" w:sz="0"/>
              <w:bottom w:val="none" w:color="FFFFFF" w:sz="0"/>
              <w:right w:val="none" w:color="FFFFFF" w:sz="0"/>
            </w:tcBorders>
            <w:shd w:fill="FFF2CC" w:color="auto" w:val="clear"/>
            <w:tcMar>
              <w:top w:type="dxa" w:w="50"/>
              <w:left w:type="dxa" w:w="70"/>
              <w:bottom w:type="dxa" w:w="50"/>
              <w:right w:type="dxa" w:w="70"/>
            </w:tcMar>
            <w:vAlign w:val="center"/>
          </w:tcPr>
          <w:p>
            <w:pPr>
              <w:spacing w:after="0" w:line="240" w:lineRule="auto"/>
              <w:jc w:val="center"/>
            </w:pPr>
            <w:r>
              <w:rPr>
                <w:sz w:val="20"/>
                <w:szCs w:val="20"/>
              </w:rPr>
              <w:t xml:space="preserve">93</w:t>
            </w:r>
            <w:r>
              <w:rPr>
                <w:sz w:val="20"/>
                <w:szCs w:val="20"/>
                <w:vertAlign w:val="superscript"/>
              </w:rPr>
              <w:t xml:space="preserve">a</w:t>
            </w:r>
            <w:r>
              <w:rPr>
                <w:sz w:val="20"/>
                <w:szCs w:val="20"/>
              </w:rPr>
              <w:t xml:space="preserve"> (81.6)</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9</w:t>
            </w:r>
            <w:r>
              <w:rPr>
                <w:sz w:val="20"/>
                <w:szCs w:val="20"/>
                <w:vertAlign w:val="superscript"/>
              </w:rPr>
              <w:t xml:space="preserve">a</w:t>
            </w:r>
            <w:r>
              <w:rPr>
                <w:sz w:val="20"/>
                <w:szCs w:val="20"/>
              </w:rPr>
              <w:t xml:space="preserve"> (7.9)</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8</w:t>
            </w:r>
            <w:r>
              <w:rPr>
                <w:sz w:val="20"/>
                <w:szCs w:val="20"/>
                <w:vertAlign w:val="superscript"/>
              </w:rPr>
              <w:t xml:space="preserve">a</w:t>
            </w:r>
            <w:r>
              <w:rPr>
                <w:sz w:val="20"/>
                <w:szCs w:val="20"/>
              </w:rPr>
              <w:t xml:space="preserve"> (7.0)</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4</w:t>
            </w:r>
            <w:r>
              <w:rPr>
                <w:sz w:val="20"/>
                <w:szCs w:val="20"/>
                <w:vertAlign w:val="superscript"/>
              </w:rPr>
              <w:t xml:space="preserve">a</w:t>
            </w:r>
            <w:r>
              <w:rPr>
                <w:sz w:val="20"/>
                <w:szCs w:val="20"/>
              </w:rPr>
              <w:t xml:space="preserve"> (3.5)</w:t>
            </w:r>
          </w:p>
        </w:tc>
        <w:tc>
          <w:tcPr>
            <w:tcW w:type="dxa" w:w="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114</w:t>
            </w:r>
          </w:p>
        </w:tc>
        <w:tc>
          <w:tcPr>
            <w:gridSpan w:val="1"/>
            <w:vMerge w:val="continue"/>
            <w:tcBorders>
              <w:top w:val="none" w:color="FFFFFF" w:sz="0"/>
              <w:left w:val="none" w:color="FFFFFF" w:sz="0"/>
              <w:bottom w:val="none" w:color="FFFFFF" w:sz="0"/>
              <w:right w:val="none" w:color="FFFFFF" w:sz="0"/>
            </w:tcBorders>
          </w:tcPr>
          <w:p/>
        </w:tc>
      </w:tr>
      <w:tr>
        <w:trPr>
          <w:cantSplit/>
        </w:trPr>
        <w:tc>
          <w:tcPr>
            <w:gridSpan w:val="1"/>
            <w:vMerge w:val="continue"/>
            <w:tcBorders>
              <w:top w:val="none" w:color="FFFFFF" w:sz="0"/>
              <w:left w:val="none" w:color="FFFFFF" w:sz="0"/>
              <w:bottom w:val="none" w:color="FFFFFF" w:sz="0"/>
              <w:right w:val="none" w:color="FFFFFF" w:sz="0"/>
            </w:tcBorders>
          </w:tcPr>
          <w:p/>
        </w:tc>
        <w:tc>
          <w:tcPr>
            <w:tcW w:type="dxa" w:w="11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Indian</w:t>
            </w:r>
          </w:p>
        </w:tc>
        <w:tc>
          <w:tcPr>
            <w:tcW w:type="dxa" w:w="12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17</w:t>
            </w:r>
            <w:r>
              <w:rPr>
                <w:sz w:val="20"/>
                <w:szCs w:val="20"/>
                <w:vertAlign w:val="superscript"/>
              </w:rPr>
              <w:t xml:space="preserve">a</w:t>
            </w:r>
            <w:r>
              <w:rPr>
                <w:sz w:val="20"/>
                <w:szCs w:val="20"/>
              </w:rPr>
              <w:t xml:space="preserve"> (94.4)</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0</w:t>
            </w:r>
            <w:r>
              <w:rPr>
                <w:sz w:val="20"/>
                <w:szCs w:val="20"/>
                <w:vertAlign w:val="superscript"/>
              </w:rPr>
              <w:t xml:space="preserve">a</w:t>
            </w:r>
            <w:r>
              <w:rPr>
                <w:sz w:val="20"/>
                <w:szCs w:val="20"/>
              </w:rPr>
              <w:t xml:space="preserve"> (0.0)</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0</w:t>
            </w:r>
            <w:r>
              <w:rPr>
                <w:sz w:val="20"/>
                <w:szCs w:val="20"/>
                <w:vertAlign w:val="superscript"/>
              </w:rPr>
              <w:t xml:space="preserve">a</w:t>
            </w:r>
            <w:r>
              <w:rPr>
                <w:sz w:val="20"/>
                <w:szCs w:val="20"/>
              </w:rPr>
              <w:t xml:space="preserve"> (0.0)</w:t>
            </w:r>
          </w:p>
        </w:tc>
        <w:tc>
          <w:tcPr>
            <w:tcW w:type="dxa" w:w="1150"/>
            <w:gridSpan w:val="1"/>
            <w:tcBorders>
              <w:top w:val="none" w:color="FFFFFF" w:sz="0"/>
              <w:left w:val="none" w:color="FFFFFF" w:sz="0"/>
              <w:bottom w:val="none" w:color="FFFFFF" w:sz="0"/>
              <w:right w:val="none" w:color="FFFFFF" w:sz="0"/>
            </w:tcBorders>
            <w:shd w:fill="FFF2CC" w:color="auto" w:val="clear"/>
            <w:tcMar>
              <w:top w:type="dxa" w:w="50"/>
              <w:left w:type="dxa" w:w="70"/>
              <w:bottom w:type="dxa" w:w="50"/>
              <w:right w:type="dxa" w:w="70"/>
            </w:tcMar>
            <w:vAlign w:val="center"/>
          </w:tcPr>
          <w:p>
            <w:pPr>
              <w:spacing w:after="0" w:line="240" w:lineRule="auto"/>
              <w:jc w:val="center"/>
            </w:pPr>
            <w:r>
              <w:rPr>
                <w:sz w:val="20"/>
                <w:szCs w:val="20"/>
              </w:rPr>
              <w:t xml:space="preserve">1</w:t>
            </w:r>
            <w:r>
              <w:rPr>
                <w:sz w:val="20"/>
                <w:szCs w:val="20"/>
                <w:vertAlign w:val="superscript"/>
              </w:rPr>
              <w:t xml:space="preserve">a</w:t>
            </w:r>
            <w:r>
              <w:rPr>
                <w:sz w:val="20"/>
                <w:szCs w:val="20"/>
              </w:rPr>
              <w:t xml:space="preserve"> (5.6)</w:t>
            </w:r>
          </w:p>
        </w:tc>
        <w:tc>
          <w:tcPr>
            <w:tcW w:type="dxa" w:w="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18</w:t>
            </w:r>
          </w:p>
        </w:tc>
        <w:tc>
          <w:tcPr>
            <w:gridSpan w:val="1"/>
            <w:vMerge w:val="continue"/>
            <w:tcBorders>
              <w:top w:val="none" w:color="FFFFFF" w:sz="0"/>
              <w:left w:val="none" w:color="FFFFFF" w:sz="0"/>
              <w:bottom w:val="none" w:color="FFFFFF" w:sz="0"/>
              <w:right w:val="none" w:color="FFFFFF" w:sz="0"/>
            </w:tcBorders>
          </w:tcPr>
          <w:p/>
        </w:tc>
      </w:tr>
      <w:tr>
        <w:trPr>
          <w:cantSplit/>
        </w:trPr>
        <w:tc>
          <w:tcPr>
            <w:tcW w:type="dxa" w:w="1500"/>
            <w:gridSpan w:val="1"/>
            <w:vMerge w:val="restart"/>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Second premolars</w:t>
            </w:r>
          </w:p>
        </w:tc>
        <w:tc>
          <w:tcPr>
            <w:tcW w:type="dxa" w:w="11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Malay</w:t>
            </w:r>
          </w:p>
        </w:tc>
        <w:tc>
          <w:tcPr>
            <w:tcW w:type="dxa" w:w="12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18</w:t>
            </w:r>
            <w:r>
              <w:rPr>
                <w:sz w:val="20"/>
                <w:szCs w:val="20"/>
                <w:vertAlign w:val="superscript"/>
              </w:rPr>
              <w:t xml:space="preserve">a</w:t>
            </w:r>
            <w:r>
              <w:rPr>
                <w:sz w:val="20"/>
                <w:szCs w:val="20"/>
              </w:rPr>
              <w:t xml:space="preserve"> (26.9)</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20</w:t>
            </w:r>
            <w:r>
              <w:rPr>
                <w:sz w:val="20"/>
                <w:szCs w:val="20"/>
                <w:vertAlign w:val="superscript"/>
              </w:rPr>
              <w:t xml:space="preserve">a</w:t>
            </w:r>
            <w:r>
              <w:rPr>
                <w:sz w:val="20"/>
                <w:szCs w:val="20"/>
              </w:rPr>
              <w:t xml:space="preserve"> (29.9)</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14</w:t>
            </w:r>
            <w:r>
              <w:rPr>
                <w:sz w:val="20"/>
                <w:szCs w:val="20"/>
                <w:vertAlign w:val="superscript"/>
              </w:rPr>
              <w:t xml:space="preserve">a</w:t>
            </w:r>
            <w:r>
              <w:rPr>
                <w:sz w:val="20"/>
                <w:szCs w:val="20"/>
              </w:rPr>
              <w:t xml:space="preserve"> (20.9)</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15</w:t>
            </w:r>
            <w:r>
              <w:rPr>
                <w:sz w:val="20"/>
                <w:szCs w:val="20"/>
                <w:vertAlign w:val="superscript"/>
              </w:rPr>
              <w:t xml:space="preserve">a</w:t>
            </w:r>
            <w:r>
              <w:rPr>
                <w:sz w:val="20"/>
                <w:szCs w:val="20"/>
              </w:rPr>
              <w:t xml:space="preserve"> (22.4)</w:t>
            </w:r>
          </w:p>
        </w:tc>
        <w:tc>
          <w:tcPr>
            <w:tcW w:type="dxa" w:w="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67</w:t>
            </w:r>
          </w:p>
        </w:tc>
        <w:tc>
          <w:tcPr>
            <w:tcW w:type="dxa" w:w="1160"/>
            <w:gridSpan w:val="1"/>
            <w:vMerge w:val="restart"/>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0.019</w:t>
            </w:r>
          </w:p>
        </w:tc>
      </w:tr>
      <w:tr>
        <w:trPr>
          <w:cantSplit/>
        </w:trPr>
        <w:tc>
          <w:tcPr>
            <w:gridSpan w:val="1"/>
            <w:vMerge w:val="continue"/>
            <w:tcBorders>
              <w:top w:val="none" w:color="FFFFFF" w:sz="0"/>
              <w:left w:val="none" w:color="FFFFFF" w:sz="0"/>
              <w:bottom w:val="none" w:color="FFFFFF" w:sz="0"/>
              <w:right w:val="none" w:color="FFFFFF" w:sz="0"/>
            </w:tcBorders>
          </w:tcPr>
          <w:p/>
        </w:tc>
        <w:tc>
          <w:tcPr>
            <w:tcW w:type="dxa" w:w="11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Chinese</w:t>
            </w:r>
          </w:p>
        </w:tc>
        <w:tc>
          <w:tcPr>
            <w:tcW w:type="dxa" w:w="12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35</w:t>
            </w:r>
            <w:r>
              <w:rPr>
                <w:sz w:val="20"/>
                <w:szCs w:val="20"/>
                <w:vertAlign w:val="superscript"/>
              </w:rPr>
              <w:t xml:space="preserve">b</w:t>
            </w:r>
            <w:r>
              <w:rPr>
                <w:sz w:val="20"/>
                <w:szCs w:val="20"/>
              </w:rPr>
              <w:t xml:space="preserve"> (47.9)</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14</w:t>
            </w:r>
            <w:r>
              <w:rPr>
                <w:sz w:val="20"/>
                <w:szCs w:val="20"/>
                <w:vertAlign w:val="superscript"/>
              </w:rPr>
              <w:t xml:space="preserve">ab</w:t>
            </w:r>
            <w:r>
              <w:rPr>
                <w:sz w:val="20"/>
                <w:szCs w:val="20"/>
              </w:rPr>
              <w:t xml:space="preserve"> (19.2)</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17</w:t>
            </w:r>
            <w:r>
              <w:rPr>
                <w:sz w:val="20"/>
                <w:szCs w:val="20"/>
                <w:vertAlign w:val="superscript"/>
              </w:rPr>
              <w:t xml:space="preserve">a</w:t>
            </w:r>
            <w:r>
              <w:rPr>
                <w:sz w:val="20"/>
                <w:szCs w:val="20"/>
              </w:rPr>
              <w:t xml:space="preserve"> (23.3)</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7</w:t>
            </w:r>
            <w:r>
              <w:rPr>
                <w:sz w:val="20"/>
                <w:szCs w:val="20"/>
                <w:vertAlign w:val="superscript"/>
              </w:rPr>
              <w:t xml:space="preserve">b</w:t>
            </w:r>
            <w:r>
              <w:rPr>
                <w:sz w:val="20"/>
                <w:szCs w:val="20"/>
              </w:rPr>
              <w:t xml:space="preserve"> (9.6)</w:t>
            </w:r>
          </w:p>
        </w:tc>
        <w:tc>
          <w:tcPr>
            <w:tcW w:type="dxa" w:w="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73</w:t>
            </w:r>
          </w:p>
        </w:tc>
        <w:tc>
          <w:tcPr>
            <w:gridSpan w:val="1"/>
            <w:vMerge w:val="continue"/>
            <w:tcBorders>
              <w:top w:val="none" w:color="FFFFFF" w:sz="0"/>
              <w:left w:val="none" w:color="FFFFFF" w:sz="0"/>
              <w:bottom w:val="none" w:color="FFFFFF" w:sz="0"/>
              <w:right w:val="none" w:color="FFFFFF" w:sz="0"/>
            </w:tcBorders>
          </w:tcPr>
          <w:p/>
        </w:tc>
      </w:tr>
      <w:tr>
        <w:trPr>
          <w:cantSplit/>
        </w:trPr>
        <w:tc>
          <w:tcPr>
            <w:gridSpan w:val="1"/>
            <w:vMerge w:val="continue"/>
            <w:tcBorders>
              <w:top w:val="none" w:color="FFFFFF" w:sz="0"/>
              <w:left w:val="none" w:color="FFFFFF" w:sz="0"/>
              <w:bottom w:val="none" w:color="FFFFFF" w:sz="0"/>
              <w:right w:val="none" w:color="FFFFFF" w:sz="0"/>
            </w:tcBorders>
          </w:tcPr>
          <w:p/>
        </w:tc>
        <w:tc>
          <w:tcPr>
            <w:tcW w:type="dxa" w:w="11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Indian</w:t>
            </w:r>
          </w:p>
        </w:tc>
        <w:tc>
          <w:tcPr>
            <w:tcW w:type="dxa" w:w="12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6</w:t>
            </w:r>
            <w:r>
              <w:rPr>
                <w:sz w:val="20"/>
                <w:szCs w:val="20"/>
                <w:vertAlign w:val="superscript"/>
              </w:rPr>
              <w:t xml:space="preserve">ab</w:t>
            </w:r>
            <w:r>
              <w:rPr>
                <w:sz w:val="20"/>
                <w:szCs w:val="20"/>
              </w:rPr>
              <w:t xml:space="preserve"> (46.2)</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0</w:t>
            </w:r>
            <w:r>
              <w:rPr>
                <w:sz w:val="20"/>
                <w:szCs w:val="20"/>
                <w:vertAlign w:val="superscript"/>
              </w:rPr>
              <w:t xml:space="preserve">b</w:t>
            </w:r>
            <w:r>
              <w:rPr>
                <w:sz w:val="20"/>
                <w:szCs w:val="20"/>
              </w:rPr>
              <w:t xml:space="preserve"> (0.0)</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4</w:t>
            </w:r>
            <w:r>
              <w:rPr>
                <w:sz w:val="20"/>
                <w:szCs w:val="20"/>
                <w:vertAlign w:val="superscript"/>
              </w:rPr>
              <w:t xml:space="preserve">a</w:t>
            </w:r>
            <w:r>
              <w:rPr>
                <w:sz w:val="20"/>
                <w:szCs w:val="20"/>
              </w:rPr>
              <w:t xml:space="preserve"> (30.8)</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3</w:t>
            </w:r>
            <w:r>
              <w:rPr>
                <w:sz w:val="20"/>
                <w:szCs w:val="20"/>
                <w:vertAlign w:val="superscript"/>
              </w:rPr>
              <w:t xml:space="preserve">ab</w:t>
            </w:r>
            <w:r>
              <w:rPr>
                <w:sz w:val="20"/>
                <w:szCs w:val="20"/>
              </w:rPr>
              <w:t xml:space="preserve"> (23.1)</w:t>
            </w:r>
          </w:p>
        </w:tc>
        <w:tc>
          <w:tcPr>
            <w:tcW w:type="dxa" w:w="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13</w:t>
            </w:r>
          </w:p>
        </w:tc>
        <w:tc>
          <w:tcPr>
            <w:gridSpan w:val="1"/>
            <w:vMerge w:val="continue"/>
            <w:tcBorders>
              <w:top w:val="none" w:color="FFFFFF" w:sz="0"/>
              <w:left w:val="none" w:color="FFFFFF" w:sz="0"/>
              <w:bottom w:val="none" w:color="FFFFFF" w:sz="0"/>
              <w:right w:val="none" w:color="FFFFFF" w:sz="0"/>
            </w:tcBorders>
          </w:tcPr>
          <w:p/>
        </w:tc>
      </w:tr>
      <w:tr>
        <w:trPr>
          <w:cantSplit/>
        </w:trPr>
        <w:tc>
          <w:tcPr>
            <w:tcW w:type="dxa" w:w="1500"/>
            <w:gridSpan w:val="1"/>
            <w:vMerge w:val="restart"/>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First molars</w:t>
            </w:r>
          </w:p>
        </w:tc>
        <w:tc>
          <w:tcPr>
            <w:tcW w:type="dxa" w:w="11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Malay</w:t>
            </w:r>
          </w:p>
        </w:tc>
        <w:tc>
          <w:tcPr>
            <w:tcW w:type="dxa" w:w="12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22</w:t>
            </w:r>
            <w:r>
              <w:rPr>
                <w:sz w:val="20"/>
                <w:szCs w:val="20"/>
                <w:vertAlign w:val="superscript"/>
              </w:rPr>
              <w:t xml:space="preserve">ab</w:t>
            </w:r>
            <w:r>
              <w:rPr>
                <w:sz w:val="20"/>
                <w:szCs w:val="20"/>
              </w:rPr>
              <w:t xml:space="preserve"> (22.0)</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22</w:t>
            </w:r>
            <w:r>
              <w:rPr>
                <w:sz w:val="20"/>
                <w:szCs w:val="20"/>
                <w:vertAlign w:val="superscript"/>
              </w:rPr>
              <w:t xml:space="preserve">a</w:t>
            </w:r>
            <w:r>
              <w:rPr>
                <w:sz w:val="20"/>
                <w:szCs w:val="20"/>
              </w:rPr>
              <w:t xml:space="preserve"> (22.0)</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21</w:t>
            </w:r>
            <w:r>
              <w:rPr>
                <w:sz w:val="20"/>
                <w:szCs w:val="20"/>
                <w:vertAlign w:val="superscript"/>
              </w:rPr>
              <w:t xml:space="preserve">a</w:t>
            </w:r>
            <w:r>
              <w:rPr>
                <w:sz w:val="20"/>
                <w:szCs w:val="20"/>
              </w:rPr>
              <w:t xml:space="preserve"> (21.0)</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35</w:t>
            </w:r>
            <w:r>
              <w:rPr>
                <w:sz w:val="20"/>
                <w:szCs w:val="20"/>
                <w:vertAlign w:val="superscript"/>
              </w:rPr>
              <w:t xml:space="preserve">a</w:t>
            </w:r>
            <w:r>
              <w:rPr>
                <w:sz w:val="20"/>
                <w:szCs w:val="20"/>
              </w:rPr>
              <w:t xml:space="preserve"> (35.0)</w:t>
            </w:r>
          </w:p>
        </w:tc>
        <w:tc>
          <w:tcPr>
            <w:tcW w:type="dxa" w:w="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100</w:t>
            </w:r>
          </w:p>
        </w:tc>
        <w:tc>
          <w:tcPr>
            <w:tcW w:type="dxa" w:w="1160"/>
            <w:gridSpan w:val="1"/>
            <w:vMerge w:val="restart"/>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0.027</w:t>
            </w:r>
          </w:p>
        </w:tc>
      </w:tr>
      <w:tr>
        <w:trPr>
          <w:cantSplit/>
        </w:trPr>
        <w:tc>
          <w:tcPr>
            <w:gridSpan w:val="1"/>
            <w:vMerge w:val="continue"/>
            <w:tcBorders>
              <w:top w:val="none" w:color="FFFFFF" w:sz="0"/>
              <w:left w:val="none" w:color="FFFFFF" w:sz="0"/>
              <w:bottom w:val="none" w:color="FFFFFF" w:sz="0"/>
              <w:right w:val="none" w:color="FFFFFF" w:sz="0"/>
            </w:tcBorders>
          </w:tcPr>
          <w:p/>
        </w:tc>
        <w:tc>
          <w:tcPr>
            <w:tcW w:type="dxa" w:w="11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Chinese</w:t>
            </w:r>
          </w:p>
        </w:tc>
        <w:tc>
          <w:tcPr>
            <w:tcW w:type="dxa" w:w="12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28</w:t>
            </w:r>
            <w:r>
              <w:rPr>
                <w:sz w:val="20"/>
                <w:szCs w:val="20"/>
                <w:vertAlign w:val="superscript"/>
              </w:rPr>
              <w:t xml:space="preserve">b</w:t>
            </w:r>
            <w:r>
              <w:rPr>
                <w:sz w:val="20"/>
                <w:szCs w:val="20"/>
              </w:rPr>
              <w:t xml:space="preserve"> (30.4)</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14</w:t>
            </w:r>
            <w:r>
              <w:rPr>
                <w:sz w:val="20"/>
                <w:szCs w:val="20"/>
                <w:vertAlign w:val="superscript"/>
              </w:rPr>
              <w:t xml:space="preserve">a</w:t>
            </w:r>
            <w:r>
              <w:rPr>
                <w:sz w:val="20"/>
                <w:szCs w:val="20"/>
              </w:rPr>
              <w:t xml:space="preserve"> (15.2)</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29</w:t>
            </w:r>
            <w:r>
              <w:rPr>
                <w:sz w:val="20"/>
                <w:szCs w:val="20"/>
                <w:vertAlign w:val="superscript"/>
              </w:rPr>
              <w:t xml:space="preserve">a</w:t>
            </w:r>
            <w:r>
              <w:rPr>
                <w:sz w:val="20"/>
                <w:szCs w:val="20"/>
              </w:rPr>
              <w:t xml:space="preserve"> (31.5)</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21</w:t>
            </w:r>
            <w:r>
              <w:rPr>
                <w:sz w:val="20"/>
                <w:szCs w:val="20"/>
                <w:vertAlign w:val="superscript"/>
              </w:rPr>
              <w:t xml:space="preserve">a</w:t>
            </w:r>
            <w:r>
              <w:rPr>
                <w:sz w:val="20"/>
                <w:szCs w:val="20"/>
              </w:rPr>
              <w:t xml:space="preserve"> (22.8)</w:t>
            </w:r>
          </w:p>
        </w:tc>
        <w:tc>
          <w:tcPr>
            <w:tcW w:type="dxa" w:w="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92</w:t>
            </w:r>
          </w:p>
        </w:tc>
        <w:tc>
          <w:tcPr>
            <w:gridSpan w:val="1"/>
            <w:vMerge w:val="continue"/>
            <w:tcBorders>
              <w:top w:val="none" w:color="FFFFFF" w:sz="0"/>
              <w:left w:val="none" w:color="FFFFFF" w:sz="0"/>
              <w:bottom w:val="none" w:color="FFFFFF" w:sz="0"/>
              <w:right w:val="none" w:color="FFFFFF" w:sz="0"/>
            </w:tcBorders>
          </w:tcPr>
          <w:p/>
        </w:tc>
      </w:tr>
      <w:tr>
        <w:trPr>
          <w:cantSplit/>
        </w:trPr>
        <w:tc>
          <w:tcPr>
            <w:gridSpan w:val="1"/>
            <w:vMerge w:val="continue"/>
            <w:tcBorders>
              <w:top w:val="none" w:color="FFFFFF" w:sz="0"/>
              <w:left w:val="none" w:color="FFFFFF" w:sz="0"/>
              <w:bottom w:val="none" w:color="FFFFFF" w:sz="0"/>
              <w:right w:val="none" w:color="FFFFFF" w:sz="0"/>
            </w:tcBorders>
          </w:tcPr>
          <w:p/>
        </w:tc>
        <w:tc>
          <w:tcPr>
            <w:tcW w:type="dxa" w:w="11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Indian</w:t>
            </w:r>
          </w:p>
        </w:tc>
        <w:tc>
          <w:tcPr>
            <w:tcW w:type="dxa" w:w="12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0</w:t>
            </w:r>
            <w:r>
              <w:rPr>
                <w:sz w:val="20"/>
                <w:szCs w:val="20"/>
                <w:vertAlign w:val="superscript"/>
              </w:rPr>
              <w:t xml:space="preserve">a</w:t>
            </w:r>
            <w:r>
              <w:rPr>
                <w:sz w:val="20"/>
                <w:szCs w:val="20"/>
              </w:rPr>
              <w:t xml:space="preserve"> (0.0)</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2</w:t>
            </w:r>
            <w:r>
              <w:rPr>
                <w:sz w:val="20"/>
                <w:szCs w:val="20"/>
                <w:vertAlign w:val="superscript"/>
              </w:rPr>
              <w:t xml:space="preserve">a</w:t>
            </w:r>
            <w:r>
              <w:rPr>
                <w:sz w:val="20"/>
                <w:szCs w:val="20"/>
              </w:rPr>
              <w:t xml:space="preserve"> (14.3)</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6</w:t>
            </w:r>
            <w:r>
              <w:rPr>
                <w:sz w:val="20"/>
                <w:szCs w:val="20"/>
                <w:vertAlign w:val="superscript"/>
              </w:rPr>
              <w:t xml:space="preserve">a</w:t>
            </w:r>
            <w:r>
              <w:rPr>
                <w:sz w:val="20"/>
                <w:szCs w:val="20"/>
              </w:rPr>
              <w:t xml:space="preserve"> (42.9)</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6</w:t>
            </w:r>
            <w:r>
              <w:rPr>
                <w:sz w:val="20"/>
                <w:szCs w:val="20"/>
                <w:vertAlign w:val="superscript"/>
              </w:rPr>
              <w:t xml:space="preserve">a</w:t>
            </w:r>
            <w:r>
              <w:rPr>
                <w:sz w:val="20"/>
                <w:szCs w:val="20"/>
              </w:rPr>
              <w:t xml:space="preserve"> (42.9)</w:t>
            </w:r>
          </w:p>
        </w:tc>
        <w:tc>
          <w:tcPr>
            <w:tcW w:type="dxa" w:w="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14</w:t>
            </w:r>
          </w:p>
        </w:tc>
        <w:tc>
          <w:tcPr>
            <w:gridSpan w:val="1"/>
            <w:vMerge w:val="continue"/>
            <w:tcBorders>
              <w:top w:val="none" w:color="FFFFFF" w:sz="0"/>
              <w:left w:val="none" w:color="FFFFFF" w:sz="0"/>
              <w:bottom w:val="none" w:color="FFFFFF" w:sz="0"/>
              <w:right w:val="none" w:color="FFFFFF" w:sz="0"/>
            </w:tcBorders>
          </w:tcPr>
          <w:p/>
        </w:tc>
      </w:tr>
      <w:tr>
        <w:trPr>
          <w:cantSplit/>
        </w:trPr>
        <w:tc>
          <w:tcPr>
            <w:tcW w:type="dxa" w:w="1500"/>
            <w:gridSpan w:val="1"/>
            <w:vMerge w:val="restart"/>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Second molars</w:t>
            </w:r>
          </w:p>
        </w:tc>
        <w:tc>
          <w:tcPr>
            <w:tcW w:type="dxa" w:w="11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Malay</w:t>
            </w:r>
          </w:p>
        </w:tc>
        <w:tc>
          <w:tcPr>
            <w:tcW w:type="dxa" w:w="12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15</w:t>
            </w:r>
            <w:r>
              <w:rPr>
                <w:sz w:val="20"/>
                <w:szCs w:val="20"/>
                <w:vertAlign w:val="superscript"/>
              </w:rPr>
              <w:t xml:space="preserve">a</w:t>
            </w:r>
            <w:r>
              <w:rPr>
                <w:sz w:val="20"/>
                <w:szCs w:val="20"/>
              </w:rPr>
              <w:t xml:space="preserve"> (28.3)</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13</w:t>
            </w:r>
            <w:r>
              <w:rPr>
                <w:sz w:val="20"/>
                <w:szCs w:val="20"/>
                <w:vertAlign w:val="superscript"/>
              </w:rPr>
              <w:t xml:space="preserve">a</w:t>
            </w:r>
            <w:r>
              <w:rPr>
                <w:sz w:val="20"/>
                <w:szCs w:val="20"/>
              </w:rPr>
              <w:t xml:space="preserve"> (24.5)</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13</w:t>
            </w:r>
            <w:r>
              <w:rPr>
                <w:sz w:val="20"/>
                <w:szCs w:val="20"/>
                <w:vertAlign w:val="superscript"/>
              </w:rPr>
              <w:t xml:space="preserve">a</w:t>
            </w:r>
            <w:r>
              <w:rPr>
                <w:sz w:val="20"/>
                <w:szCs w:val="20"/>
              </w:rPr>
              <w:t xml:space="preserve"> (24.5)</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12</w:t>
            </w:r>
            <w:r>
              <w:rPr>
                <w:sz w:val="20"/>
                <w:szCs w:val="20"/>
                <w:vertAlign w:val="superscript"/>
              </w:rPr>
              <w:t xml:space="preserve">a</w:t>
            </w:r>
            <w:r>
              <w:rPr>
                <w:sz w:val="20"/>
                <w:szCs w:val="20"/>
              </w:rPr>
              <w:t xml:space="preserve"> (22.6)</w:t>
            </w:r>
          </w:p>
        </w:tc>
        <w:tc>
          <w:tcPr>
            <w:tcW w:type="dxa" w:w="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53</w:t>
            </w:r>
          </w:p>
        </w:tc>
        <w:tc>
          <w:tcPr>
            <w:tcW w:type="dxa" w:w="1160"/>
            <w:gridSpan w:val="1"/>
            <w:vMerge w:val="restart"/>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0.032</w:t>
            </w:r>
          </w:p>
        </w:tc>
      </w:tr>
      <w:tr>
        <w:trPr>
          <w:cantSplit/>
        </w:trPr>
        <w:tc>
          <w:tcPr>
            <w:gridSpan w:val="1"/>
            <w:vMerge w:val="continue"/>
            <w:tcBorders>
              <w:top w:val="none" w:color="FFFFFF" w:sz="0"/>
              <w:left w:val="none" w:color="FFFFFF" w:sz="0"/>
              <w:bottom w:val="none" w:color="FFFFFF" w:sz="0"/>
              <w:right w:val="none" w:color="FFFFFF" w:sz="0"/>
            </w:tcBorders>
          </w:tcPr>
          <w:p/>
        </w:tc>
        <w:tc>
          <w:tcPr>
            <w:tcW w:type="dxa" w:w="11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Chinese</w:t>
            </w:r>
          </w:p>
        </w:tc>
        <w:tc>
          <w:tcPr>
            <w:tcW w:type="dxa" w:w="1250"/>
            <w:gridSpan w:val="1"/>
            <w:tcBorders>
              <w:top w:val="none" w:color="FFFFFF" w:sz="0"/>
              <w:left w:val="none" w:color="FFFFFF" w:sz="0"/>
              <w:bottom w:val="none" w:color="FFFFFF" w:sz="0"/>
              <w:right w:val="none" w:color="FFFFFF" w:sz="0"/>
            </w:tcBorders>
            <w:shd w:fill="FFF2CC" w:color="auto" w:val="clear"/>
            <w:tcMar>
              <w:top w:type="dxa" w:w="50"/>
              <w:left w:type="dxa" w:w="70"/>
              <w:bottom w:type="dxa" w:w="50"/>
              <w:right w:type="dxa" w:w="70"/>
            </w:tcMar>
            <w:vAlign w:val="center"/>
          </w:tcPr>
          <w:p>
            <w:pPr>
              <w:spacing w:after="0" w:line="240" w:lineRule="auto"/>
              <w:jc w:val="center"/>
            </w:pPr>
            <w:r>
              <w:rPr>
                <w:sz w:val="20"/>
                <w:szCs w:val="20"/>
              </w:rPr>
              <w:t xml:space="preserve">12</w:t>
            </w:r>
            <w:r>
              <w:rPr>
                <w:sz w:val="20"/>
                <w:szCs w:val="20"/>
                <w:vertAlign w:val="superscript"/>
              </w:rPr>
              <w:t xml:space="preserve">a</w:t>
            </w:r>
            <w:r>
              <w:rPr>
                <w:sz w:val="20"/>
                <w:szCs w:val="20"/>
              </w:rPr>
              <w:t xml:space="preserve"> (27.9)</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18</w:t>
            </w:r>
            <w:r>
              <w:rPr>
                <w:sz w:val="20"/>
                <w:szCs w:val="20"/>
                <w:vertAlign w:val="superscript"/>
              </w:rPr>
              <w:t xml:space="preserve">a</w:t>
            </w:r>
            <w:r>
              <w:rPr>
                <w:sz w:val="20"/>
                <w:szCs w:val="20"/>
              </w:rPr>
              <w:t xml:space="preserve"> (41.9)</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2</w:t>
            </w:r>
            <w:r>
              <w:rPr>
                <w:sz w:val="20"/>
                <w:szCs w:val="20"/>
                <w:vertAlign w:val="superscript"/>
              </w:rPr>
              <w:t xml:space="preserve">b</w:t>
            </w:r>
            <w:r>
              <w:rPr>
                <w:sz w:val="20"/>
                <w:szCs w:val="20"/>
              </w:rPr>
              <w:t xml:space="preserve"> (4.7)</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11</w:t>
            </w:r>
            <w:r>
              <w:rPr>
                <w:sz w:val="20"/>
                <w:szCs w:val="20"/>
                <w:vertAlign w:val="superscript"/>
              </w:rPr>
              <w:t xml:space="preserve">a</w:t>
            </w:r>
            <w:r>
              <w:rPr>
                <w:sz w:val="20"/>
                <w:szCs w:val="20"/>
              </w:rPr>
              <w:t xml:space="preserve"> (25.6)</w:t>
            </w:r>
          </w:p>
        </w:tc>
        <w:tc>
          <w:tcPr>
            <w:tcW w:type="dxa" w:w="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43</w:t>
            </w:r>
          </w:p>
        </w:tc>
        <w:tc>
          <w:tcPr>
            <w:gridSpan w:val="1"/>
            <w:vMerge w:val="continue"/>
            <w:tcBorders>
              <w:top w:val="none" w:color="FFFFFF" w:sz="0"/>
              <w:left w:val="none" w:color="FFFFFF" w:sz="0"/>
              <w:bottom w:val="none" w:color="FFFFFF" w:sz="0"/>
              <w:right w:val="none" w:color="FFFFFF" w:sz="0"/>
            </w:tcBorders>
          </w:tcPr>
          <w:p/>
        </w:tc>
      </w:tr>
      <w:tr>
        <w:trPr>
          <w:cantSplit/>
        </w:trPr>
        <w:tc>
          <w:tcPr>
            <w:gridSpan w:val="1"/>
            <w:vMerge w:val="continue"/>
            <w:tcBorders>
              <w:top w:val="none" w:color="FFFFFF" w:sz="0"/>
              <w:left w:val="none" w:color="FFFFFF" w:sz="0"/>
              <w:bottom w:val="none" w:color="FFFFFF" w:sz="0"/>
              <w:right w:val="none" w:color="FFFFFF" w:sz="0"/>
            </w:tcBorders>
          </w:tcPr>
          <w:p/>
        </w:tc>
        <w:tc>
          <w:tcPr>
            <w:tcW w:type="dxa" w:w="11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Indian</w:t>
            </w:r>
          </w:p>
        </w:tc>
        <w:tc>
          <w:tcPr>
            <w:tcW w:type="dxa" w:w="12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8</w:t>
            </w:r>
            <w:r>
              <w:rPr>
                <w:sz w:val="20"/>
                <w:szCs w:val="20"/>
                <w:vertAlign w:val="superscript"/>
              </w:rPr>
              <w:t xml:space="preserve">b</w:t>
            </w:r>
            <w:r>
              <w:rPr>
                <w:sz w:val="20"/>
                <w:szCs w:val="20"/>
              </w:rPr>
              <w:t xml:space="preserve"> (57.1)</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4</w:t>
            </w:r>
            <w:r>
              <w:rPr>
                <w:sz w:val="20"/>
                <w:szCs w:val="20"/>
                <w:vertAlign w:val="superscript"/>
              </w:rPr>
              <w:t xml:space="preserve">a</w:t>
            </w:r>
            <w:r>
              <w:rPr>
                <w:sz w:val="20"/>
                <w:szCs w:val="20"/>
              </w:rPr>
              <w:t xml:space="preserve"> (28.6)</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w:t>
            </w:r>
            <w:r>
              <w:rPr>
                <w:sz w:val="20"/>
                <w:szCs w:val="20"/>
                <w:vertAlign w:val="superscript"/>
              </w:rPr>
              <w:t xml:space="preserve">ab</w:t>
            </w:r>
            <w:r>
              <w:rPr>
                <w:sz w:val="20"/>
                <w:szCs w:val="20"/>
              </w:rPr>
              <w:t xml:space="preserve"> (7.1)</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w:t>
            </w:r>
            <w:r>
              <w:rPr>
                <w:sz w:val="20"/>
                <w:szCs w:val="20"/>
                <w:vertAlign w:val="superscript"/>
              </w:rPr>
              <w:t xml:space="preserve">a</w:t>
            </w:r>
            <w:r>
              <w:rPr>
                <w:sz w:val="20"/>
                <w:szCs w:val="20"/>
              </w:rPr>
              <w:t xml:space="preserve"> (7.1)</w:t>
            </w:r>
          </w:p>
        </w:tc>
        <w:tc>
          <w:tcPr>
            <w:tcW w:type="dxa" w:w="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14</w:t>
            </w:r>
          </w:p>
        </w:tc>
        <w:tc>
          <w:tcPr>
            <w:gridSpan w:val="1"/>
            <w:vMerge w:val="continue"/>
            <w:tcBorders>
              <w:top w:val="none" w:color="FFFFFF" w:sz="0"/>
              <w:left w:val="none" w:color="FFFFFF" w:sz="0"/>
              <w:bottom w:val="none" w:color="FFFFFF" w:sz="0"/>
              <w:right w:val="none" w:color="FFFFFF" w:sz="0"/>
            </w:tcBorders>
          </w:tcPr>
          <w:p/>
        </w:tc>
      </w:tr>
      <w:tr>
        <w:trPr>
          <w:cantSplit/>
        </w:trPr>
        <w:tc>
          <w:tcPr>
            <w:tcW w:type="dxa" w:w="1500"/>
            <w:gridSpan w:val="1"/>
            <w:vMerge w:val="restart"/>
            <w:tcBorders>
              <w:top w:val="single" w:color="000000" w:sz="6"/>
              <w:left w:val="none" w:color="FFFFFF" w:sz="0"/>
              <w:bottom w:val="single" w:color="000000" w:sz="12"/>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Total</w:t>
            </w:r>
          </w:p>
        </w:tc>
        <w:tc>
          <w:tcPr>
            <w:tcW w:type="dxa" w:w="1100"/>
            <w:gridSpan w:val="1"/>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Malay</w:t>
            </w:r>
          </w:p>
        </w:tc>
        <w:tc>
          <w:tcPr>
            <w:tcW w:type="dxa" w:w="1250"/>
            <w:gridSpan w:val="1"/>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139</w:t>
            </w:r>
            <w:r>
              <w:rPr>
                <w:sz w:val="20"/>
                <w:szCs w:val="20"/>
              </w:rPr>
              <w:t xml:space="preserve"> (42.1)</w:t>
            </w:r>
          </w:p>
        </w:tc>
        <w:tc>
          <w:tcPr>
            <w:tcW w:type="dxa" w:w="1150"/>
            <w:gridSpan w:val="1"/>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67</w:t>
            </w:r>
            <w:r>
              <w:rPr>
                <w:sz w:val="20"/>
                <w:szCs w:val="20"/>
              </w:rPr>
              <w:t xml:space="preserve"> (20.3)</w:t>
            </w:r>
          </w:p>
        </w:tc>
        <w:tc>
          <w:tcPr>
            <w:tcW w:type="dxa" w:w="1150"/>
            <w:gridSpan w:val="1"/>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60</w:t>
            </w:r>
            <w:r>
              <w:rPr>
                <w:sz w:val="20"/>
                <w:szCs w:val="20"/>
              </w:rPr>
              <w:t xml:space="preserve"> (18.2)</w:t>
            </w:r>
          </w:p>
        </w:tc>
        <w:tc>
          <w:tcPr>
            <w:tcW w:type="dxa" w:w="1150"/>
            <w:gridSpan w:val="1"/>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64</w:t>
            </w:r>
            <w:r>
              <w:rPr>
                <w:sz w:val="20"/>
                <w:szCs w:val="20"/>
              </w:rPr>
              <w:t xml:space="preserve"> (19.4)</w:t>
            </w:r>
          </w:p>
        </w:tc>
        <w:tc>
          <w:tcPr>
            <w:tcW w:type="dxa" w:w="900"/>
            <w:gridSpan w:val="1"/>
            <w:tcBorders>
              <w:top w:val="single" w:color="000000" w:sz="6"/>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330</w:t>
            </w:r>
          </w:p>
        </w:tc>
        <w:tc>
          <w:tcPr>
            <w:tcW w:type="dxa" w:w="1160"/>
            <w:gridSpan w:val="1"/>
            <w:vMerge w:val="restart"/>
            <w:tcBorders>
              <w:top w:val="single" w:color="000000" w:sz="6"/>
              <w:left w:val="none" w:color="FFFFFF" w:sz="0"/>
              <w:bottom w:val="single" w:color="000000" w:sz="12"/>
              <w:right w:val="none" w:color="FFFFFF" w:sz="0"/>
            </w:tcBorders>
            <w:shd w:fill="FFF2CC" w:color="auto" w:val="clear"/>
            <w:tcMar>
              <w:top w:type="dxa" w:w="50"/>
              <w:left w:type="dxa" w:w="70"/>
              <w:bottom w:type="dxa" w:w="50"/>
              <w:right w:type="dxa" w:w="70"/>
            </w:tcMar>
            <w:vAlign w:val="center"/>
          </w:tcPr>
          <w:p>
            <w:pPr>
              <w:spacing w:after="0" w:line="240" w:lineRule="auto"/>
              <w:jc w:val="center"/>
            </w:pPr>
            <w:r>
              <w:rPr>
                <w:sz w:val="20"/>
                <w:szCs w:val="20"/>
              </w:rPr>
              <w:t xml:space="preserve">0.096</w:t>
            </w:r>
          </w:p>
        </w:tc>
      </w:tr>
      <w:tr>
        <w:trPr>
          <w:cantSplit/>
        </w:trPr>
        <w:tc>
          <w:tcPr>
            <w:gridSpan w:val="1"/>
            <w:vMerge w:val="continue"/>
            <w:tcBorders>
              <w:top w:val="single" w:color="000000" w:sz="6"/>
              <w:left w:val="none" w:color="FFFFFF" w:sz="0"/>
              <w:bottom w:val="single" w:color="000000" w:sz="12"/>
              <w:right w:val="none" w:color="FFFFFF" w:sz="0"/>
            </w:tcBorders>
          </w:tcPr>
          <w:p/>
        </w:tc>
        <w:tc>
          <w:tcPr>
            <w:tcW w:type="dxa" w:w="11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Chinese</w:t>
            </w:r>
          </w:p>
        </w:tc>
        <w:tc>
          <w:tcPr>
            <w:tcW w:type="dxa" w:w="12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168</w:t>
            </w:r>
            <w:r>
              <w:rPr>
                <w:sz w:val="20"/>
                <w:szCs w:val="20"/>
              </w:rPr>
              <w:t xml:space="preserve"> (52.2)</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55</w:t>
            </w:r>
            <w:r>
              <w:rPr>
                <w:sz w:val="20"/>
                <w:szCs w:val="20"/>
              </w:rPr>
              <w:t xml:space="preserve"> (17.1)</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56</w:t>
            </w:r>
            <w:r>
              <w:rPr>
                <w:sz w:val="20"/>
                <w:szCs w:val="20"/>
              </w:rPr>
              <w:t xml:space="preserve"> (17.4)</w:t>
            </w:r>
          </w:p>
        </w:tc>
        <w:tc>
          <w:tcPr>
            <w:tcW w:type="dxa" w:w="115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43</w:t>
            </w:r>
            <w:r>
              <w:rPr>
                <w:sz w:val="20"/>
                <w:szCs w:val="20"/>
              </w:rPr>
              <w:t xml:space="preserve"> (13.4)</w:t>
            </w:r>
          </w:p>
        </w:tc>
        <w:tc>
          <w:tcPr>
            <w:tcW w:type="dxa" w:w="900"/>
            <w:gridSpan w:val="1"/>
            <w:tcBorders>
              <w:top w:val="none" w:color="FFFFFF" w:sz="0"/>
              <w:left w:val="none" w:color="FFFFFF" w:sz="0"/>
              <w:bottom w:val="none" w:color="FFFFFF" w:sz="0"/>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322</w:t>
            </w:r>
          </w:p>
        </w:tc>
        <w:tc>
          <w:tcPr>
            <w:gridSpan w:val="1"/>
            <w:vMerge w:val="continue"/>
            <w:tcBorders>
              <w:top w:val="single" w:color="000000" w:sz="6"/>
              <w:left w:val="none" w:color="FFFFFF" w:sz="0"/>
              <w:bottom w:val="single" w:color="000000" w:sz="12"/>
              <w:right w:val="none" w:color="FFFFFF" w:sz="0"/>
            </w:tcBorders>
          </w:tcPr>
          <w:p/>
        </w:tc>
      </w:tr>
      <w:tr>
        <w:trPr>
          <w:cantSplit/>
        </w:trPr>
        <w:tc>
          <w:tcPr>
            <w:gridSpan w:val="1"/>
            <w:vMerge w:val="continue"/>
            <w:tcBorders>
              <w:top w:val="single" w:color="000000" w:sz="6"/>
              <w:left w:val="none" w:color="FFFFFF" w:sz="0"/>
              <w:bottom w:val="single" w:color="000000" w:sz="12"/>
              <w:right w:val="none" w:color="FFFFFF" w:sz="0"/>
            </w:tcBorders>
          </w:tcPr>
          <w:p/>
        </w:tc>
        <w:tc>
          <w:tcPr>
            <w:tcW w:type="dxa" w:w="1100"/>
            <w:gridSpan w:val="1"/>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spacing w:after="0" w:line="240" w:lineRule="auto"/>
              <w:jc w:val="left"/>
            </w:pPr>
            <w:r>
              <w:rPr>
                <w:sz w:val="20"/>
                <w:szCs w:val="20"/>
              </w:rPr>
              <w:t xml:space="preserve">Indian</w:t>
            </w:r>
          </w:p>
        </w:tc>
        <w:tc>
          <w:tcPr>
            <w:tcW w:type="dxa" w:w="1250"/>
            <w:gridSpan w:val="1"/>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31</w:t>
            </w:r>
            <w:r>
              <w:rPr>
                <w:sz w:val="20"/>
                <w:szCs w:val="20"/>
              </w:rPr>
              <w:t xml:space="preserve"> (52.5)</w:t>
            </w:r>
          </w:p>
        </w:tc>
        <w:tc>
          <w:tcPr>
            <w:tcW w:type="dxa" w:w="1150"/>
            <w:gridSpan w:val="1"/>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6</w:t>
            </w:r>
            <w:r>
              <w:rPr>
                <w:sz w:val="20"/>
                <w:szCs w:val="20"/>
              </w:rPr>
              <w:t xml:space="preserve"> (10.2)</w:t>
            </w:r>
          </w:p>
        </w:tc>
        <w:tc>
          <w:tcPr>
            <w:tcW w:type="dxa" w:w="1150"/>
            <w:gridSpan w:val="1"/>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11</w:t>
            </w:r>
            <w:r>
              <w:rPr>
                <w:sz w:val="20"/>
                <w:szCs w:val="20"/>
              </w:rPr>
              <w:t xml:space="preserve"> (18.6)</w:t>
            </w:r>
          </w:p>
        </w:tc>
        <w:tc>
          <w:tcPr>
            <w:tcW w:type="dxa" w:w="1150"/>
            <w:gridSpan w:val="1"/>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11</w:t>
            </w:r>
            <w:r>
              <w:rPr>
                <w:sz w:val="20"/>
                <w:szCs w:val="20"/>
              </w:rPr>
              <w:t xml:space="preserve"> (18.6)</w:t>
            </w:r>
          </w:p>
        </w:tc>
        <w:tc>
          <w:tcPr>
            <w:tcW w:type="dxa" w:w="900"/>
            <w:gridSpan w:val="1"/>
            <w:tcBorders>
              <w:top w:val="none" w:color="FFFFFF" w:sz="0"/>
              <w:left w:val="none" w:color="FFFFFF" w:sz="0"/>
              <w:bottom w:val="single" w:color="000000" w:sz="12"/>
              <w:right w:val="none" w:color="FFFFFF" w:sz="0"/>
            </w:tcBorders>
            <w:tcMar>
              <w:top w:type="dxa" w:w="50"/>
              <w:left w:type="dxa" w:w="70"/>
              <w:bottom w:type="dxa" w:w="50"/>
              <w:right w:type="dxa" w:w="70"/>
            </w:tcMar>
            <w:vAlign w:val="center"/>
          </w:tcPr>
          <w:p>
            <w:pPr>
              <w:spacing w:after="0" w:line="240" w:lineRule="auto"/>
              <w:jc w:val="center"/>
            </w:pPr>
            <w:r>
              <w:rPr>
                <w:sz w:val="20"/>
                <w:szCs w:val="20"/>
              </w:rPr>
              <w:t xml:space="preserve">59</w:t>
            </w:r>
          </w:p>
        </w:tc>
        <w:tc>
          <w:tcPr>
            <w:gridSpan w:val="1"/>
            <w:vMerge w:val="continue"/>
            <w:tcBorders>
              <w:top w:val="single" w:color="000000" w:sz="6"/>
              <w:left w:val="none" w:color="FFFFFF" w:sz="0"/>
              <w:bottom w:val="single" w:color="000000" w:sz="12"/>
              <w:right w:val="none" w:color="FFFFFF" w:sz="0"/>
            </w:tcBorders>
          </w:tcPr>
          <w:p/>
        </w:tc>
      </w:tr>
    </w:tbl>
    <w:p>
      <w:pPr>
        <w:spacing w:after="80" w:before="80"/>
      </w:pPr>
      <w:r>
        <w:rPr>
          <w:sz w:val="20"/>
          <w:szCs w:val="20"/>
        </w:rPr>
        <w:t xml:space="preserve">N = number of roots; percentages are within each ethnic group. Within each tooth group and sinus type, ethnic groups sharing a superscript letter do not differ significantly (pairwise comparisons of proportions, Bonferroni-adjusted). p-values: Fisher–Freeman–Halton exact test within tooth groups; Pearson chi-square test for the total (χ²(6) = 10.76; all expected counts ≥ 5). Post hoc letters are not shown for the total because the overall test was not significant.</w:t>
      </w:r>
    </w:p>
    <w:p>
      <w:pPr>
        <w:spacing w:after="200"/>
      </w:pPr>
      <w:r>
        <w:rPr>
          <w:i/>
          <w:iCs/>
          <w:color w:val="595959"/>
          <w:sz w:val="20"/>
          <w:szCs w:val="20"/>
        </w:rPr>
        <w:t xml:space="preserve">Shaded cells differ from the current manuscript (shading is for review only; remove it in the manuscript).</w:t>
      </w:r>
    </w:p>
    <w:p>
      <w:pPr>
        <w:pStyle w:val="Heading1"/>
        <w:pageBreakBefore/>
        <w:spacing w:after="140" w:before="280"/>
      </w:pPr>
      <w:r>
        <w:t xml:space="preserve">3. Changes to the manuscript</w:t>
      </w:r>
    </w:p>
    <w:p>
      <w:pPr>
        <w:keepNext/>
        <w:spacing w:after="80" w:before="200"/>
      </w:pPr>
      <w:r>
        <w:rPr>
          <w:b/>
          <w:bCs/>
        </w:rPr>
        <w:t xml:space="preserve">1. </w:t>
      </w:r>
      <w:r>
        <w:rPr>
          <w:b/>
          <w:bCs/>
        </w:rPr>
        <w:t xml:space="preserve">Table 9 (cells, total row and footnote)</w:t>
      </w:r>
    </w:p>
    <w:p>
      <w:pPr>
        <w:keepNext/>
        <w:spacing w:after="80"/>
        <w:ind w:left="360"/>
      </w:pPr>
      <w:r>
        <w:rPr>
          <w:b/>
          <w:bCs/>
        </w:rPr>
        <w:t xml:space="preserve">Revised: </w:t>
      </w:r>
      <w:r>
        <w:t xml:space="preserve">Replace Table 9 with the revised table in section 2. Three things change: the total row gets its p-value (p = 0.096); second molars, Chinese, Type 0 becomes 12ᵃ (27.9) instead of 12ᵇ (27.9), as in the SPSS output; and the typos 93ᵃ ((81.6) and 1ᵃ 5.6) are corrected. The footnote is extended to name the tests.</w:t>
      </w:r>
    </w:p>
    <w:p>
      <w:pPr>
        <w:spacing w:after="120"/>
        <w:ind w:left="360"/>
      </w:pPr>
      <w:r>
        <w:rPr>
          <w:b/>
          <w:bCs/>
          <w:color w:val="595959"/>
          <w:sz w:val="22"/>
          <w:szCs w:val="22"/>
        </w:rPr>
        <w:t xml:space="preserve">Why: </w:t>
      </w:r>
      <w:r>
        <w:rPr>
          <w:color w:val="595959"/>
          <w:sz w:val="22"/>
          <w:szCs w:val="22"/>
        </w:rPr>
        <w:t xml:space="preserve">The total row had no test; the letter and typos are transcription errors.</w:t>
      </w:r>
    </w:p>
    <w:p>
      <w:pPr>
        <w:keepNext/>
        <w:spacing w:after="80" w:before="200"/>
      </w:pPr>
      <w:r>
        <w:rPr>
          <w:b/>
          <w:bCs/>
        </w:rPr>
        <w:t xml:space="preserve">2. </w:t>
      </w:r>
      <w:r>
        <w:rPr>
          <w:b/>
          <w:bCs/>
        </w:rPr>
        <w:t xml:space="preserve">Results, paragraph before Table 8 (sentence on Table 9)</w:t>
      </w:r>
    </w:p>
    <w:p>
      <w:pPr>
        <w:keepNext/>
        <w:spacing w:after="80"/>
        <w:ind w:left="360"/>
      </w:pPr>
      <w:r>
        <w:rPr>
          <w:b/>
          <w:bCs/>
          <w:color w:val="595959"/>
        </w:rPr>
        <w:t xml:space="preserve">Current: </w:t>
      </w:r>
      <w:r>
        <w:rPr>
          <w:i/>
          <w:iCs/>
          <w:color w:val="595959"/>
        </w:rPr>
        <w:t xml:space="preserve">Table 9 shows that the distribution of vertical sinus relationship types varied by ethnicity, with significant differences detected in several tooth groups overall (second premolars p = 0.019, first molars p = 0.027, second molars p = 0.032).</w:t>
      </w:r>
    </w:p>
    <w:p>
      <w:pPr>
        <w:keepNext/>
        <w:spacing w:after="80"/>
        <w:ind w:left="360"/>
      </w:pPr>
      <w:r>
        <w:rPr>
          <w:b/>
          <w:bCs/>
        </w:rPr>
        <w:t xml:space="preserve">Revised: </w:t>
      </w:r>
      <w:r>
        <w:t xml:space="preserve">Table 9 and Figure 5 show that the distribution of vertical sinus relationship types varied by ethnicity within second premolars (p = 0.019), first molars (p = 0.027) and second molars (p = 0.032), but not within first premolars (p = 0.366). When all tooth groups were pooled, ethnicity was not significantly associated with the vertical relationship (χ²(6) = 10.76, p = 0.096).</w:t>
      </w:r>
    </w:p>
    <w:p>
      <w:pPr>
        <w:spacing w:after="120"/>
        <w:ind w:left="360"/>
      </w:pPr>
      <w:r>
        <w:rPr>
          <w:b/>
          <w:bCs/>
          <w:color w:val="595959"/>
          <w:sz w:val="22"/>
          <w:szCs w:val="22"/>
        </w:rPr>
        <w:t xml:space="preserve">Why: </w:t>
      </w:r>
      <w:r>
        <w:rPr>
          <w:color w:val="595959"/>
          <w:sz w:val="22"/>
          <w:szCs w:val="22"/>
        </w:rPr>
        <w:t xml:space="preserve">Adds the pooled result and removes “overall”, which implied a significant pooled test.</w:t>
      </w:r>
    </w:p>
    <w:p>
      <w:pPr>
        <w:keepNext/>
        <w:spacing w:after="80" w:before="200"/>
      </w:pPr>
      <w:r>
        <w:rPr>
          <w:b/>
          <w:bCs/>
        </w:rPr>
        <w:t xml:space="preserve">3. </w:t>
      </w:r>
      <w:r>
        <w:rPr>
          <w:b/>
          <w:bCs/>
        </w:rPr>
        <w:t xml:space="preserve">Discussion, paragraph beginning “Ethnicity was significantly associated…” (first two sentences)</w:t>
      </w:r>
    </w:p>
    <w:p>
      <w:pPr>
        <w:keepNext/>
        <w:spacing w:after="80"/>
        <w:ind w:left="360"/>
      </w:pPr>
      <w:r>
        <w:rPr>
          <w:b/>
          <w:bCs/>
          <w:color w:val="595959"/>
        </w:rPr>
        <w:t xml:space="preserve">Current: </w:t>
      </w:r>
      <w:r>
        <w:rPr>
          <w:i/>
          <w:iCs/>
          <w:color w:val="595959"/>
        </w:rPr>
        <w:t xml:space="preserve">Ethnicity was significantly associated with the vertical root–sinus relationship in this cohort (χ²(6)=18.94, p=0.004). Chinese and Indian participants showed a higher frequency of Type 0 (no contact), whereas Malay participants demonstrated a higher frequency of Type 3 (apical protrusion).</w:t>
      </w:r>
    </w:p>
    <w:p>
      <w:pPr>
        <w:keepNext/>
        <w:spacing w:after="80"/>
        <w:ind w:left="360"/>
      </w:pPr>
      <w:r>
        <w:rPr>
          <w:b/>
          <w:bCs/>
        </w:rPr>
        <w:t xml:space="preserve">Revised: </w:t>
      </w:r>
      <w:r>
        <w:t xml:space="preserve">When all tooth groups were pooled, ethnicity was not significantly associated with the vertical root–sinus relationship (χ²(6) = 10.76, p = 0.096). Within tooth groups, significant differences were found in second premolars (p = 0.019), first molars (p = 0.027) and second molars (p = 0.032), but not in first premolars (p = 0.366). In second premolars, apical protrusion (Type 3) was more frequent in Malay than in Chinese participants (22.4% vs 9.6%), whereas Chinese participants more often showed no contact (Type 0: 47.9% vs 26.9%). In second molars, Type 0 was more frequent in Indian participants (57.1%) than in Malay (28.3%) or Chinese (27.9%) participants. Keep the rest of the paragraph from “Maxillary sinus dimensions vary by ethnicity…”.</w:t>
      </w:r>
    </w:p>
    <w:p>
      <w:pPr>
        <w:spacing w:after="120"/>
        <w:ind w:left="360"/>
      </w:pPr>
      <w:r>
        <w:rPr>
          <w:b/>
          <w:bCs/>
          <w:color w:val="595959"/>
          <w:sz w:val="22"/>
          <w:szCs w:val="22"/>
        </w:rPr>
        <w:t xml:space="preserve">Why: </w:t>
      </w:r>
      <w:r>
        <w:rPr>
          <w:color w:val="595959"/>
          <w:sz w:val="22"/>
          <w:szCs w:val="22"/>
        </w:rPr>
        <w:t xml:space="preserve">χ²(6) = 18.94, p = 0.004 cannot be reproduced from the Table 9 counts; it came from an earlier, error-flagged table in the statistics workbook. In both molar groups the three ethnic groups share the same letter for Type 3, so “Type 3 more frequent in Malay” holds only for second premolars.</w:t>
      </w:r>
    </w:p>
    <w:p>
      <w:pPr>
        <w:keepNext/>
        <w:spacing w:after="80" w:before="200"/>
      </w:pPr>
      <w:r>
        <w:rPr>
          <w:b/>
          <w:bCs/>
        </w:rPr>
        <w:t xml:space="preserve">4. </w:t>
      </w:r>
      <w:r>
        <w:rPr>
          <w:b/>
          <w:bCs/>
        </w:rPr>
        <w:t xml:space="preserve">Clinical Implications for Risk-Specific Treatment Planning, second paragraph</w:t>
      </w:r>
    </w:p>
    <w:p>
      <w:pPr>
        <w:keepNext/>
        <w:spacing w:after="80"/>
        <w:ind w:left="360"/>
      </w:pPr>
      <w:r>
        <w:rPr>
          <w:b/>
          <w:bCs/>
          <w:color w:val="595959"/>
        </w:rPr>
        <w:t xml:space="preserve">Current: </w:t>
      </w:r>
      <w:r>
        <w:rPr>
          <w:i/>
          <w:iCs/>
          <w:color w:val="595959"/>
        </w:rPr>
        <w:t xml:space="preserve">In populations such as Malay patients, where Type 3 root–sinus relationships are more prevalent, bone augmentation or grafting may be necessary prior to extensive orthodontic movement or implant placement (35).</w:t>
      </w:r>
    </w:p>
    <w:p>
      <w:pPr>
        <w:keepNext/>
        <w:spacing w:after="80"/>
        <w:ind w:left="360"/>
      </w:pPr>
      <w:r>
        <w:rPr>
          <w:b/>
          <w:bCs/>
        </w:rPr>
        <w:t xml:space="preserve">Revised: </w:t>
      </w:r>
      <w:r>
        <w:t xml:space="preserve">Where roots protrude into the sinus (Type 3), as seen most often in maxillary first molars, bone augmentation or grafting may be necessary prior to extensive orthodontic movement or implant placement (35).</w:t>
      </w:r>
    </w:p>
    <w:p>
      <w:pPr>
        <w:spacing w:after="120"/>
        <w:ind w:left="360"/>
      </w:pPr>
      <w:r>
        <w:rPr>
          <w:b/>
          <w:bCs/>
          <w:color w:val="595959"/>
          <w:sz w:val="22"/>
          <w:szCs w:val="22"/>
        </w:rPr>
        <w:t xml:space="preserve">Why: </w:t>
      </w:r>
      <w:r>
        <w:rPr>
          <w:color w:val="595959"/>
          <w:sz w:val="22"/>
          <w:szCs w:val="22"/>
        </w:rPr>
        <w:t xml:space="preserve">Type 3 was most frequent in first molars (30.0% of roots; Table 7), not tied to one ethnic group.</w:t>
      </w:r>
    </w:p>
    <w:p>
      <w:pPr>
        <w:keepNext/>
        <w:spacing w:after="80" w:before="200"/>
      </w:pPr>
      <w:r>
        <w:rPr>
          <w:b/>
          <w:bCs/>
        </w:rPr>
        <w:t xml:space="preserve">5. </w:t>
      </w:r>
      <w:r>
        <w:rPr>
          <w:b/>
          <w:bCs/>
        </w:rPr>
        <w:t xml:space="preserve">Conclusions</w:t>
      </w:r>
    </w:p>
    <w:p>
      <w:pPr>
        <w:keepNext/>
        <w:spacing w:after="80"/>
        <w:ind w:left="360"/>
      </w:pPr>
      <w:r>
        <w:rPr>
          <w:b/>
          <w:bCs/>
          <w:color w:val="595959"/>
        </w:rPr>
        <w:t xml:space="preserve">Current: </w:t>
      </w:r>
      <w:r>
        <w:rPr>
          <w:i/>
          <w:iCs/>
          <w:color w:val="595959"/>
        </w:rPr>
        <w:t xml:space="preserve">In terms of demographics, Type 2 relationships were significantly more frequent in older age groups, and Type 3 relationships were more frequent among Malay patients.</w:t>
      </w:r>
    </w:p>
    <w:p>
      <w:pPr>
        <w:keepNext w:val="false"/>
        <w:spacing w:after="80"/>
        <w:ind w:left="360"/>
      </w:pPr>
      <w:r>
        <w:rPr>
          <w:b/>
          <w:bCs/>
        </w:rPr>
        <w:t xml:space="preserve">Revised: </w:t>
      </w:r>
      <w:r>
        <w:t xml:space="preserve">In terms of demographics, Type 2 relationships were significantly more frequent in older age groups. Ethnicity was not associated with the vertical relationship overall, although in second premolars Type 3 relationships were more frequent among Malay than Chinese patients.</w:t>
      </w:r>
    </w:p>
    <w:p>
      <w:pPr>
        <w:keepNext/>
        <w:spacing w:after="80" w:before="200"/>
      </w:pPr>
      <w:r>
        <w:rPr>
          <w:b/>
          <w:bCs/>
        </w:rPr>
        <w:t xml:space="preserve">6. </w:t>
      </w:r>
      <w:r>
        <w:rPr>
          <w:b/>
          <w:bCs/>
        </w:rPr>
        <w:t xml:space="preserve">Abstract (optional)</w:t>
      </w:r>
    </w:p>
    <w:p>
      <w:pPr>
        <w:keepNext/>
        <w:spacing w:after="80"/>
        <w:ind w:left="360"/>
      </w:pPr>
      <w:r>
        <w:rPr>
          <w:b/>
          <w:bCs/>
          <w:color w:val="595959"/>
        </w:rPr>
        <w:t xml:space="preserve">Current: </w:t>
      </w:r>
      <w:r>
        <w:rPr>
          <w:i/>
          <w:iCs/>
          <w:color w:val="595959"/>
        </w:rPr>
        <w:t xml:space="preserve">Additionally, apical protrusions were descriptively more frequent among Malay patients.</w:t>
      </w:r>
    </w:p>
    <w:p>
      <w:pPr>
        <w:keepNext/>
        <w:spacing w:after="80"/>
        <w:ind w:left="360"/>
      </w:pPr>
      <w:r>
        <w:rPr>
          <w:b/>
          <w:bCs/>
        </w:rPr>
        <w:t xml:space="preserve">Revised: </w:t>
      </w:r>
      <w:r>
        <w:t xml:space="preserve">Apical protrusions were more frequent among Malay patients, although the overall association with ethnicity was not significant (p = 0.096).</w:t>
      </w:r>
    </w:p>
    <w:p>
      <w:pPr>
        <w:spacing w:after="120"/>
        <w:ind w:left="360"/>
      </w:pPr>
      <w:r>
        <w:rPr>
          <w:b/>
          <w:bCs/>
          <w:color w:val="595959"/>
          <w:sz w:val="22"/>
          <w:szCs w:val="22"/>
        </w:rPr>
        <w:t xml:space="preserve">Why: </w:t>
      </w:r>
      <w:r>
        <w:rPr>
          <w:color w:val="595959"/>
          <w:sz w:val="22"/>
          <w:szCs w:val="22"/>
        </w:rPr>
        <w:t xml:space="preserve">The current wording is already correct; this version states the p-value.</w:t>
      </w:r>
    </w:p>
    <w:p>
      <w:pPr>
        <w:keepNext/>
        <w:spacing w:after="80" w:before="200"/>
      </w:pPr>
      <w:r>
        <w:rPr>
          <w:b/>
          <w:bCs/>
        </w:rPr>
        <w:t xml:space="preserve">7. </w:t>
      </w:r>
      <w:r>
        <w:rPr>
          <w:b/>
          <w:bCs/>
        </w:rPr>
        <w:t xml:space="preserve">Methods, Statistical analysis (add after “…where significant differences were detected.”)</w:t>
      </w:r>
    </w:p>
    <w:p>
      <w:pPr>
        <w:keepNext/>
        <w:spacing w:after="80"/>
        <w:ind w:left="360"/>
      </w:pPr>
      <w:r>
        <w:rPr>
          <w:b/>
          <w:bCs/>
        </w:rPr>
        <w:t xml:space="preserve">Revised: </w:t>
      </w:r>
      <w:r>
        <w:t xml:space="preserve">Within tooth groups, the association between ethnicity and vertical sinus relationship was tested with the Fisher–Freeman–Halton exact test; for all tooth groups pooled, the chi-square test was used because all expected counts were ≥ 5. In the figures, proportions are shown with 95% confidence intervals calculated by the Wilson score method.</w:t>
      </w:r>
    </w:p>
    <w:p>
      <w:pPr>
        <w:spacing w:after="120"/>
        <w:ind w:left="360"/>
      </w:pPr>
      <w:r>
        <w:rPr>
          <w:b/>
          <w:bCs/>
          <w:color w:val="595959"/>
          <w:sz w:val="22"/>
          <w:szCs w:val="22"/>
        </w:rPr>
        <w:t xml:space="preserve">Why: </w:t>
      </w:r>
      <w:r>
        <w:rPr>
          <w:color w:val="595959"/>
          <w:sz w:val="22"/>
          <w:szCs w:val="22"/>
        </w:rPr>
        <w:t xml:space="preserve">Names the test behind the new total-row p-value and the confidence intervals in Figures 2–3.</w:t>
      </w:r>
    </w:p>
    <w:p>
      <w:pPr>
        <w:keepNext/>
        <w:spacing w:after="80" w:before="200"/>
      </w:pPr>
      <w:r>
        <w:rPr>
          <w:b/>
          <w:bCs/>
        </w:rPr>
        <w:t xml:space="preserve">8. </w:t>
      </w:r>
      <w:r>
        <w:rPr>
          <w:b/>
          <w:bCs/>
        </w:rPr>
        <w:t xml:space="preserve">Limitations (add at the end of the paragraph)</w:t>
      </w:r>
    </w:p>
    <w:p>
      <w:pPr>
        <w:keepNext/>
        <w:spacing w:after="80"/>
        <w:ind w:left="360"/>
      </w:pPr>
      <w:r>
        <w:rPr>
          <w:b/>
          <w:bCs/>
        </w:rPr>
        <w:t xml:space="preserve">Revised: </w:t>
      </w:r>
      <w:r>
        <w:t xml:space="preserve">In addition, the Indian subgroup was small (17 patients; 59 roots), so comparisons involving this group have limited precision. Analyses were performed at tooth and root level, and several teeth and roots came from the same patient; because these observations are not fully independent, p-values may be somewhat optimistic.</w:t>
      </w:r>
    </w:p>
    <w:p>
      <w:pPr>
        <w:spacing w:after="120"/>
        <w:ind w:left="360"/>
      </w:pPr>
      <w:r>
        <w:rPr>
          <w:b/>
          <w:bCs/>
          <w:color w:val="595959"/>
          <w:sz w:val="22"/>
          <w:szCs w:val="22"/>
        </w:rPr>
        <w:t xml:space="preserve">Why: </w:t>
      </w:r>
      <w:r>
        <w:rPr>
          <w:color w:val="595959"/>
          <w:sz w:val="22"/>
          <w:szCs w:val="22"/>
        </w:rPr>
        <w:t xml:space="preserve">Reviewers commonly raise both points.</w:t>
      </w:r>
    </w:p>
    <w:p>
      <w:pPr>
        <w:keepNext/>
        <w:spacing w:after="80" w:before="200"/>
      </w:pPr>
      <w:r>
        <w:rPr>
          <w:b/>
          <w:bCs/>
        </w:rPr>
        <w:t xml:space="preserve">9. Figure call-outs in Results</w:t>
      </w:r>
    </w:p>
    <w:p>
      <w:pPr>
        <w:pStyle w:val="ListParagraph"/>
        <w:numPr>
          <w:ilvl w:val="0"/>
          <w:numId w:val="2"/>
        </w:numPr>
        <w:spacing w:after="80"/>
      </w:pPr>
      <w:r>
        <w:t xml:space="preserve">Root fenestration paragraph: “…and second molars (4/33, 12.12%)” → “…and second molars (4/33, 12.12%; Figure 2)”.</w:t>
      </w:r>
    </w:p>
    <w:p>
      <w:pPr>
        <w:pStyle w:val="ListParagraph"/>
        <w:numPr>
          <w:ilvl w:val="0"/>
          <w:numId w:val="2"/>
        </w:numPr>
        <w:spacing w:after="80"/>
      </w:pPr>
      <w:r>
        <w:t xml:space="preserve">Dehiscence paragraph: “The distribution differed by tooth groups (χ² test, p &lt; 0.001).” → “…(χ² test, p &lt; 0.001; Figure 2).”</w:t>
      </w:r>
    </w:p>
    <w:p>
      <w:pPr>
        <w:pStyle w:val="ListParagraph"/>
        <w:numPr>
          <w:ilvl w:val="0"/>
          <w:numId w:val="2"/>
        </w:numPr>
        <w:spacing w:after="80"/>
      </w:pPr>
      <w:r>
        <w:t xml:space="preserve">“Table 2 shows that RF prevalence was broadly comparable…” → “Table 2 and Figure 3 show that RF prevalence was broadly comparable…”</w:t>
      </w:r>
    </w:p>
    <w:p>
      <w:pPr>
        <w:pStyle w:val="ListParagraph"/>
        <w:numPr>
          <w:ilvl w:val="0"/>
          <w:numId w:val="2"/>
        </w:numPr>
        <w:spacing w:after="80"/>
      </w:pPr>
      <w:r>
        <w:t xml:space="preserve">“Table 5 shows that an age gradient was observed for dehiscence…” → “Table 5 and Figure 3 show that an age gradient was observed for dehiscence…”</w:t>
      </w:r>
    </w:p>
    <w:p>
      <w:pPr>
        <w:pStyle w:val="ListParagraph"/>
        <w:numPr>
          <w:ilvl w:val="0"/>
          <w:numId w:val="2"/>
        </w:numPr>
        <w:spacing w:after="80"/>
      </w:pPr>
      <w:r>
        <w:t xml:space="preserve">“Table 7 shows that the vertical sinus relationship differed significantly by tooth group…” → “Table 7 and Figure 4 show that…”</w:t>
      </w:r>
    </w:p>
    <w:p>
      <w:pPr>
        <w:pStyle w:val="ListParagraph"/>
        <w:numPr>
          <w:ilvl w:val="0"/>
          <w:numId w:val="2"/>
        </w:numPr>
        <w:spacing w:after="80"/>
      </w:pPr>
      <w:r>
        <w:t xml:space="preserve">Figure 5 is cited in change 2.</w:t>
      </w:r>
    </w:p>
    <w:p>
      <w:pPr>
        <w:keepNext/>
        <w:spacing w:after="80" w:before="200"/>
      </w:pPr>
      <w:r>
        <w:rPr>
          <w:b/>
          <w:bCs/>
        </w:rPr>
        <w:t xml:space="preserve">10. Figure legends</w:t>
      </w:r>
    </w:p>
    <w:p>
      <w:pPr>
        <w:spacing w:after="120"/>
        <w:ind w:left="360"/>
      </w:pPr>
      <w:r>
        <w:t xml:space="preserve">Add the legends of Figures 2–5 (section 4) below each figure. Place each figure after the paragraph that first cites it, or at the end of the manuscript if the journal asks for figures separately, and upload the TIFF files as the figure files.</w:t>
      </w:r>
    </w:p>
    <w:p>
      <w:pPr>
        <w:pStyle w:val="Heading2"/>
        <w:spacing w:after="100" w:before="220"/>
      </w:pPr>
      <w:r>
        <w:t xml:space="preserve">Other inconsistencies to check (not changed)</w:t>
      </w:r>
    </w:p>
    <w:p>
      <w:pPr>
        <w:pStyle w:val="ListParagraph"/>
        <w:numPr>
          <w:ilvl w:val="0"/>
          <w:numId w:val="2"/>
        </w:numPr>
        <w:spacing w:after="80"/>
      </w:pPr>
      <w:r>
        <w:rPr>
          <w:b/>
          <w:bCs/>
        </w:rPr>
        <w:t xml:space="preserve">Table 7 and Table 9 disagree in three cells: </w:t>
      </w:r>
      <w:r>
        <w:t xml:space="preserve">first premolars Type 1 (22 vs 21), first molars Type 0 (51 vs 50) and second molars Type 1 (33 vs 35); tooth-group totals 243/207/108 vs 242/206/110. Both total 711. Figure 4 uses Table 7 and Figure 5 uses Table 9 as published; once the counts are reconciled, the figures can be redrawn in a minute.</w:t>
      </w:r>
    </w:p>
    <w:p>
      <w:pPr>
        <w:pStyle w:val="ListParagraph"/>
        <w:numPr>
          <w:ilvl w:val="0"/>
          <w:numId w:val="2"/>
        </w:numPr>
        <w:spacing w:after="80"/>
      </w:pPr>
      <w:r>
        <w:rPr>
          <w:b/>
          <w:bCs/>
        </w:rPr>
        <w:t xml:space="preserve">Dehiscence severity: </w:t>
      </w:r>
      <w:r>
        <w:t xml:space="preserve">“mild defects being the most frequent observation (100/188, 53.5%)” should read 100/187, which matches Table 4 and the 53.5%.</w:t>
      </w:r>
    </w:p>
    <w:p>
      <w:pPr>
        <w:pStyle w:val="ListParagraph"/>
        <w:numPr>
          <w:ilvl w:val="0"/>
          <w:numId w:val="2"/>
        </w:numPr>
        <w:spacing w:after="80"/>
      </w:pPr>
      <w:r>
        <w:rPr>
          <w:b/>
          <w:bCs/>
        </w:rPr>
        <w:t xml:space="preserve">Gender and first premolars: </w:t>
      </w:r>
      <w:r>
        <w:t xml:space="preserve">χ²(3) = 12.18, p = 0.007 could not be reproduced from the gender counts in the statistics workbook (11.38, p = 0.010; still significant). Please check against the SPSS output.</w:t>
      </w:r>
    </w:p>
    <w:p>
      <w:pPr>
        <w:pStyle w:val="ListParagraph"/>
        <w:numPr>
          <w:ilvl w:val="0"/>
          <w:numId w:val="2"/>
        </w:numPr>
        <w:spacing w:after="80"/>
      </w:pPr>
      <w:r>
        <w:rPr>
          <w:b/>
          <w:bCs/>
        </w:rPr>
        <w:t xml:space="preserve">Root fenestration by tooth group (optional wording): </w:t>
      </w:r>
      <w:r>
        <w:t xml:space="preserve">p = 0.024 is the overall test across the four tooth groups. Suggested: “RF prevalence differed among tooth groups (χ² test, p = 0.024); post hoc comparison showed that first premolars were more affected than second premolars.”</w:t>
      </w:r>
    </w:p>
    <w:p>
      <w:pPr>
        <w:pStyle w:val="ListParagraph"/>
        <w:numPr>
          <w:ilvl w:val="0"/>
          <w:numId w:val="2"/>
        </w:numPr>
        <w:spacing w:after="80"/>
      </w:pPr>
      <w:r>
        <w:rPr>
          <w:b/>
          <w:bCs/>
        </w:rPr>
        <w:t xml:space="preserve">Age gradient (optional test): </w:t>
      </w:r>
      <w:r>
        <w:t xml:space="preserve">the Abstract states that dehiscence increased with age but no test is reported. From the Table 2 and 5 totals, a chi-square test for trend gives χ²(1) = 35.61, p &lt; 0.001 for dehiscence and χ²(1) = 0.49, p = 0.482 for RF. These could be added to the Table 2 and Table 5 sentences.</w:t>
      </w:r>
    </w:p>
    <w:p>
      <w:pPr>
        <w:pStyle w:val="Heading1"/>
        <w:pageBreakBefore/>
        <w:spacing w:after="140" w:before="280"/>
      </w:pPr>
      <w:r>
        <w:t xml:space="preserve">4. Figures 2–5</w:t>
      </w:r>
    </w:p>
    <w:p>
      <w:pPr>
        <w:keepNext/>
        <w:spacing w:after="80" w:before="240"/>
        <w:jc w:val="center"/>
      </w:pPr>
      <w:r>
        <w:drawing>
          <wp:inline distT="0" distB="0" distL="0" distR="0">
            <wp:extent cx="5715000" cy="3162300"/>
            <wp:effectExtent t="0" r="0" b="0" l="0"/>
            <wp:docPr id="1" name="fig2_alveolar_by_tooth" descr="Prevalence of root fenestration and dehiscence by tooth group. Bars show the percentage of teeth affected, with 95% confidence intervals (Wilson); n, number of teeth examined. p-values: chi-square test comparing tooth group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162300"/>
                    </a:xfrm>
                    <a:prstGeom prst="rect">
                      <a:avLst/>
                    </a:prstGeom>
                  </pic:spPr>
                </pic:pic>
              </a:graphicData>
            </a:graphic>
          </wp:inline>
        </w:drawing>
      </w:r>
    </w:p>
    <w:p>
      <w:pPr>
        <w:spacing w:after="240"/>
      </w:pPr>
      <w:r>
        <w:rPr>
          <w:b/>
          <w:bCs/>
        </w:rPr>
        <w:t xml:space="preserve">Figure 2. </w:t>
      </w:r>
      <w:r>
        <w:t xml:space="preserve">Prevalence of root fenestration and dehiscence by tooth group. Bars show the percentage of teeth affected, with 95% confidence intervals (Wilson); n, number of teeth examined. p-values: chi-square test comparing tooth groups.</w:t>
      </w:r>
    </w:p>
    <w:p>
      <w:pPr>
        <w:keepNext/>
        <w:spacing w:after="80" w:before="240"/>
        <w:jc w:val="center"/>
      </w:pPr>
      <w:r>
        <w:drawing>
          <wp:inline distT="0" distB="0" distL="0" distR="0">
            <wp:extent cx="5715000" cy="3162300"/>
            <wp:effectExtent t="0" r="0" b="0" l="0"/>
            <wp:docPr id="1" name="fig3_alveolar_by_age" descr="Prevalence of root fenestration and dehiscence by age group. Points show the percentage of teeth affected, with 95% confidence intervals (Wilson); n, number of teeth examined in each age group."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162300"/>
                    </a:xfrm>
                    <a:prstGeom prst="rect">
                      <a:avLst/>
                    </a:prstGeom>
                  </pic:spPr>
                </pic:pic>
              </a:graphicData>
            </a:graphic>
          </wp:inline>
        </w:drawing>
      </w:r>
    </w:p>
    <w:p>
      <w:pPr>
        <w:spacing w:after="240"/>
      </w:pPr>
      <w:r>
        <w:rPr>
          <w:b/>
          <w:bCs/>
        </w:rPr>
        <w:t xml:space="preserve">Figure 3. </w:t>
      </w:r>
      <w:r>
        <w:t xml:space="preserve">Prevalence of root fenestration and dehiscence by age group. Points show the percentage of teeth affected, with 95% confidence intervals (Wilson); n, number of teeth examined in each age group.</w:t>
      </w:r>
    </w:p>
    <w:p>
      <w:pPr>
        <w:keepNext/>
        <w:spacing w:after="80" w:before="240"/>
        <w:jc w:val="center"/>
      </w:pPr>
      <w:r>
        <w:drawing>
          <wp:inline distT="0" distB="0" distL="0" distR="0">
            <wp:extent cx="5715000" cy="2905125"/>
            <wp:effectExtent t="0" r="0" b="0" l="0"/>
            <wp:docPr id="1" name="fig4_sinus_by_tooth" descr="Vertical sinus–root relationship by tooth group. Bars show the percentage of roots of each type; n, number of roots. Type 0, no contact with the sinus floor; Type 1, contact; Type 2, lateral projection along the sinus with the apex outside it; Type 3, apical protrusion into the sinus. The distribution differed between tooth groups (chi-square test, p &lt; 0.001; Table 7)."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05125"/>
                    </a:xfrm>
                    <a:prstGeom prst="rect">
                      <a:avLst/>
                    </a:prstGeom>
                  </pic:spPr>
                </pic:pic>
              </a:graphicData>
            </a:graphic>
          </wp:inline>
        </w:drawing>
      </w:r>
    </w:p>
    <w:p>
      <w:pPr>
        <w:spacing w:after="240"/>
      </w:pPr>
      <w:r>
        <w:rPr>
          <w:b/>
          <w:bCs/>
        </w:rPr>
        <w:t xml:space="preserve">Figure 4. </w:t>
      </w:r>
      <w:r>
        <w:t xml:space="preserve">Vertical sinus–root relationship by tooth group. Bars show the percentage of roots of each type; n, number of roots. Type 0, no contact with the sinus floor; Type 1, contact; Type 2, lateral projection along the sinus with the apex outside it; Type 3, apical protrusion into the sinus. The distribution differed between tooth groups (chi-square test, p &lt; 0.001; Table 7).</w:t>
      </w:r>
    </w:p>
    <w:p>
      <w:pPr>
        <w:keepNext/>
        <w:spacing w:after="80" w:before="240"/>
        <w:jc w:val="center"/>
      </w:pPr>
      <w:r>
        <w:drawing>
          <wp:inline distT="0" distB="0" distL="0" distR="0">
            <wp:extent cx="5715000" cy="6858000"/>
            <wp:effectExtent t="0" r="0" b="0" l="0"/>
            <wp:docPr id="1" name="fig5_sinus_by_ethnicity" descr="Vertical sinus–root relationship by ethnicity, for each tooth group and for all tooth groups pooled. Bars show the percentage of roots of each type; n, number of roots. p-values: Fisher–Freeman–Halton exact test within tooth groups; chi-square test for all tooth groups pooled (Table 9)."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6858000"/>
                    </a:xfrm>
                    <a:prstGeom prst="rect">
                      <a:avLst/>
                    </a:prstGeom>
                  </pic:spPr>
                </pic:pic>
              </a:graphicData>
            </a:graphic>
          </wp:inline>
        </w:drawing>
      </w:r>
    </w:p>
    <w:p>
      <w:pPr>
        <w:spacing w:after="240"/>
      </w:pPr>
      <w:r>
        <w:rPr>
          <w:b/>
          <w:bCs/>
        </w:rPr>
        <w:t xml:space="preserve">Figure 5. </w:t>
      </w:r>
      <w:r>
        <w:t xml:space="preserve">Vertical sinus–root relationship by ethnicity, for each tooth group and for all tooth groups pooled. Bars show the percentage of roots of each type; n, number of roots. p-values: Fisher–Freeman–Halton exact test within tooth groups; chi-square test for all tooth groups pooled (Table 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6ed5fbcc984c03762af90222500fb8a8ef27ff.png"/><Relationship Id="rId8" Type="http://schemas.openxmlformats.org/officeDocument/2006/relationships/image" Target="media/2e35caa4ff999a0d7696547e1de84768e677fa69.png"/><Relationship Id="rId9" Type="http://schemas.openxmlformats.org/officeDocument/2006/relationships/image" Target="media/a8425718933fc2de285bf33ca74ef32eb4eb364f.png"/><Relationship Id="rId10" Type="http://schemas.openxmlformats.org/officeDocument/2006/relationships/image" Target="media/47a3717c34ea85be0bc6aba66dd57071817a356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notes: Table 9, manuscript text and Figures 2–5</dc:title>
  <dc:creator>Statistics revision</dc:creator>
  <cp:lastModifiedBy>Un-named</cp:lastModifiedBy>
  <cp:revision>1</cp:revision>
  <dcterms:created xsi:type="dcterms:W3CDTF">2026-10-26T07:31:40.550Z</dcterms:created>
  <dcterms:modified xsi:type="dcterms:W3CDTF">2026-10-26T07:31:40.550Z</dcterms:modified>
</cp:coreProperties>
</file>

<file path=docProps/custom.xml><?xml version="1.0" encoding="utf-8"?>
<Properties xmlns="http://schemas.openxmlformats.org/officeDocument/2006/custom-properties" xmlns:vt="http://schemas.openxmlformats.org/officeDocument/2006/docPropsVTypes"/>
</file>