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FF6600"/>
          <w:sz w:val="56"/>
          <w:szCs w:val="56"/>
        </w:rPr>
        <w:t xml:space="preserve">Cloudflare</w:t>
      </w:r>
    </w:p>
    <w:p>
      <w:pPr>
        <w:spacing w:after="120"/>
      </w:pPr>
      <w:r>
        <w:rPr>
          <w:rFonts w:ascii="Arial" w:cs="Arial" w:eastAsia="Arial" w:hAnsi="Arial"/>
          <w:b/>
          <w:bCs/>
          <w:color w:val="000000"/>
          <w:sz w:val="32"/>
          <w:szCs w:val="32"/>
        </w:rPr>
        <w:t xml:space="preserve">Propuesta de solución — Voice Order Agent</w:t>
      </w:r>
    </w:p>
    <w:p>
      <w:pPr>
        <w:spacing w:after="60"/>
      </w:pPr>
      <w:r>
        <w:rPr>
          <w:rFonts w:ascii="Arial" w:cs="Arial" w:eastAsia="Arial" w:hAnsi="Arial"/>
          <w:color w:val="000000"/>
          <w:sz w:val="28"/>
          <w:szCs w:val="28"/>
        </w:rPr>
        <w:t xml:space="preserve">Automatización de pedidos por voz con tecnología Cloudflare</w:t>
      </w:r>
    </w:p>
    <w:p>
      <w:pPr>
        <w:spacing w:after="480"/>
      </w:pPr>
      <w:r>
        <w:rPr>
          <w:rFonts w:ascii="Arial" w:cs="Arial" w:eastAsia="Arial" w:hAnsi="Arial"/>
          <w:color w:val="000000"/>
          <w:sz w:val="28"/>
          <w:szCs w:val="28"/>
        </w:rPr>
        <w:t xml:space="preserve">Base10</w:t>
      </w:r>
    </w:p>
    <w:p>
      <w:pPr>
        <w:spacing w:after="120"/>
        <w:jc w:val="both"/>
      </w:pPr>
      <w:r>
        <w:rPr>
          <w:rFonts w:ascii="Arial" w:cs="Arial" w:eastAsia="Arial" w:hAnsi="Arial"/>
          <w:color w:val="000000"/>
          <w:sz w:val="22"/>
          <w:szCs w:val="22"/>
        </w:rPr>
        <w:t xml:space="preserve">Cliente: BASE10 Sistemas Informáticos SL</w:t>
      </w:r>
    </w:p>
    <w:p>
      <w:pPr>
        <w:spacing w:after="120"/>
        <w:jc w:val="both"/>
      </w:pPr>
      <w:r>
        <w:rPr>
          <w:rFonts w:ascii="Arial" w:cs="Arial" w:eastAsia="Arial" w:hAnsi="Arial"/>
          <w:color w:val="000000"/>
          <w:sz w:val="22"/>
          <w:szCs w:val="22"/>
        </w:rPr>
        <w:t xml:space="preserve">Fabricante: Cloudflare, Inc.</w:t>
      </w:r>
    </w:p>
    <w:p>
      <w:pPr>
        <w:spacing w:after="120"/>
        <w:jc w:val="both"/>
      </w:pPr>
      <w:r>
        <w:rPr>
          <w:rFonts w:ascii="Arial" w:cs="Arial" w:eastAsia="Arial" w:hAnsi="Arial"/>
          <w:color w:val="000000"/>
          <w:sz w:val="22"/>
          <w:szCs w:val="22"/>
        </w:rPr>
        <w:t xml:space="preserve">Partner integrador: A2R (capa agéntica y RAG)</w:t>
      </w:r>
    </w:p>
    <w:p>
      <w:pPr>
        <w:spacing w:after="120"/>
        <w:jc w:val="both"/>
      </w:pPr>
      <w:r>
        <w:rPr>
          <w:rFonts w:ascii="Arial" w:cs="Arial" w:eastAsia="Arial" w:hAnsi="Arial"/>
          <w:color w:val="000000"/>
          <w:sz w:val="22"/>
          <w:szCs w:val="22"/>
        </w:rPr>
        <w:t xml:space="preserve">Fecha de emisión: 17 de junio de 2026</w:t>
      </w:r>
    </w:p>
    <w:p>
      <w:pPr>
        <w:spacing w:after="120"/>
        <w:jc w:val="both"/>
      </w:pPr>
      <w:r>
        <w:rPr>
          <w:rFonts w:ascii="Arial" w:cs="Arial" w:eastAsia="Arial" w:hAnsi="Arial"/>
          <w:color w:val="000000"/>
          <w:sz w:val="22"/>
          <w:szCs w:val="22"/>
        </w:rPr>
        <w:t xml:space="preserve">Validez de la oferta: 60 días desde la fecha de emisión</w:t>
      </w:r>
    </w:p>
    <w:p>
      <w:pPr>
        <w:spacing w:after="120"/>
        <w:jc w:val="both"/>
      </w:pPr>
      <w:r>
        <w:rPr>
          <w:rFonts w:ascii="Arial" w:cs="Arial" w:eastAsia="Arial" w:hAnsi="Arial"/>
          <w:color w:val="000000"/>
          <w:sz w:val="22"/>
          <w:szCs w:val="22"/>
        </w:rPr>
        <w:t xml:space="preserve">Contacto: Equipo de cuenta Cloudflare</w:t>
      </w:r>
    </w:p>
    <w:p>
      <w:r>
        <w:br w:type="page"/>
      </w:r>
    </w:p>
    <w:p>
      <w:pPr>
        <w:pStyle w:val="Heading1"/>
        <w:spacing w:after="180" w:before="360"/>
      </w:pPr>
      <w:r>
        <w:rPr>
          <w:rFonts w:ascii="Arial" w:cs="Arial" w:eastAsia="Arial" w:hAnsi="Arial"/>
          <w:b/>
          <w:bCs/>
          <w:color w:val="FF6600"/>
          <w:sz w:val="36"/>
          <w:szCs w:val="36"/>
        </w:rPr>
        <w:t xml:space="preserve">Índice</w:t>
      </w:r>
    </w:p>
    <w:p>
      <w:pPr>
        <w:spacing w:after="120"/>
        <w:jc w:val="both"/>
      </w:pPr>
      <w:r>
        <w:rPr>
          <w:rFonts w:ascii="Arial" w:cs="Arial" w:eastAsia="Arial" w:hAnsi="Arial"/>
          <w:color w:val="000000"/>
          <w:sz w:val="22"/>
          <w:szCs w:val="22"/>
        </w:rPr>
        <w:t xml:space="preserve">1. Resumen ejecutivo</w:t>
      </w:r>
    </w:p>
    <w:p>
      <w:pPr>
        <w:spacing w:after="120"/>
        <w:jc w:val="both"/>
      </w:pPr>
      <w:r>
        <w:rPr>
          <w:rFonts w:ascii="Arial" w:cs="Arial" w:eastAsia="Arial" w:hAnsi="Arial"/>
          <w:color w:val="000000"/>
          <w:sz w:val="22"/>
          <w:szCs w:val="22"/>
        </w:rPr>
        <w:t xml:space="preserve">2. Contexto, alcance y objetivos</w:t>
      </w:r>
    </w:p>
    <w:p>
      <w:pPr>
        <w:spacing w:after="120"/>
        <w:jc w:val="both"/>
      </w:pPr>
      <w:r>
        <w:rPr>
          <w:rFonts w:ascii="Arial" w:cs="Arial" w:eastAsia="Arial" w:hAnsi="Arial"/>
          <w:color w:val="000000"/>
          <w:sz w:val="22"/>
          <w:szCs w:val="22"/>
        </w:rPr>
        <w:t xml:space="preserve">3. Cloudflare como plataforma</w:t>
      </w:r>
    </w:p>
    <w:p>
      <w:pPr>
        <w:spacing w:after="120"/>
        <w:jc w:val="both"/>
      </w:pPr>
      <w:r>
        <w:rPr>
          <w:rFonts w:ascii="Arial" w:cs="Arial" w:eastAsia="Arial" w:hAnsi="Arial"/>
          <w:color w:val="000000"/>
          <w:sz w:val="22"/>
          <w:szCs w:val="22"/>
        </w:rPr>
        <w:t xml:space="preserve">4. Arquitectura de la solución</w:t>
      </w:r>
    </w:p>
    <w:p>
      <w:pPr>
        <w:spacing w:after="120"/>
        <w:jc w:val="both"/>
      </w:pPr>
      <w:r>
        <w:rPr>
          <w:rFonts w:ascii="Arial" w:cs="Arial" w:eastAsia="Arial" w:hAnsi="Arial"/>
          <w:color w:val="000000"/>
          <w:sz w:val="22"/>
          <w:szCs w:val="22"/>
        </w:rPr>
        <w:t xml:space="preserve">5. Servicios Cloudflare empleados</w:t>
      </w:r>
    </w:p>
    <w:p>
      <w:pPr>
        <w:spacing w:after="120"/>
        <w:jc w:val="both"/>
      </w:pPr>
      <w:r>
        <w:rPr>
          <w:rFonts w:ascii="Arial" w:cs="Arial" w:eastAsia="Arial" w:hAnsi="Arial"/>
          <w:color w:val="000000"/>
          <w:sz w:val="22"/>
          <w:szCs w:val="22"/>
        </w:rPr>
        <w:t xml:space="preserve">6. Cobertura de los requisitos funcionales</w:t>
      </w:r>
    </w:p>
    <w:p>
      <w:pPr>
        <w:spacing w:after="120"/>
        <w:jc w:val="both"/>
      </w:pPr>
      <w:r>
        <w:rPr>
          <w:rFonts w:ascii="Arial" w:cs="Arial" w:eastAsia="Arial" w:hAnsi="Arial"/>
          <w:color w:val="000000"/>
          <w:sz w:val="22"/>
          <w:szCs w:val="22"/>
        </w:rPr>
        <w:t xml:space="preserve">7. Agentes y modelos de IA utilizables</w:t>
      </w:r>
    </w:p>
    <w:p>
      <w:pPr>
        <w:spacing w:after="120"/>
        <w:jc w:val="both"/>
      </w:pPr>
      <w:r>
        <w:rPr>
          <w:rFonts w:ascii="Arial" w:cs="Arial" w:eastAsia="Arial" w:hAnsi="Arial"/>
          <w:color w:val="000000"/>
          <w:sz w:val="22"/>
          <w:szCs w:val="22"/>
        </w:rPr>
        <w:t xml:space="preserve">8. Data Localization Suite y cumplimiento (RGPD / EU AI Act)</w:t>
      </w:r>
    </w:p>
    <w:p>
      <w:pPr>
        <w:spacing w:after="120"/>
        <w:jc w:val="both"/>
      </w:pPr>
      <w:r>
        <w:rPr>
          <w:rFonts w:ascii="Arial" w:cs="Arial" w:eastAsia="Arial" w:hAnsi="Arial"/>
          <w:color w:val="000000"/>
          <w:sz w:val="22"/>
          <w:szCs w:val="22"/>
        </w:rPr>
        <w:t xml:space="preserve">9. Seguridad y gobierno de la IA</w:t>
      </w:r>
    </w:p>
    <w:p>
      <w:pPr>
        <w:spacing w:after="120"/>
        <w:jc w:val="both"/>
      </w:pPr>
      <w:r>
        <w:rPr>
          <w:rFonts w:ascii="Arial" w:cs="Arial" w:eastAsia="Arial" w:hAnsi="Arial"/>
          <w:color w:val="000000"/>
          <w:sz w:val="22"/>
          <w:szCs w:val="22"/>
        </w:rPr>
        <w:t xml:space="preserve">10. Modelo de costes</w:t>
      </w:r>
    </w:p>
    <w:p>
      <w:pPr>
        <w:spacing w:after="120"/>
        <w:jc w:val="both"/>
      </w:pPr>
      <w:r>
        <w:rPr>
          <w:rFonts w:ascii="Arial" w:cs="Arial" w:eastAsia="Arial" w:hAnsi="Arial"/>
          <w:color w:val="000000"/>
          <w:sz w:val="22"/>
          <w:szCs w:val="22"/>
        </w:rPr>
        <w:t xml:space="preserve">11. Gestión del proyecto y fases</w:t>
      </w:r>
    </w:p>
    <w:p>
      <w:pPr>
        <w:spacing w:after="120"/>
        <w:jc w:val="both"/>
      </w:pPr>
      <w:r>
        <w:rPr>
          <w:rFonts w:ascii="Arial" w:cs="Arial" w:eastAsia="Arial" w:hAnsi="Arial"/>
          <w:color w:val="000000"/>
          <w:sz w:val="22"/>
          <w:szCs w:val="22"/>
        </w:rPr>
        <w:t xml:space="preserve">12. Plan de la Fase 1 (Evaluación + POC)</w:t>
      </w:r>
    </w:p>
    <w:p>
      <w:pPr>
        <w:spacing w:after="120"/>
        <w:jc w:val="both"/>
      </w:pPr>
      <w:r>
        <w:rPr>
          <w:rFonts w:ascii="Arial" w:cs="Arial" w:eastAsia="Arial" w:hAnsi="Arial"/>
          <w:color w:val="000000"/>
          <w:sz w:val="22"/>
          <w:szCs w:val="22"/>
        </w:rPr>
        <w:t xml:space="preserve">13. Riesgos y mitigación</w:t>
      </w:r>
    </w:p>
    <w:p>
      <w:pPr>
        <w:spacing w:after="120"/>
        <w:jc w:val="both"/>
      </w:pPr>
      <w:r>
        <w:rPr>
          <w:rFonts w:ascii="Arial" w:cs="Arial" w:eastAsia="Arial" w:hAnsi="Arial"/>
          <w:color w:val="000000"/>
          <w:sz w:val="22"/>
          <w:szCs w:val="22"/>
        </w:rPr>
        <w:t xml:space="preserve">14. Soporte, equipo y certificaciones</w:t>
      </w:r>
    </w:p>
    <w:p>
      <w:pPr>
        <w:spacing w:after="120"/>
        <w:jc w:val="both"/>
      </w:pPr>
      <w:r>
        <w:rPr>
          <w:rFonts w:ascii="Arial" w:cs="Arial" w:eastAsia="Arial" w:hAnsi="Arial"/>
          <w:color w:val="000000"/>
          <w:sz w:val="22"/>
          <w:szCs w:val="22"/>
        </w:rPr>
        <w:t xml:space="preserve">15. Escenario económico consolidado</w:t>
      </w:r>
    </w:p>
    <w:p>
      <w:r>
        <w:br w:type="page"/>
      </w:r>
    </w:p>
    <w:p>
      <w:pPr>
        <w:pStyle w:val="Heading1"/>
        <w:spacing w:after="180" w:before="360"/>
      </w:pPr>
      <w:r>
        <w:rPr>
          <w:rFonts w:ascii="Arial" w:cs="Arial" w:eastAsia="Arial" w:hAnsi="Arial"/>
          <w:b/>
          <w:bCs/>
          <w:color w:val="FF6600"/>
          <w:sz w:val="36"/>
          <w:szCs w:val="36"/>
        </w:rPr>
        <w:t xml:space="preserve">1. Resumen ejecutivo</w:t>
      </w:r>
    </w:p>
    <w:p>
      <w:pPr>
        <w:spacing w:after="120"/>
        <w:jc w:val="both"/>
      </w:pPr>
      <w:r>
        <w:rPr>
          <w:rFonts w:ascii="Arial" w:cs="Arial" w:eastAsia="Arial" w:hAnsi="Arial"/>
          <w:color w:val="000000"/>
          <w:sz w:val="22"/>
          <w:szCs w:val="22"/>
        </w:rPr>
        <w:t xml:space="preserve">Base10 opera un contact center en España donde los comerciales cursan pedidos telefónicos de forma síncrona, lo que limita la capacidad del equipo. El objetivo es sustituir progresivamente esa gestión manual por un agente virtual de IA capaz de atender la llamada, comprender el pedido en lenguaje natural, consultar el catálogo, identificar al cliente, crear el pedido estructurado y escalar a un operador cuando sea necesario.</w:t>
      </w:r>
    </w:p>
    <w:p>
      <w:pPr>
        <w:spacing w:after="120"/>
        <w:jc w:val="both"/>
      </w:pPr>
      <w:r>
        <w:rPr>
          <w:rFonts w:ascii="Arial" w:cs="Arial" w:eastAsia="Arial" w:hAnsi="Arial"/>
          <w:color w:val="000000"/>
          <w:sz w:val="22"/>
          <w:szCs w:val="22"/>
        </w:rPr>
        <w:t xml:space="preserve">Esta propuesta describe una solución de máximos construida íntegramente sobre la plataforma Cloudflare para la capa de voz, inferencia y orquestación agéntica, integrándose con la plataforma de contact center NICE CXOne (que mantiene la telefonía y vuelca el audio de la llamada) y con el ERP/OMS del cliente para la creación del pedido.</w:t>
      </w:r>
    </w:p>
    <w:p>
      <w:pPr>
        <w:spacing w:after="120"/>
        <w:jc w:val="both"/>
      </w:pPr>
      <w:r>
        <w:rPr>
          <w:rFonts w:ascii="Arial" w:cs="Arial" w:eastAsia="Arial" w:hAnsi="Arial"/>
          <w:color w:val="000000"/>
          <w:sz w:val="22"/>
          <w:szCs w:val="22"/>
        </w:rPr>
        <w:t xml:space="preserve">La capa agéntica y de conocimiento (RAG) la aporta A2R sobre los servicios gestionados de Cloudflare: comprensión de intención, recuperación sobre conocimiento propio y extracción estructurada del pedido con tool-use, ya probada a escala con más de 350.000 interacciones mensuales.</w:t>
      </w:r>
    </w:p>
    <w:p>
      <w:pPr>
        <w:pStyle w:val="Heading2"/>
        <w:spacing w:after="120" w:before="240"/>
      </w:pPr>
      <w:r>
        <w:rPr>
          <w:rFonts w:ascii="Arial" w:cs="Arial" w:eastAsia="Arial" w:hAnsi="Arial"/>
          <w:b/>
          <w:bCs/>
          <w:color w:val="FF6600"/>
          <w:sz w:val="28"/>
          <w:szCs w:val="28"/>
        </w:rPr>
        <w:t xml:space="preserve">Por qué Cloudflare</w:t>
      </w:r>
    </w:p>
    <w:p>
      <w:pPr>
        <w:pStyle w:val="ListParagraph"/>
        <w:numPr>
          <w:ilvl w:val="0"/>
          <w:numId w:val="2"/>
        </w:numPr>
        <w:spacing w:after="80"/>
      </w:pPr>
      <w:r>
        <w:rPr>
          <w:rFonts w:ascii="Arial" w:cs="Arial" w:eastAsia="Arial" w:hAnsi="Arial"/>
          <w:color w:val="000000"/>
          <w:sz w:val="22"/>
          <w:szCs w:val="22"/>
        </w:rPr>
        <w:t xml:space="preserve">Pila completa de voz e IA en una única red global: ASR, TTS, detección de turno, LLM, embeddings, base vectorial, orquestación agéntica y observabilidad bajo un único plano de control.</w:t>
      </w:r>
    </w:p>
    <w:p>
      <w:pPr>
        <w:pStyle w:val="ListParagraph"/>
        <w:numPr>
          <w:ilvl w:val="0"/>
          <w:numId w:val="2"/>
        </w:numPr>
        <w:spacing w:after="80"/>
      </w:pPr>
      <w:r>
        <w:rPr>
          <w:rFonts w:ascii="Arial" w:cs="Arial" w:eastAsia="Arial" w:hAnsi="Arial"/>
          <w:color w:val="000000"/>
          <w:sz w:val="22"/>
          <w:szCs w:val="22"/>
        </w:rPr>
        <w:t xml:space="preserve">Inferencia en la propia red de Cloudflare (Workers AI con GPU serverless), sin exportar datos a terceros y con coste por uso.</w:t>
      </w:r>
    </w:p>
    <w:p>
      <w:pPr>
        <w:pStyle w:val="ListParagraph"/>
        <w:numPr>
          <w:ilvl w:val="0"/>
          <w:numId w:val="2"/>
        </w:numPr>
        <w:spacing w:after="80"/>
      </w:pPr>
      <w:r>
        <w:rPr>
          <w:rFonts w:ascii="Arial" w:cs="Arial" w:eastAsia="Arial" w:hAnsi="Arial"/>
          <w:color w:val="000000"/>
          <w:sz w:val="22"/>
          <w:szCs w:val="22"/>
        </w:rPr>
        <w:t xml:space="preserve">Residencia de datos en la UE garantizable mediante Data Localization Suite, clave para el RGPD del contact center español.</w:t>
      </w:r>
    </w:p>
    <w:p>
      <w:pPr>
        <w:pStyle w:val="ListParagraph"/>
        <w:numPr>
          <w:ilvl w:val="0"/>
          <w:numId w:val="2"/>
        </w:numPr>
        <w:spacing w:after="80"/>
      </w:pPr>
      <w:r>
        <w:rPr>
          <w:rFonts w:ascii="Arial" w:cs="Arial" w:eastAsia="Arial" w:hAnsi="Arial"/>
          <w:color w:val="000000"/>
          <w:sz w:val="22"/>
          <w:szCs w:val="22"/>
        </w:rPr>
        <w:t xml:space="preserve">Sin lock-in de modelo: AI Gateway permite conmutar y combinar modelos de Cloudflare, OpenAI, Anthropic o Gemini con fallback automático.</w:t>
      </w:r>
    </w:p>
    <w:p>
      <w:pPr>
        <w:pStyle w:val="ListParagraph"/>
        <w:numPr>
          <w:ilvl w:val="0"/>
          <w:numId w:val="2"/>
        </w:numPr>
        <w:spacing w:after="80"/>
      </w:pPr>
      <w:r>
        <w:rPr>
          <w:rFonts w:ascii="Arial" w:cs="Arial" w:eastAsia="Arial" w:hAnsi="Arial"/>
          <w:color w:val="000000"/>
          <w:sz w:val="22"/>
          <w:szCs w:val="22"/>
        </w:rPr>
        <w:t xml:space="preserve">Latencia baja por diseño: todo se ejecuta en el borde, en cientos de ciudades.</w:t>
      </w:r>
    </w:p>
    <w:p>
      <w:r>
        <w:br w:type="page"/>
      </w:r>
    </w:p>
    <w:p>
      <w:pPr>
        <w:pStyle w:val="Heading1"/>
        <w:spacing w:after="180" w:before="360"/>
      </w:pPr>
      <w:r>
        <w:rPr>
          <w:rFonts w:ascii="Arial" w:cs="Arial" w:eastAsia="Arial" w:hAnsi="Arial"/>
          <w:b/>
          <w:bCs/>
          <w:color w:val="FF6600"/>
          <w:sz w:val="36"/>
          <w:szCs w:val="36"/>
        </w:rPr>
        <w:t xml:space="preserve">2. Contexto, alcance y objetivos</w:t>
      </w:r>
    </w:p>
    <w:p>
      <w:pPr>
        <w:pStyle w:val="Heading2"/>
        <w:spacing w:after="120" w:before="240"/>
      </w:pPr>
      <w:r>
        <w:rPr>
          <w:rFonts w:ascii="Arial" w:cs="Arial" w:eastAsia="Arial" w:hAnsi="Arial"/>
          <w:b/>
          <w:bCs/>
          <w:color w:val="FF6600"/>
          <w:sz w:val="28"/>
          <w:szCs w:val="28"/>
        </w:rPr>
        <w:t xml:space="preserve">Objetivos del proyecto</w:t>
      </w:r>
    </w:p>
    <w:p>
      <w:pPr>
        <w:pStyle w:val="ListParagraph"/>
        <w:numPr>
          <w:ilvl w:val="0"/>
          <w:numId w:val="2"/>
        </w:numPr>
        <w:spacing w:after="80"/>
      </w:pPr>
      <w:r>
        <w:rPr>
          <w:rFonts w:ascii="Arial" w:cs="Arial" w:eastAsia="Arial" w:hAnsi="Arial"/>
          <w:color w:val="000000"/>
          <w:sz w:val="22"/>
          <w:szCs w:val="22"/>
        </w:rPr>
        <w:t xml:space="preserve">A corto plazo: incorporar canales asíncronos (WhatsApp) para reducir la carga de llamadas (Fase 0, sin IA, fuera del alcance de esta propuesta de IA).</w:t>
      </w:r>
    </w:p>
    <w:p>
      <w:pPr>
        <w:pStyle w:val="ListParagraph"/>
        <w:numPr>
          <w:ilvl w:val="0"/>
          <w:numId w:val="2"/>
        </w:numPr>
        <w:spacing w:after="80"/>
      </w:pPr>
      <w:r>
        <w:rPr>
          <w:rFonts w:ascii="Arial" w:cs="Arial" w:eastAsia="Arial" w:hAnsi="Arial"/>
          <w:color w:val="000000"/>
          <w:sz w:val="22"/>
          <w:szCs w:val="22"/>
        </w:rPr>
        <w:t xml:space="preserve">A medio-largo plazo: automatizar la gestión de pedidos mediante un agente virtual con IA, eliminando progresivamente la intervención humana en las interacciones de mayor volumen y menor complejidad.</w:t>
      </w:r>
    </w:p>
    <w:p>
      <w:pPr>
        <w:pStyle w:val="Heading2"/>
        <w:spacing w:after="120" w:before="240"/>
      </w:pPr>
      <w:r>
        <w:rPr>
          <w:rFonts w:ascii="Arial" w:cs="Arial" w:eastAsia="Arial" w:hAnsi="Arial"/>
          <w:b/>
          <w:bCs/>
          <w:color w:val="FF6600"/>
          <w:sz w:val="28"/>
          <w:szCs w:val="28"/>
        </w:rPr>
        <w:t xml:space="preserve">Alcance de esta propuesta</w:t>
      </w:r>
    </w:p>
    <w:p>
      <w:pPr>
        <w:spacing w:after="120"/>
        <w:jc w:val="both"/>
      </w:pPr>
      <w:r>
        <w:rPr>
          <w:rFonts w:ascii="Arial" w:cs="Arial" w:eastAsia="Arial" w:hAnsi="Arial"/>
          <w:color w:val="000000"/>
          <w:sz w:val="22"/>
          <w:szCs w:val="22"/>
        </w:rPr>
        <w:t xml:space="preserve">El alcance se centra en el agente virtual de las Fases 1, 2 y 3. La Fase 1 (Evaluación tecnológica + POC) es el hito contratable inmediato y deja fijados, con cifras firmes, el dimensionado y la planificación de las Fases 2 y 3.</w:t>
      </w:r>
    </w:p>
    <w:p>
      <w:pPr>
        <w:spacing w:after="80" w:before="12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19325"/>
                    </a:xfrm>
                    <a:prstGeom prst="rect">
                      <a:avLst/>
                    </a:prstGeom>
                  </pic:spPr>
                </pic:pic>
              </a:graphicData>
            </a:graphic>
          </wp:inline>
        </w:drawing>
      </w:r>
    </w:p>
    <w:p>
      <w:pPr>
        <w:spacing w:after="160"/>
        <w:jc w:val="center"/>
      </w:pPr>
      <w:r>
        <w:rPr>
          <w:rFonts w:ascii="Arial" w:cs="Arial" w:eastAsia="Arial" w:hAnsi="Arial"/>
          <w:i/>
          <w:iCs/>
          <w:color w:val="5B5B60"/>
          <w:sz w:val="18"/>
          <w:szCs w:val="18"/>
        </w:rPr>
        <w:t xml:space="preserve">Plan por fases del proyecto. El foco de esta propuesta son las fases F1 a F3.</w:t>
      </w:r>
    </w:p>
    <w:p>
      <w:pPr>
        <w:pStyle w:val="Heading2"/>
        <w:spacing w:after="120" w:before="240"/>
      </w:pPr>
      <w:r>
        <w:rPr>
          <w:rFonts w:ascii="Arial" w:cs="Arial" w:eastAsia="Arial" w:hAnsi="Arial"/>
          <w:b/>
          <w:bCs/>
          <w:color w:val="FF6600"/>
          <w:sz w:val="28"/>
          <w:szCs w:val="28"/>
        </w:rPr>
        <w:t xml:space="preserve">Restricciones y condicionantes (del pliego de Base10)</w:t>
      </w:r>
    </w:p>
    <w:p>
      <w:pPr>
        <w:pStyle w:val="ListParagraph"/>
        <w:numPr>
          <w:ilvl w:val="0"/>
          <w:numId w:val="2"/>
        </w:numPr>
        <w:spacing w:after="80"/>
      </w:pPr>
      <w:r>
        <w:rPr>
          <w:rFonts w:ascii="Arial" w:cs="Arial" w:eastAsia="Arial" w:hAnsi="Arial"/>
          <w:color w:val="000000"/>
          <w:sz w:val="22"/>
          <w:szCs w:val="22"/>
        </w:rPr>
        <w:t xml:space="preserve">El contact center opera sobre NICE CXOne; la solución debe integrarse con esta plataforma.</w:t>
      </w:r>
    </w:p>
    <w:p>
      <w:pPr>
        <w:pStyle w:val="ListParagraph"/>
        <w:numPr>
          <w:ilvl w:val="0"/>
          <w:numId w:val="2"/>
        </w:numPr>
        <w:spacing w:after="80"/>
      </w:pPr>
      <w:r>
        <w:rPr>
          <w:rFonts w:ascii="Arial" w:cs="Arial" w:eastAsia="Arial" w:hAnsi="Arial"/>
          <w:color w:val="000000"/>
          <w:sz w:val="22"/>
          <w:szCs w:val="22"/>
        </w:rPr>
        <w:t xml:space="preserve">El proyecto se enmarca en la plataforma corporativa STG AI Platform; los agentes deben registrarse en el AI Agents Registry corporativo.</w:t>
      </w:r>
    </w:p>
    <w:p>
      <w:pPr>
        <w:pStyle w:val="ListParagraph"/>
        <w:numPr>
          <w:ilvl w:val="0"/>
          <w:numId w:val="2"/>
        </w:numPr>
        <w:spacing w:after="80"/>
      </w:pPr>
      <w:r>
        <w:rPr>
          <w:rFonts w:ascii="Arial" w:cs="Arial" w:eastAsia="Arial" w:hAnsi="Arial"/>
          <w:color w:val="000000"/>
          <w:sz w:val="22"/>
          <w:szCs w:val="22"/>
        </w:rPr>
        <w:t xml:space="preserve">Cumplimiento RGPD y EU AI Act por diseño. Las grabaciones de voz son datos personales.</w:t>
      </w:r>
    </w:p>
    <w:p>
      <w:pPr>
        <w:pStyle w:val="ListParagraph"/>
        <w:numPr>
          <w:ilvl w:val="0"/>
          <w:numId w:val="2"/>
        </w:numPr>
        <w:spacing w:after="80"/>
      </w:pPr>
      <w:r>
        <w:rPr>
          <w:rFonts w:ascii="Arial" w:cs="Arial" w:eastAsia="Arial" w:hAnsi="Arial"/>
          <w:color w:val="000000"/>
          <w:sz w:val="22"/>
          <w:szCs w:val="22"/>
        </w:rPr>
        <w:t xml:space="preserve">El presupuesto definitivo se fija a partir de los resultados de la Fase 1.</w:t>
      </w:r>
    </w:p>
    <w:p>
      <w:r>
        <w:br w:type="page"/>
      </w:r>
    </w:p>
    <w:p>
      <w:pPr>
        <w:pStyle w:val="Heading1"/>
        <w:spacing w:after="180" w:before="360"/>
      </w:pPr>
      <w:r>
        <w:rPr>
          <w:rFonts w:ascii="Arial" w:cs="Arial" w:eastAsia="Arial" w:hAnsi="Arial"/>
          <w:b/>
          <w:bCs/>
          <w:color w:val="FF6600"/>
          <w:sz w:val="36"/>
          <w:szCs w:val="36"/>
        </w:rPr>
        <w:t xml:space="preserve">3. Cloudflare como plataforma</w:t>
      </w:r>
    </w:p>
    <w:p>
      <w:pPr>
        <w:spacing w:after="120"/>
        <w:jc w:val="both"/>
      </w:pPr>
      <w:r>
        <w:rPr>
          <w:rFonts w:ascii="Arial" w:cs="Arial" w:eastAsia="Arial" w:hAnsi="Arial"/>
          <w:color w:val="000000"/>
          <w:sz w:val="22"/>
          <w:szCs w:val="22"/>
        </w:rPr>
        <w:t xml:space="preserve">Cloudflare, Inc. (NYSE: NET) es una compañía tecnológica fundada en 2009 cuya plataforma integra seguridad de aplicaciones y APIs, conectividad Zero Trust, rendimiento, una plataforma de desarrollo serverless y una suite de IA, todo bajo un único plano de control y un único contrato.</w:t>
      </w:r>
    </w:p>
    <w:p>
      <w:pPr>
        <w:pStyle w:val="Heading2"/>
        <w:spacing w:after="120" w:before="240"/>
      </w:pPr>
      <w:r>
        <w:rPr>
          <w:rFonts w:ascii="Arial" w:cs="Arial" w:eastAsia="Arial" w:hAnsi="Arial"/>
          <w:b/>
          <w:bCs/>
          <w:color w:val="FF6600"/>
          <w:sz w:val="28"/>
          <w:szCs w:val="28"/>
        </w:rPr>
        <w:t xml:space="preserve">Red global y arquitectura Anycast</w:t>
      </w:r>
    </w:p>
    <w:p>
      <w:pPr>
        <w:spacing w:after="120"/>
        <w:jc w:val="both"/>
      </w:pPr>
      <w:r>
        <w:rPr>
          <w:rFonts w:ascii="Arial" w:cs="Arial" w:eastAsia="Arial" w:hAnsi="Arial"/>
          <w:color w:val="000000"/>
          <w:sz w:val="22"/>
          <w:szCs w:val="22"/>
        </w:rPr>
        <w:t xml:space="preserve">Cloudflare opera una red Anycast presente en más de 330 ciudades en más de 125 países, con una capacidad agregada superior a 321 Tbps. Toda petición se atiende desde el centro de datos más cercano, reduciendo la latencia, factor determinante para una conversación de voz percibida como natural.</w:t>
      </w:r>
    </w:p>
    <w:p>
      <w:pPr>
        <w:spacing w:after="120"/>
        <w:jc w:val="both"/>
      </w:pPr>
      <w:r>
        <w:rPr>
          <w:rFonts w:ascii="Arial" w:cs="Arial" w:eastAsia="Arial" w:hAnsi="Arial"/>
          <w:color w:val="000000"/>
          <w:sz w:val="22"/>
          <w:szCs w:val="22"/>
        </w:rPr>
        <w:t xml:space="preserve">Mapa de la red: </w:t>
      </w:r>
      <w:hyperlink w:history="1" r:id="rIdydjrnts0xcgu1jtplwvl-">
        <w:r>
          <w:rPr>
            <w:rFonts w:ascii="Arial" w:cs="Arial" w:eastAsia="Arial" w:hAnsi="Arial"/>
            <w:color w:val="0563C1"/>
            <w:sz w:val="22"/>
            <w:szCs w:val="22"/>
            <w:u w:val="single"/>
          </w:rPr>
          <w:t xml:space="preserve">cloudflare.com/network</w:t>
        </w:r>
      </w:hyperlink>
    </w:p>
    <w:p>
      <w:pPr>
        <w:pStyle w:val="Heading2"/>
        <w:spacing w:after="120" w:before="240"/>
      </w:pPr>
      <w:r>
        <w:rPr>
          <w:rFonts w:ascii="Arial" w:cs="Arial" w:eastAsia="Arial" w:hAnsi="Arial"/>
          <w:b/>
          <w:bCs/>
          <w:color w:val="FF6600"/>
          <w:sz w:val="28"/>
          <w:szCs w:val="28"/>
        </w:rPr>
        <w:t xml:space="preserve">Cumplimiento y certificaciones</w:t>
      </w:r>
    </w:p>
    <w:p>
      <w:pPr>
        <w:pStyle w:val="ListParagraph"/>
        <w:numPr>
          <w:ilvl w:val="0"/>
          <w:numId w:val="2"/>
        </w:numPr>
        <w:spacing w:after="80"/>
      </w:pPr>
      <w:r>
        <w:rPr>
          <w:rFonts w:ascii="Arial" w:cs="Arial" w:eastAsia="Arial" w:hAnsi="Arial"/>
          <w:color w:val="000000"/>
          <w:sz w:val="22"/>
          <w:szCs w:val="22"/>
        </w:rPr>
        <w:t xml:space="preserve">ENS (Esquema Nacional de Seguridad) nivel Alto — España.</w:t>
      </w:r>
    </w:p>
    <w:p>
      <w:pPr>
        <w:pStyle w:val="ListParagraph"/>
        <w:numPr>
          <w:ilvl w:val="0"/>
          <w:numId w:val="2"/>
        </w:numPr>
        <w:spacing w:after="80"/>
      </w:pPr>
      <w:r>
        <w:rPr>
          <w:rFonts w:ascii="Arial" w:cs="Arial" w:eastAsia="Arial" w:hAnsi="Arial"/>
          <w:color w:val="000000"/>
          <w:sz w:val="22"/>
          <w:szCs w:val="22"/>
        </w:rPr>
        <w:t xml:space="preserve">ISO/IEC 27001, 27701 (privacidad), 27018 (PII en la nube) — Global.</w:t>
      </w:r>
    </w:p>
    <w:p>
      <w:pPr>
        <w:pStyle w:val="ListParagraph"/>
        <w:numPr>
          <w:ilvl w:val="0"/>
          <w:numId w:val="2"/>
        </w:numPr>
        <w:spacing w:after="80"/>
      </w:pPr>
      <w:r>
        <w:rPr>
          <w:rFonts w:ascii="Arial" w:cs="Arial" w:eastAsia="Arial" w:hAnsi="Arial"/>
          <w:color w:val="000000"/>
          <w:sz w:val="22"/>
          <w:szCs w:val="22"/>
        </w:rPr>
        <w:t xml:space="preserve">SOC 2 Type II y PCI DSS Level 1 — Global.</w:t>
      </w:r>
    </w:p>
    <w:p>
      <w:pPr>
        <w:pStyle w:val="ListParagraph"/>
        <w:numPr>
          <w:ilvl w:val="0"/>
          <w:numId w:val="2"/>
        </w:numPr>
        <w:spacing w:after="80"/>
      </w:pPr>
      <w:r>
        <w:rPr>
          <w:rFonts w:ascii="Arial" w:cs="Arial" w:eastAsia="Arial" w:hAnsi="Arial"/>
          <w:color w:val="000000"/>
          <w:sz w:val="22"/>
          <w:szCs w:val="22"/>
        </w:rPr>
        <w:t xml:space="preserve">RGPD: DPA con Cláusulas Contractuales Tipo y adhesión al EU-U.S. Data Privacy Framework.</w:t>
      </w:r>
    </w:p>
    <w:p>
      <w:pPr>
        <w:pStyle w:val="ListParagraph"/>
        <w:numPr>
          <w:ilvl w:val="0"/>
          <w:numId w:val="2"/>
        </w:numPr>
        <w:spacing w:after="80"/>
      </w:pPr>
      <w:r>
        <w:rPr>
          <w:rFonts w:ascii="Arial" w:cs="Arial" w:eastAsia="Arial" w:hAnsi="Arial"/>
          <w:color w:val="000000"/>
          <w:sz w:val="22"/>
          <w:szCs w:val="22"/>
        </w:rPr>
        <w:t xml:space="preserve">Adhesión al European Cloud Code of Conduct.</w:t>
      </w:r>
    </w:p>
    <w:p>
      <w:r>
        <w:br w:type="page"/>
      </w:r>
    </w:p>
    <w:p>
      <w:pPr>
        <w:pStyle w:val="Heading1"/>
        <w:spacing w:after="180" w:before="360"/>
      </w:pPr>
      <w:r>
        <w:rPr>
          <w:rFonts w:ascii="Arial" w:cs="Arial" w:eastAsia="Arial" w:hAnsi="Arial"/>
          <w:b/>
          <w:bCs/>
          <w:color w:val="FF6600"/>
          <w:sz w:val="36"/>
          <w:szCs w:val="36"/>
        </w:rPr>
        <w:t xml:space="preserve">4. Arquitectura de la solución</w:t>
      </w:r>
    </w:p>
    <w:p>
      <w:pPr>
        <w:spacing w:after="120"/>
        <w:jc w:val="both"/>
      </w:pPr>
      <w:r>
        <w:rPr>
          <w:rFonts w:ascii="Arial" w:cs="Arial" w:eastAsia="Arial" w:hAnsi="Arial"/>
          <w:color w:val="000000"/>
          <w:sz w:val="22"/>
          <w:szCs w:val="22"/>
        </w:rPr>
        <w:t xml:space="preserve">NICE CXOne gestiona la telefonía y vuelca el audio de la llamada a Cloudflare mediante streaming sobre WebSocket. El agente, ejecutado en Workers con el Agents SDK, procesa el audio en tiempo real (detección de turno, transcripción, comprensión e intención con RAG, y respuesta de voz), mantiene el estado vivo de la llamada en un Durable Object y entrega el pedido confirmado al ERP/OMS del cliente de forma fiable.</w:t>
      </w:r>
    </w:p>
    <w:p>
      <w:pPr>
        <w:spacing w:after="80" w:before="120"/>
        <w:jc w:val="center"/>
      </w:pPr>
      <w:r>
        <w:drawing>
          <wp:inline distT="0" distB="0" distL="0" distR="0">
            <wp:extent cx="5905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19475"/>
                    </a:xfrm>
                    <a:prstGeom prst="rect">
                      <a:avLst/>
                    </a:prstGeom>
                  </pic:spPr>
                </pic:pic>
              </a:graphicData>
            </a:graphic>
          </wp:inline>
        </w:drawing>
      </w:r>
    </w:p>
    <w:p>
      <w:pPr>
        <w:spacing w:after="160"/>
        <w:jc w:val="center"/>
      </w:pPr>
      <w:r>
        <w:rPr>
          <w:rFonts w:ascii="Arial" w:cs="Arial" w:eastAsia="Arial" w:hAnsi="Arial"/>
          <w:i/>
          <w:iCs/>
          <w:color w:val="5B5B60"/>
          <w:sz w:val="18"/>
          <w:szCs w:val="18"/>
        </w:rPr>
        <w:t xml:space="preserve">Arquitectura de alto nivel. CXone vuelca el audio; Cloudflare ejecuta el agente, el RAG y la entrega del pedido.</w:t>
      </w:r>
    </w:p>
    <w:p>
      <w:pPr>
        <w:pStyle w:val="Heading2"/>
        <w:spacing w:after="120" w:before="240"/>
      </w:pPr>
      <w:r>
        <w:rPr>
          <w:rFonts w:ascii="Arial" w:cs="Arial" w:eastAsia="Arial" w:hAnsi="Arial"/>
          <w:b/>
          <w:bCs/>
          <w:color w:val="FF6600"/>
          <w:sz w:val="28"/>
          <w:szCs w:val="28"/>
        </w:rPr>
        <w:t xml:space="preserve">Bucle conversacional</w:t>
      </w:r>
    </w:p>
    <w:p>
      <w:pPr>
        <w:spacing w:after="120"/>
        <w:jc w:val="both"/>
      </w:pPr>
      <w:r>
        <w:rPr>
          <w:rFonts w:ascii="Arial" w:cs="Arial" w:eastAsia="Arial" w:hAnsi="Arial"/>
          <w:color w:val="000000"/>
          <w:sz w:val="22"/>
          <w:szCs w:val="22"/>
        </w:rPr>
        <w:t xml:space="preserve">Cada turno de la conversación sigue una secuencia optimizada para latencia mínima. La detección de fin de turno evita interrumpir al interlocutor; la transcripción y la respuesta de voz usan modelos en streaming.</w:t>
      </w:r>
    </w:p>
    <w:p>
      <w:pPr>
        <w:spacing w:after="80" w:before="120"/>
        <w:jc w:val="center"/>
      </w:pPr>
      <w:r>
        <w:drawing>
          <wp:inline distT="0" distB="0" distL="0" distR="0">
            <wp:extent cx="5905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28875"/>
                    </a:xfrm>
                    <a:prstGeom prst="rect">
                      <a:avLst/>
                    </a:prstGeom>
                  </pic:spPr>
                </pic:pic>
              </a:graphicData>
            </a:graphic>
          </wp:inline>
        </w:drawing>
      </w:r>
    </w:p>
    <w:p>
      <w:pPr>
        <w:spacing w:after="160"/>
        <w:jc w:val="center"/>
      </w:pPr>
      <w:r>
        <w:rPr>
          <w:rFonts w:ascii="Arial" w:cs="Arial" w:eastAsia="Arial" w:hAnsi="Arial"/>
          <w:i/>
          <w:iCs/>
          <w:color w:val="5B5B60"/>
          <w:sz w:val="18"/>
          <w:szCs w:val="18"/>
        </w:rPr>
        <w:t xml:space="preserve">Bucle conversacional por turno, con el estado de la llamada persistido en un Durable Object.</w:t>
      </w:r>
    </w:p>
    <w:p>
      <w:pPr>
        <w:pStyle w:val="Heading2"/>
        <w:spacing w:after="120" w:before="240"/>
      </w:pPr>
      <w:r>
        <w:rPr>
          <w:rFonts w:ascii="Arial" w:cs="Arial" w:eastAsia="Arial" w:hAnsi="Arial"/>
          <w:b/>
          <w:bCs/>
          <w:color w:val="FF6600"/>
          <w:sz w:val="28"/>
          <w:szCs w:val="28"/>
        </w:rPr>
        <w:t xml:space="preserve">Plataforma por capas</w:t>
      </w:r>
    </w:p>
    <w:p>
      <w:pPr>
        <w:spacing w:after="80" w:before="120"/>
        <w:jc w:val="center"/>
      </w:pPr>
      <w:r>
        <w:drawing>
          <wp:inline distT="0" distB="0" distL="0" distR="0">
            <wp:extent cx="5905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571875"/>
                    </a:xfrm>
                    <a:prstGeom prst="rect">
                      <a:avLst/>
                    </a:prstGeom>
                  </pic:spPr>
                </pic:pic>
              </a:graphicData>
            </a:graphic>
          </wp:inline>
        </w:drawing>
      </w:r>
    </w:p>
    <w:p>
      <w:pPr>
        <w:spacing w:after="160"/>
        <w:jc w:val="center"/>
      </w:pPr>
      <w:r>
        <w:rPr>
          <w:rFonts w:ascii="Arial" w:cs="Arial" w:eastAsia="Arial" w:hAnsi="Arial"/>
          <w:i/>
          <w:iCs/>
          <w:color w:val="5B5B60"/>
          <w:sz w:val="18"/>
          <w:szCs w:val="18"/>
        </w:rPr>
        <w:t xml:space="preserve">Capas de la plataforma Cloudflare empleadas en la solución.</w:t>
      </w:r>
    </w:p>
    <w:p>
      <w:r>
        <w:br w:type="page"/>
      </w:r>
    </w:p>
    <w:p>
      <w:pPr>
        <w:pStyle w:val="Heading1"/>
        <w:spacing w:after="180" w:before="360"/>
      </w:pPr>
      <w:r>
        <w:rPr>
          <w:rFonts w:ascii="Arial" w:cs="Arial" w:eastAsia="Arial" w:hAnsi="Arial"/>
          <w:b/>
          <w:bCs/>
          <w:color w:val="FF6600"/>
          <w:sz w:val="36"/>
          <w:szCs w:val="36"/>
        </w:rPr>
        <w:t xml:space="preserve">5. Servicios Cloudflare empleados</w:t>
      </w:r>
    </w:p>
    <w:p>
      <w:pPr>
        <w:spacing w:after="120"/>
        <w:jc w:val="both"/>
      </w:pPr>
      <w:r>
        <w:rPr>
          <w:rFonts w:ascii="Arial" w:cs="Arial" w:eastAsia="Arial" w:hAnsi="Arial"/>
          <w:color w:val="000000"/>
          <w:sz w:val="22"/>
          <w:szCs w:val="22"/>
        </w:rPr>
        <w:t xml:space="preserve">La solución se compone de los siguientes servicios, todos en disponibilidad general (GA) salvo indicación expresa.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338"/>
      </w:tblGrid>
      <w:tr>
        <w:trPr>
          <w:tblHeader/>
        </w:trPr>
        <w:tc>
          <w:tcPr>
            <w:tcW w:type="dxa" w:w="17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Capa</w:t>
            </w:r>
          </w:p>
        </w:tc>
        <w:tc>
          <w:tcPr>
            <w:tcW w:type="dxa" w:w="26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Servicio Cloudflare</w:t>
            </w:r>
          </w:p>
        </w:tc>
        <w:tc>
          <w:tcPr>
            <w:tcW w:type="dxa" w:w="5338"/>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Función en la solución</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Voz</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Workers (WebSocket) + Realtime (opcional)</w:t>
            </w:r>
          </w:p>
        </w:tc>
        <w:tc>
          <w:tcPr>
            <w:tcW w:type="dxa" w:w="53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Recibe el audio que vuelca CXone y devuelve la respuesta de voz. Realtime SFU/TURN queda disponible si se requiere transporte WebRTC nativo.</w:t>
            </w:r>
          </w:p>
        </w:tc>
      </w:tr>
      <w:tr>
        <w:tc>
          <w:tcPr>
            <w:tcW w:type="dxa" w:w="17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Inferencia</w:t>
            </w:r>
          </w:p>
        </w:tc>
        <w:tc>
          <w:tcPr>
            <w:tcW w:type="dxa" w:w="26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Workers AI — Deepgram Flux / Nova-3</w:t>
            </w:r>
          </w:p>
        </w:tc>
        <w:tc>
          <w:tcPr>
            <w:tcW w:type="dxa" w:w="53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Transcripción de voz a texto (ASR) en tiempo real, multilingüe.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Inferencia</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Workers AI — Deepgram Aura-2-es</w:t>
            </w:r>
          </w:p>
        </w:tc>
        <w:tc>
          <w:tcPr>
            <w:tcW w:type="dxa" w:w="53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Síntesis de voz (TTS) con voz natural en español.</w:t>
            </w:r>
          </w:p>
        </w:tc>
      </w:tr>
      <w:tr>
        <w:tc>
          <w:tcPr>
            <w:tcW w:type="dxa" w:w="17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Inferencia</w:t>
            </w:r>
          </w:p>
        </w:tc>
        <w:tc>
          <w:tcPr>
            <w:tcW w:type="dxa" w:w="26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Workers AI — smart-turn-v2</w:t>
            </w:r>
          </w:p>
        </w:tc>
        <w:tc>
          <w:tcPr>
            <w:tcW w:type="dxa" w:w="53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Detección de fin de turno conversacional (naturalidad).</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Inferencia</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Workers AI — Llama 3.3 70B (u otro)</w:t>
            </w:r>
          </w:p>
        </w:tc>
        <w:tc>
          <w:tcPr>
            <w:tcW w:type="dxa" w:w="53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Comprensión de intención, tool-use y extracción estructurada del pedido.</w:t>
            </w:r>
          </w:p>
        </w:tc>
      </w:tr>
      <w:tr>
        <w:tc>
          <w:tcPr>
            <w:tcW w:type="dxa" w:w="17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Inferencia</w:t>
            </w:r>
          </w:p>
        </w:tc>
        <w:tc>
          <w:tcPr>
            <w:tcW w:type="dxa" w:w="26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Workers AI — bge-m3 (embeddings)</w:t>
            </w:r>
          </w:p>
        </w:tc>
        <w:tc>
          <w:tcPr>
            <w:tcW w:type="dxa" w:w="53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Vectorización multilingüe del conocimiento y de las consultas.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Agente</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Agents SDK + Workers + Durable Objects</w:t>
            </w:r>
          </w:p>
        </w:tc>
        <w:tc>
          <w:tcPr>
            <w:tcW w:type="dxa" w:w="53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Orquestación del agente, estado vivo de la llamada y escalado sin pérdida de contexto.</w:t>
            </w:r>
          </w:p>
        </w:tc>
      </w:tr>
      <w:tr>
        <w:tc>
          <w:tcPr>
            <w:tcW w:type="dxa" w:w="17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Gobierno</w:t>
            </w:r>
          </w:p>
        </w:tc>
        <w:tc>
          <w:tcPr>
            <w:tcW w:type="dxa" w:w="26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Gateway</w:t>
            </w:r>
          </w:p>
        </w:tc>
        <w:tc>
          <w:tcPr>
            <w:tcW w:type="dxa" w:w="53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Auditoría, coste por petición, caché semántica, rate limiting y fallback multi-modelo.</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Conocimiento</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Vectorize</w:t>
            </w:r>
          </w:p>
        </w:tc>
        <w:tc>
          <w:tcPr>
            <w:tcW w:type="dxa" w:w="53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Base de datos vectorial para el RAG (catálogo, FAQs, fichas técnicas).</w:t>
            </w:r>
          </w:p>
        </w:tc>
      </w:tr>
      <w:tr>
        <w:tc>
          <w:tcPr>
            <w:tcW w:type="dxa" w:w="17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Datos</w:t>
            </w:r>
          </w:p>
        </w:tc>
        <w:tc>
          <w:tcPr>
            <w:tcW w:type="dxa" w:w="26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R2 / D1</w:t>
            </w:r>
          </w:p>
        </w:tc>
        <w:tc>
          <w:tcPr>
            <w:tcW w:type="dxa" w:w="53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Documentos y grabaciones (R2); clientes, índice de pedidos y métricas (D1).</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Datos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Queues</w:t>
            </w:r>
          </w:p>
        </w:tc>
        <w:tc>
          <w:tcPr>
            <w:tcW w:type="dxa" w:w="53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Entrega fiable y con reintentos del pedido confirmado al ERP/OMS.</w:t>
            </w:r>
          </w:p>
        </w:tc>
      </w:tr>
      <w:tr>
        <w:tc>
          <w:tcPr>
            <w:tcW w:type="dxa" w:w="17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Conectividad</w:t>
            </w:r>
          </w:p>
        </w:tc>
        <w:tc>
          <w:tcPr>
            <w:tcW w:type="dxa" w:w="26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Cloudflare Tunnel / Hyperdrive</w:t>
            </w:r>
          </w:p>
        </w:tc>
        <w:tc>
          <w:tcPr>
            <w:tcW w:type="dxa" w:w="53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Acceso seguro al ERP/OMS on-premise (Tunnel) o a su BBDD (Hyperdrive).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Seguridad</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Access (ZTNA) / WAF / Turnstile / mTLS</w:t>
            </w:r>
          </w:p>
        </w:tc>
        <w:tc>
          <w:tcPr>
            <w:tcW w:type="dxa" w:w="53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Autenticación, autorización y protección de los endpoints del agente.</w:t>
            </w:r>
          </w:p>
        </w:tc>
      </w:tr>
      <w:tr>
        <w:tc>
          <w:tcPr>
            <w:tcW w:type="dxa" w:w="17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Cumplimiento</w:t>
            </w:r>
          </w:p>
        </w:tc>
        <w:tc>
          <w:tcPr>
            <w:tcW w:type="dxa" w:w="26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Data Localization Suite</w:t>
            </w:r>
          </w:p>
        </w:tc>
        <w:tc>
          <w:tcPr>
            <w:tcW w:type="dxa" w:w="53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Residencia y procesamiento de datos en la UE (RGPD).</w:t>
            </w:r>
          </w:p>
        </w:tc>
      </w:tr>
    </w:tbl>
    <w:p>
      <w:r>
        <w:br w:type="page"/>
      </w:r>
    </w:p>
    <w:p>
      <w:pPr>
        <w:pStyle w:val="Heading1"/>
        <w:spacing w:after="180" w:before="360"/>
      </w:pPr>
      <w:r>
        <w:rPr>
          <w:rFonts w:ascii="Arial" w:cs="Arial" w:eastAsia="Arial" w:hAnsi="Arial"/>
          <w:b/>
          <w:bCs/>
          <w:color w:val="FF6600"/>
          <w:sz w:val="36"/>
          <w:szCs w:val="36"/>
        </w:rPr>
        <w:t xml:space="preserve">6. Cobertura de los requisitos funcionales</w:t>
      </w:r>
    </w:p>
    <w:p>
      <w:pPr>
        <w:spacing w:after="120"/>
        <w:jc w:val="both"/>
      </w:pPr>
      <w:r>
        <w:rPr>
          <w:rFonts w:ascii="Arial" w:cs="Arial" w:eastAsia="Arial" w:hAnsi="Arial"/>
          <w:color w:val="000000"/>
          <w:sz w:val="22"/>
          <w:szCs w:val="22"/>
        </w:rPr>
        <w:t xml:space="preserve">Cobertura capacidad a capacidad de los diez requisitos funcionales del pliego de Base10. El cumplimiento refleja la evaluación técnica de Cloudflare; las dos capacidades marcadas como dependientes de integración no son carencias de producto, sino interfaces con sistemas de terceros (CXone y ERP) a validar en la Fase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2400"/>
        <w:gridCol w:w="1838"/>
      </w:tblGrid>
      <w:tr>
        <w:trPr>
          <w:tblHeader/>
        </w:trPr>
        <w:tc>
          <w:tcPr>
            <w:tcW w:type="dxa" w:w="6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48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Capacidad funcional requerida</w:t>
            </w:r>
          </w:p>
        </w:tc>
        <w:tc>
          <w:tcPr>
            <w:tcW w:type="dxa" w:w="24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Módulo Cloudflare</w:t>
            </w:r>
          </w:p>
        </w:tc>
        <w:tc>
          <w:tcPr>
            <w:tcW w:type="dxa" w:w="1838"/>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Cumplimiento</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01</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Recepción de voz (audio de la llamada en tiempo real)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CXone vuelca audio → Workers (WebSocket)</w:t>
            </w:r>
          </w:p>
        </w:tc>
        <w:tc>
          <w:tcPr>
            <w:tcW w:type="dxa" w:w="18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Cumple</w:t>
            </w:r>
          </w:p>
        </w:tc>
      </w:tr>
      <w:tr>
        <w:tc>
          <w:tcPr>
            <w:tcW w:type="dxa" w:w="6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02</w:t>
            </w:r>
          </w:p>
        </w:tc>
        <w:tc>
          <w:tcPr>
            <w:tcW w:type="dxa" w:w="48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Transcripción de voz (ASR, idioma del cliente)</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Workers AI · Flux / Nova-3 / Whisper</w:t>
            </w:r>
          </w:p>
        </w:tc>
        <w:tc>
          <w:tcPr>
            <w:tcW w:type="dxa" w:w="18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Cumple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03</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Comprensión de intención (NLU)</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Workers AI · LLM vía AI Gateway</w:t>
            </w:r>
          </w:p>
        </w:tc>
        <w:tc>
          <w:tcPr>
            <w:tcW w:type="dxa" w:w="18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Cumple</w:t>
            </w:r>
          </w:p>
        </w:tc>
      </w:tr>
      <w:tr>
        <w:tc>
          <w:tcPr>
            <w:tcW w:type="dxa" w:w="6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04</w:t>
            </w:r>
          </w:p>
        </w:tc>
        <w:tc>
          <w:tcPr>
            <w:tcW w:type="dxa" w:w="48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Consulta de base de conocimiento (catálogo, FAQs)</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Vectorize + bge-m3 + R2</w:t>
            </w:r>
          </w:p>
        </w:tc>
        <w:tc>
          <w:tcPr>
            <w:tcW w:type="dxa" w:w="18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Cumple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05</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Identificación del cliente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D1 / Hyperdrive + Workers</w:t>
            </w:r>
          </w:p>
        </w:tc>
        <w:tc>
          <w:tcPr>
            <w:tcW w:type="dxa" w:w="18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Cumple</w:t>
            </w:r>
          </w:p>
        </w:tc>
      </w:tr>
      <w:tr>
        <w:tc>
          <w:tcPr>
            <w:tcW w:type="dxa" w:w="6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06</w:t>
            </w:r>
          </w:p>
        </w:tc>
        <w:tc>
          <w:tcPr>
            <w:tcW w:type="dxa" w:w="48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Creación del pedido estructurado y persistente</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Workers AI tool-use + Durable Objects + Queues</w:t>
            </w:r>
          </w:p>
        </w:tc>
        <w:tc>
          <w:tcPr>
            <w:tcW w:type="dxa" w:w="18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Cumple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07</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Respuesta de voz al llamante (TTS)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Workers AI · Aura-2-es</w:t>
            </w:r>
          </w:p>
        </w:tc>
        <w:tc>
          <w:tcPr>
            <w:tcW w:type="dxa" w:w="18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Cumple</w:t>
            </w:r>
          </w:p>
        </w:tc>
      </w:tr>
      <w:tr>
        <w:tc>
          <w:tcPr>
            <w:tcW w:type="dxa" w:w="6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08</w:t>
            </w:r>
          </w:p>
        </w:tc>
        <w:tc>
          <w:tcPr>
            <w:tcW w:type="dxa" w:w="48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Escalado al operador sin pérdida de contexto</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Durable Objects → CXone</w:t>
            </w:r>
          </w:p>
        </w:tc>
        <w:tc>
          <w:tcPr>
            <w:tcW w:type="dxa" w:w="18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Cumple*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09</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Observabilidad y control (auditoría, coste)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AI Gateway + Workers Logs / Analytics</w:t>
            </w:r>
          </w:p>
        </w:tc>
        <w:tc>
          <w:tcPr>
            <w:tcW w:type="dxa" w:w="18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Cumple</w:t>
            </w:r>
          </w:p>
        </w:tc>
      </w:tr>
      <w:tr>
        <w:tc>
          <w:tcPr>
            <w:tcW w:type="dxa" w:w="6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w:t>
            </w:r>
          </w:p>
        </w:tc>
        <w:tc>
          <w:tcPr>
            <w:tcW w:type="dxa" w:w="48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Integración con ERP/OMS del cliente</w:t>
            </w:r>
          </w:p>
        </w:tc>
        <w:tc>
          <w:tcPr>
            <w:tcW w:type="dxa" w:w="2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Workers + Queues + Tunnel / Hyperdrive</w:t>
            </w:r>
          </w:p>
        </w:tc>
        <w:tc>
          <w:tcPr>
            <w:tcW w:type="dxa" w:w="18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bCs/>
                <w:color w:val="000000"/>
                <w:sz w:val="20"/>
                <w:szCs w:val="20"/>
              </w:rPr>
              <w:t xml:space="preserve">Cumple*</w:t>
            </w:r>
          </w:p>
        </w:tc>
      </w:tr>
    </w:tbl>
    <w:p>
      <w:pPr>
        <w:spacing w:after="120"/>
        <w:jc w:val="both"/>
      </w:pPr>
      <w:r>
        <w:rPr>
          <w:rFonts w:ascii="Arial" w:cs="Arial" w:eastAsia="Arial" w:hAnsi="Arial"/>
          <w:color w:val="000000"/>
          <w:sz w:val="22"/>
          <w:szCs w:val="22"/>
        </w:rPr>
        <w:t xml:space="preserve">(*) Capacidad cubierta por Cloudflare cuya implementación depende de la interfaz del sistema de terceros (CXone para el escalado y devolución de contexto; ERP/OMS para la entrega del pedido). Ambas se validan como primer hito de la Fase 1.</w:t>
      </w:r>
    </w:p>
    <w:p>
      <w:pPr>
        <w:pStyle w:val="Heading2"/>
        <w:spacing w:after="120" w:before="240"/>
      </w:pPr>
      <w:r>
        <w:rPr>
          <w:rFonts w:ascii="Arial" w:cs="Arial" w:eastAsia="Arial" w:hAnsi="Arial"/>
          <w:b/>
          <w:bCs/>
          <w:color w:val="FF6600"/>
          <w:sz w:val="28"/>
          <w:szCs w:val="28"/>
        </w:rPr>
        <w:t xml:space="preserve">Requisitos no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Requisito</w:t>
            </w:r>
          </w:p>
        </w:tc>
        <w:tc>
          <w:tcPr>
            <w:tcW w:type="dxa" w:w="7038"/>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Cómo lo cubre Cloudflare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Rendimiento / latencia</w:t>
            </w:r>
          </w:p>
        </w:tc>
        <w:tc>
          <w:tcPr>
            <w:tcW w:type="dxa" w:w="7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Ejecución en el borde y modelos en streaming (Flux ASR, Aura-2 TTS); detección de turno con smart-turn-v2.</w:t>
            </w:r>
          </w:p>
        </w:tc>
      </w:tr>
      <w:tr>
        <w:tc>
          <w:tcPr>
            <w:tcW w:type="dxa" w:w="26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Escalabilidad</w:t>
            </w:r>
          </w:p>
        </w:tc>
        <w:tc>
          <w:tcPr>
            <w:tcW w:type="dxa" w:w="70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Workers y Durable Objects escalan a millones de instancias sin gestión de infraestructura.</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Fiabilidad / fallback</w:t>
            </w:r>
          </w:p>
        </w:tc>
        <w:tc>
          <w:tcPr>
            <w:tcW w:type="dxa" w:w="7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Escalado al operador con contexto íntegro; Queues garantiza la entrega durable del pedido; AI Gateway aporta fallback de modelo.</w:t>
            </w:r>
          </w:p>
        </w:tc>
      </w:tr>
      <w:tr>
        <w:tc>
          <w:tcPr>
            <w:tcW w:type="dxa" w:w="26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Seguridad y cumplimiento</w:t>
            </w:r>
          </w:p>
        </w:tc>
        <w:tc>
          <w:tcPr>
            <w:tcW w:type="dxa" w:w="70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Acceso autenticado al ERP (Access, mTLS, Tunnel); residencia UE con Data Localization Suite; cifrado en tránsito.</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Observabilidad</w:t>
            </w:r>
          </w:p>
        </w:tc>
        <w:tc>
          <w:tcPr>
            <w:tcW w:type="dxa" w:w="7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Trazas de decisión y coste por interacción en AI Gateway; métricas de calidad (pedidos OK, % escalado, errores ASR).</w:t>
            </w:r>
          </w:p>
        </w:tc>
      </w:tr>
      <w:tr>
        <w:tc>
          <w:tcPr>
            <w:tcW w:type="dxa" w:w="26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Mantenibilidad</w:t>
            </w:r>
          </w:p>
        </w:tc>
        <w:tc>
          <w:tcPr>
            <w:tcW w:type="dxa" w:w="70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La base de conocimiento se actualiza re-indexando Vectorize sin redespliegue; el comportamiento se ajusta por configuración/prompt.</w:t>
            </w:r>
          </w:p>
        </w:tc>
      </w:tr>
    </w:tbl>
    <w:p>
      <w:r>
        <w:br w:type="page"/>
      </w:r>
    </w:p>
    <w:p>
      <w:pPr>
        <w:pStyle w:val="Heading1"/>
        <w:spacing w:after="180" w:before="360"/>
      </w:pPr>
      <w:r>
        <w:rPr>
          <w:rFonts w:ascii="Arial" w:cs="Arial" w:eastAsia="Arial" w:hAnsi="Arial"/>
          <w:b/>
          <w:bCs/>
          <w:color w:val="FF6600"/>
          <w:sz w:val="36"/>
          <w:szCs w:val="36"/>
        </w:rPr>
        <w:t xml:space="preserve">7. Agentes y modelos de IA utilizables</w:t>
      </w:r>
    </w:p>
    <w:p>
      <w:pPr>
        <w:spacing w:after="120"/>
        <w:jc w:val="both"/>
      </w:pPr>
      <w:r>
        <w:rPr>
          <w:rFonts w:ascii="Arial" w:cs="Arial" w:eastAsia="Arial" w:hAnsi="Arial"/>
          <w:color w:val="000000"/>
          <w:sz w:val="22"/>
          <w:szCs w:val="22"/>
        </w:rPr>
        <w:t xml:space="preserve">El agente se construye con el Agents SDK de Cloudflare, que aporta una identidad durable por sesión, almacenamiento local, conexiones en tiempo real (WebSockets), tareas programadas y ejecución recuperable. El bucle de razonamiento (planificación, uso de herramientas y respuesta) puede apoyarse en el harness Project Think o en un bucle propio sobre el runtime.</w:t>
      </w:r>
    </w:p>
    <w:p>
      <w:pPr>
        <w:pStyle w:val="Heading2"/>
        <w:spacing w:after="120" w:before="240"/>
      </w:pPr>
      <w:r>
        <w:rPr>
          <w:rFonts w:ascii="Arial" w:cs="Arial" w:eastAsia="Arial" w:hAnsi="Arial"/>
          <w:b/>
          <w:bCs/>
          <w:color w:val="FF6600"/>
          <w:sz w:val="28"/>
          <w:szCs w:val="28"/>
        </w:rPr>
        <w:t xml:space="preserve">Componentes agénticos</w:t>
      </w:r>
    </w:p>
    <w:p>
      <w:pPr>
        <w:pStyle w:val="ListParagraph"/>
        <w:numPr>
          <w:ilvl w:val="0"/>
          <w:numId w:val="2"/>
        </w:numPr>
        <w:spacing w:after="80"/>
      </w:pPr>
      <w:r>
        <w:rPr>
          <w:rFonts w:ascii="Arial" w:cs="Arial" w:eastAsia="Arial" w:hAnsi="Arial"/>
          <w:color w:val="000000"/>
          <w:sz w:val="22"/>
          <w:szCs w:val="22"/>
        </w:rPr>
        <w:t xml:space="preserve">Agente de voz (canal voz del Agents SDK): orquesta ASR + TTS en tiempo real; es la base directa del POC.</w:t>
      </w:r>
    </w:p>
    <w:p>
      <w:pPr>
        <w:pStyle w:val="ListParagraph"/>
        <w:numPr>
          <w:ilvl w:val="0"/>
          <w:numId w:val="2"/>
        </w:numPr>
        <w:spacing w:after="80"/>
      </w:pPr>
      <w:r>
        <w:rPr>
          <w:rFonts w:ascii="Arial" w:cs="Arial" w:eastAsia="Arial" w:hAnsi="Arial"/>
          <w:color w:val="000000"/>
          <w:sz w:val="22"/>
          <w:szCs w:val="22"/>
        </w:rPr>
        <w:t xml:space="preserve">Harness Project Think: bucle opinado de planificación y tool-use, o bucle propio sobre la Agents API.</w:t>
      </w:r>
    </w:p>
    <w:p>
      <w:pPr>
        <w:pStyle w:val="ListParagraph"/>
        <w:numPr>
          <w:ilvl w:val="0"/>
          <w:numId w:val="2"/>
        </w:numPr>
        <w:spacing w:after="80"/>
      </w:pPr>
      <w:r>
        <w:rPr>
          <w:rFonts w:ascii="Arial" w:cs="Arial" w:eastAsia="Arial" w:hAnsi="Arial"/>
          <w:color w:val="000000"/>
          <w:sz w:val="22"/>
          <w:szCs w:val="22"/>
        </w:rPr>
        <w:t xml:space="preserve">Herramientas (tools) del agente: consulta de catálogo (Vectorize), identificación de cliente (D1/ERP), creación de pedido (ERP vía Queues) y escalado a operador.</w:t>
      </w:r>
    </w:p>
    <w:p>
      <w:pPr>
        <w:pStyle w:val="ListParagraph"/>
        <w:numPr>
          <w:ilvl w:val="0"/>
          <w:numId w:val="2"/>
        </w:numPr>
        <w:spacing w:after="80"/>
      </w:pPr>
      <w:r>
        <w:rPr>
          <w:rFonts w:ascii="Arial" w:cs="Arial" w:eastAsia="Arial" w:hAnsi="Arial"/>
          <w:color w:val="000000"/>
          <w:sz w:val="22"/>
          <w:szCs w:val="22"/>
        </w:rPr>
        <w:t xml:space="preserve">MCP (Model Context Protocol): exposición de herramientas y conexión con el AI Agents Registry corporativo de Base10.</w:t>
      </w:r>
    </w:p>
    <w:p>
      <w:pPr>
        <w:pStyle w:val="ListParagraph"/>
        <w:numPr>
          <w:ilvl w:val="0"/>
          <w:numId w:val="2"/>
        </w:numPr>
        <w:spacing w:after="80"/>
      </w:pPr>
      <w:r>
        <w:rPr>
          <w:rFonts w:ascii="Arial" w:cs="Arial" w:eastAsia="Arial" w:hAnsi="Arial"/>
          <w:color w:val="000000"/>
          <w:sz w:val="22"/>
          <w:szCs w:val="22"/>
        </w:rPr>
        <w:t xml:space="preserve">Durable Objects: una instancia por llamada que mantiene historial, pedido en curso y contexto para el escalado.</w:t>
      </w:r>
    </w:p>
    <w:p>
      <w:pPr>
        <w:pStyle w:val="Heading2"/>
        <w:spacing w:after="120" w:before="240"/>
      </w:pPr>
      <w:r>
        <w:rPr>
          <w:rFonts w:ascii="Arial" w:cs="Arial" w:eastAsia="Arial" w:hAnsi="Arial"/>
          <w:b/>
          <w:bCs/>
          <w:color w:val="FF6600"/>
          <w:sz w:val="28"/>
          <w:szCs w:val="28"/>
        </w:rPr>
        <w:t xml:space="preserve">Modelos recomendados (Workers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Tarea</w:t>
            </w:r>
          </w:p>
        </w:tc>
        <w:tc>
          <w:tcPr>
            <w:tcW w:type="dxa" w:w="34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Modelo</w:t>
            </w:r>
          </w:p>
        </w:tc>
        <w:tc>
          <w:tcPr>
            <w:tcW w:type="dxa" w:w="4038"/>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Notas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ASR (voz→texto)</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@cf/deepgram/flux</w:t>
            </w:r>
          </w:p>
        </w:tc>
        <w:tc>
          <w:tcPr>
            <w:tcW w:type="dxa" w:w="4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Primer modelo de ASR específico para agentes de voz, en streaming.</w:t>
            </w:r>
          </w:p>
        </w:tc>
      </w:tr>
      <w:tr>
        <w:tc>
          <w:tcPr>
            <w:tcW w:type="dxa" w:w="2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ASR alternativa</w:t>
            </w:r>
          </w:p>
        </w:tc>
        <w:tc>
          <w:tcPr>
            <w:tcW w:type="dxa" w:w="3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@cf/deepgram/nova-3</w:t>
            </w:r>
          </w:p>
        </w:tc>
        <w:tc>
          <w:tcPr>
            <w:tcW w:type="dxa" w:w="40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Multilingüe en streaming; whisper-large-v3-turbo para lotes.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TTS (texto→voz)</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@cf/deepgram/aura-2-es</w:t>
            </w:r>
          </w:p>
        </w:tc>
        <w:tc>
          <w:tcPr>
            <w:tcW w:type="dxa" w:w="4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Voz natural en español; melotts como alternativa de bajo coste.</w:t>
            </w:r>
          </w:p>
        </w:tc>
      </w:tr>
      <w:tr>
        <w:tc>
          <w:tcPr>
            <w:tcW w:type="dxa" w:w="2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Detección de turno</w:t>
            </w:r>
          </w:p>
        </w:tc>
        <w:tc>
          <w:tcPr>
            <w:tcW w:type="dxa" w:w="3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@cf/pipecat-ai/smart-turn-v2</w:t>
            </w:r>
          </w:p>
        </w:tc>
        <w:tc>
          <w:tcPr>
            <w:tcW w:type="dxa" w:w="40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Coste ínfimo; mejora la naturalidad conversacional.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LLM (NLU + tool-use)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@cf/meta/llama-3.3-70b-instruct-fp8-fast</w:t>
            </w:r>
          </w:p>
        </w:tc>
        <w:tc>
          <w:tcPr>
            <w:tcW w:type="dxa" w:w="4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Multilingüe, function calling; conmutable vía AI Gateway.</w:t>
            </w:r>
          </w:p>
        </w:tc>
      </w:tr>
      <w:tr>
        <w:tc>
          <w:tcPr>
            <w:tcW w:type="dxa" w:w="2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Embeddings (RAG)</w:t>
            </w:r>
          </w:p>
        </w:tc>
        <w:tc>
          <w:tcPr>
            <w:tcW w:type="dxa" w:w="3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@cf/baai/bge-m3</w:t>
            </w:r>
          </w:p>
        </w:tc>
        <w:tc>
          <w:tcPr>
            <w:tcW w:type="dxa" w:w="40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Multilingüe, para indexar y consultar el conocimiento.</w:t>
            </w:r>
          </w:p>
        </w:tc>
      </w:tr>
    </w:tbl>
    <w:p>
      <w:pPr>
        <w:spacing w:after="120"/>
        <w:jc w:val="both"/>
      </w:pPr>
      <w:r>
        <w:rPr>
          <w:rFonts w:ascii="Arial" w:cs="Arial" w:eastAsia="Arial" w:hAnsi="Arial"/>
          <w:color w:val="000000"/>
          <w:sz w:val="22"/>
          <w:szCs w:val="22"/>
        </w:rPr>
        <w:t xml:space="preserve">Vía AI Gateway pueden incorporarse o combinarse modelos de OpenAI, Anthropic o Google Gemini sin cambiar la arquitectura, con caché y fallback automáticos.</w:t>
      </w:r>
    </w:p>
    <w:p>
      <w:r>
        <w:br w:type="page"/>
      </w:r>
    </w:p>
    <w:p>
      <w:pPr>
        <w:pStyle w:val="Heading1"/>
        <w:spacing w:after="180" w:before="360"/>
      </w:pPr>
      <w:r>
        <w:rPr>
          <w:rFonts w:ascii="Arial" w:cs="Arial" w:eastAsia="Arial" w:hAnsi="Arial"/>
          <w:b/>
          <w:bCs/>
          <w:color w:val="FF6600"/>
          <w:sz w:val="36"/>
          <w:szCs w:val="36"/>
        </w:rPr>
        <w:t xml:space="preserve">8. Data Localization Suite y cumplimiento (RGPD / EU AI Act)</w:t>
      </w:r>
    </w:p>
    <w:p>
      <w:pPr>
        <w:spacing w:after="120"/>
        <w:jc w:val="both"/>
      </w:pPr>
      <w:r>
        <w:rPr>
          <w:rFonts w:ascii="Arial" w:cs="Arial" w:eastAsia="Arial" w:hAnsi="Arial"/>
          <w:color w:val="000000"/>
          <w:sz w:val="22"/>
          <w:szCs w:val="22"/>
        </w:rPr>
        <w:t xml:space="preserve">Las grabaciones de voz y las transcripciones contienen datos personales. La Data Localization Suite (DLS), complemento Enterprise, permite controlar dónde se inspeccionan, procesan y almacenan los datos, manteniendo los beneficios de la red global. Es la pieza central para satisfacer la residencia de datos en la UE exigida por el RGPD.</w:t>
      </w:r>
    </w:p>
    <w:p>
      <w:pPr>
        <w:pStyle w:val="Heading2"/>
        <w:spacing w:after="120" w:before="240"/>
      </w:pPr>
      <w:r>
        <w:rPr>
          <w:rFonts w:ascii="Arial" w:cs="Arial" w:eastAsia="Arial" w:hAnsi="Arial"/>
          <w:b/>
          <w:bCs/>
          <w:color w:val="FF6600"/>
          <w:sz w:val="28"/>
          <w:szCs w:val="28"/>
        </w:rPr>
        <w:t xml:space="preserve">Componentes de la Data Localization Suite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Componente</w:t>
            </w:r>
          </w:p>
        </w:tc>
        <w:tc>
          <w:tcPr>
            <w:tcW w:type="dxa" w:w="6838"/>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Qué garantiza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Geo Key Manager</w:t>
            </w:r>
          </w:p>
        </w:tc>
        <w:tc>
          <w:tcPr>
            <w:tcW w:type="dxa" w:w="68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Controla la región donde se almacenan las claves privadas de cifrado (soberanía de datos).</w:t>
            </w:r>
          </w:p>
        </w:tc>
      </w:tr>
      <w:tr>
        <w:tc>
          <w:tcPr>
            <w:tcW w:type="dxa" w:w="28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Customer Metadata Boundary</w:t>
            </w:r>
          </w:p>
        </w:tc>
        <w:tc>
          <w:tcPr>
            <w:tcW w:type="dxa" w:w="68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Mantiene los metadatos de tráfico, logs y analíticas que pueden identificar a usuarios finales dentro de la región seleccionada (UE).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Regional Services</w:t>
            </w:r>
          </w:p>
        </w:tc>
        <w:tc>
          <w:tcPr>
            <w:tcW w:type="dxa" w:w="68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Restringe a centros de datos de la UE el descifrado y procesamiento del tráfico HTTPS.</w:t>
            </w:r>
          </w:p>
        </w:tc>
      </w:tr>
    </w:tbl>
    <w:p>
      <w:pPr>
        <w:pStyle w:val="Heading2"/>
        <w:spacing w:after="120" w:before="240"/>
      </w:pPr>
      <w:r>
        <w:rPr>
          <w:rFonts w:ascii="Arial" w:cs="Arial" w:eastAsia="Arial" w:hAnsi="Arial"/>
          <w:b/>
          <w:bCs/>
          <w:color w:val="FF6600"/>
          <w:sz w:val="28"/>
          <w:szCs w:val="28"/>
        </w:rPr>
        <w:t xml:space="preserve">Medidas de cumplimiento adicionales</w:t>
      </w:r>
    </w:p>
    <w:p>
      <w:pPr>
        <w:pStyle w:val="ListParagraph"/>
        <w:numPr>
          <w:ilvl w:val="0"/>
          <w:numId w:val="2"/>
        </w:numPr>
        <w:spacing w:after="80"/>
      </w:pPr>
      <w:r>
        <w:rPr>
          <w:rFonts w:ascii="Arial" w:cs="Arial" w:eastAsia="Arial" w:hAnsi="Arial"/>
          <w:color w:val="000000"/>
          <w:sz w:val="22"/>
          <w:szCs w:val="22"/>
        </w:rPr>
        <w:t xml:space="preserve">Inferencia sobre Workers AI dentro de la red de Cloudflare, sin enviar datos a proveedores LLM externos cuando se usan modelos alojados.</w:t>
      </w:r>
    </w:p>
    <w:p>
      <w:pPr>
        <w:pStyle w:val="ListParagraph"/>
        <w:numPr>
          <w:ilvl w:val="0"/>
          <w:numId w:val="2"/>
        </w:numPr>
        <w:spacing w:after="80"/>
      </w:pPr>
      <w:r>
        <w:rPr>
          <w:rFonts w:ascii="Arial" w:cs="Arial" w:eastAsia="Arial" w:hAnsi="Arial"/>
          <w:color w:val="000000"/>
          <w:sz w:val="22"/>
          <w:szCs w:val="22"/>
        </w:rPr>
        <w:t xml:space="preserve">Política de retención y seudonimización de grabaciones y transcripciones definida en la Fase 1; almacenamiento cifrado en R2.</w:t>
      </w:r>
    </w:p>
    <w:p>
      <w:pPr>
        <w:pStyle w:val="ListParagraph"/>
        <w:numPr>
          <w:ilvl w:val="0"/>
          <w:numId w:val="2"/>
        </w:numPr>
        <w:spacing w:after="80"/>
      </w:pPr>
      <w:r>
        <w:rPr>
          <w:rFonts w:ascii="Arial" w:cs="Arial" w:eastAsia="Arial" w:hAnsi="Arial"/>
          <w:color w:val="000000"/>
          <w:sz w:val="22"/>
          <w:szCs w:val="22"/>
        </w:rPr>
        <w:t xml:space="preserve">AI Gateway con Data Loss Prevention puede inspeccionar prompts y respuestas para detectar PII sin escribir el contenido a disco.</w:t>
      </w:r>
    </w:p>
    <w:p>
      <w:pPr>
        <w:pStyle w:val="ListParagraph"/>
        <w:numPr>
          <w:ilvl w:val="0"/>
          <w:numId w:val="2"/>
        </w:numPr>
        <w:spacing w:after="80"/>
      </w:pPr>
      <w:r>
        <w:rPr>
          <w:rFonts w:ascii="Arial" w:cs="Arial" w:eastAsia="Arial" w:hAnsi="Arial"/>
          <w:color w:val="000000"/>
          <w:sz w:val="22"/>
          <w:szCs w:val="22"/>
        </w:rPr>
        <w:t xml:space="preserve">Acceso al ERP/OMS autenticado y autorizado (Access, mTLS).</w:t>
      </w:r>
    </w:p>
    <w:p>
      <w:pPr>
        <w:pStyle w:val="ListParagraph"/>
        <w:numPr>
          <w:ilvl w:val="0"/>
          <w:numId w:val="2"/>
        </w:numPr>
        <w:spacing w:after="80"/>
      </w:pPr>
      <w:r>
        <w:rPr>
          <w:rFonts w:ascii="Arial" w:cs="Arial" w:eastAsia="Arial" w:hAnsi="Arial"/>
          <w:color w:val="000000"/>
          <w:sz w:val="22"/>
          <w:szCs w:val="22"/>
        </w:rPr>
        <w:t xml:space="preserve">Trazabilidad de decisiones del agente para auditoría conforme al EU AI Act.</w:t>
      </w:r>
    </w:p>
    <w:p>
      <w:r>
        <w:br w:type="page"/>
      </w:r>
    </w:p>
    <w:p>
      <w:pPr>
        <w:pStyle w:val="Heading1"/>
        <w:spacing w:after="180" w:before="360"/>
      </w:pPr>
      <w:r>
        <w:rPr>
          <w:rFonts w:ascii="Arial" w:cs="Arial" w:eastAsia="Arial" w:hAnsi="Arial"/>
          <w:b/>
          <w:bCs/>
          <w:color w:val="FF6600"/>
          <w:sz w:val="36"/>
          <w:szCs w:val="36"/>
        </w:rPr>
        <w:t xml:space="preserve">9. Seguridad y gobierno de la IA</w:t>
      </w:r>
    </w:p>
    <w:p>
      <w:pPr>
        <w:pStyle w:val="ListParagraph"/>
        <w:numPr>
          <w:ilvl w:val="0"/>
          <w:numId w:val="2"/>
        </w:numPr>
        <w:spacing w:after="80"/>
      </w:pPr>
      <w:r>
        <w:rPr>
          <w:rFonts w:ascii="Arial" w:cs="Arial" w:eastAsia="Arial" w:hAnsi="Arial"/>
          <w:color w:val="000000"/>
          <w:sz w:val="22"/>
          <w:szCs w:val="22"/>
        </w:rPr>
        <w:t xml:space="preserve">AI Gateway: punto único de control de todo el tráfico LLM, con auditoría, coste por interacción, caché semántica, rate limiting y fallback entre modelos.</w:t>
      </w:r>
    </w:p>
    <w:p>
      <w:pPr>
        <w:pStyle w:val="ListParagraph"/>
        <w:numPr>
          <w:ilvl w:val="0"/>
          <w:numId w:val="2"/>
        </w:numPr>
        <w:spacing w:after="80"/>
      </w:pPr>
      <w:r>
        <w:rPr>
          <w:rFonts w:ascii="Arial" w:cs="Arial" w:eastAsia="Arial" w:hAnsi="Arial"/>
          <w:color w:val="000000"/>
          <w:sz w:val="22"/>
          <w:szCs w:val="22"/>
        </w:rPr>
        <w:t xml:space="preserve">AI Security for Apps: protección frente a amenazas específicas de LLM como inyección de prompts y temas no permitidos.</w:t>
      </w:r>
    </w:p>
    <w:p>
      <w:pPr>
        <w:pStyle w:val="ListParagraph"/>
        <w:numPr>
          <w:ilvl w:val="0"/>
          <w:numId w:val="2"/>
        </w:numPr>
        <w:spacing w:after="80"/>
      </w:pPr>
      <w:r>
        <w:rPr>
          <w:rFonts w:ascii="Arial" w:cs="Arial" w:eastAsia="Arial" w:hAnsi="Arial"/>
          <w:color w:val="000000"/>
          <w:sz w:val="22"/>
          <w:szCs w:val="22"/>
        </w:rPr>
        <w:t xml:space="preserve">Data Loss Prevention (Cloudflare One): detección de datos sensibles (PII/PCI) en el tráfico y en los prompts/respuestas de IA.</w:t>
      </w:r>
    </w:p>
    <w:p>
      <w:pPr>
        <w:pStyle w:val="ListParagraph"/>
        <w:numPr>
          <w:ilvl w:val="0"/>
          <w:numId w:val="2"/>
        </w:numPr>
        <w:spacing w:after="80"/>
      </w:pPr>
      <w:r>
        <w:rPr>
          <w:rFonts w:ascii="Arial" w:cs="Arial" w:eastAsia="Arial" w:hAnsi="Arial"/>
          <w:color w:val="000000"/>
          <w:sz w:val="22"/>
          <w:szCs w:val="22"/>
        </w:rPr>
        <w:t xml:space="preserve">WAF y Bot Management: protección de los endpoints expuestos del agente frente a abuso y automatismos.</w:t>
      </w:r>
    </w:p>
    <w:p>
      <w:pPr>
        <w:pStyle w:val="ListParagraph"/>
        <w:numPr>
          <w:ilvl w:val="0"/>
          <w:numId w:val="2"/>
        </w:numPr>
        <w:spacing w:after="80"/>
      </w:pPr>
      <w:r>
        <w:rPr>
          <w:rFonts w:ascii="Arial" w:cs="Arial" w:eastAsia="Arial" w:hAnsi="Arial"/>
          <w:color w:val="000000"/>
          <w:sz w:val="22"/>
          <w:szCs w:val="22"/>
        </w:rPr>
        <w:t xml:space="preserve">Cloudflare Access (ZTNA): control de acceso por identidad, grupo, postura y MFA a las consolas y sistemas de gestión.</w:t>
      </w:r>
    </w:p>
    <w:p>
      <w:pPr>
        <w:pStyle w:val="ListParagraph"/>
        <w:numPr>
          <w:ilvl w:val="0"/>
          <w:numId w:val="2"/>
        </w:numPr>
        <w:spacing w:after="80"/>
      </w:pPr>
      <w:r>
        <w:rPr>
          <w:rFonts w:ascii="Arial" w:cs="Arial" w:eastAsia="Arial" w:hAnsi="Arial"/>
          <w:color w:val="000000"/>
          <w:sz w:val="22"/>
          <w:szCs w:val="22"/>
        </w:rPr>
        <w:t xml:space="preserve">Turnstile y mTLS: verificación sin fricción y autenticación mutua de clientes máquina-a-máquina.</w:t>
      </w:r>
    </w:p>
    <w:p>
      <w:r>
        <w:br w:type="page"/>
      </w:r>
    </w:p>
    <w:p>
      <w:pPr>
        <w:pStyle w:val="Heading1"/>
        <w:spacing w:after="180" w:before="360"/>
      </w:pPr>
      <w:r>
        <w:rPr>
          <w:rFonts w:ascii="Arial" w:cs="Arial" w:eastAsia="Arial" w:hAnsi="Arial"/>
          <w:b/>
          <w:bCs/>
          <w:color w:val="FF6600"/>
          <w:sz w:val="36"/>
          <w:szCs w:val="36"/>
        </w:rPr>
        <w:t xml:space="preserve">10. Modelo de costes</w:t>
      </w:r>
    </w:p>
    <w:p>
      <w:pPr>
        <w:spacing w:after="120"/>
        <w:jc w:val="both"/>
      </w:pPr>
      <w:r>
        <w:rPr>
          <w:rFonts w:ascii="Arial" w:cs="Arial" w:eastAsia="Arial" w:hAnsi="Arial"/>
          <w:color w:val="000000"/>
          <w:sz w:val="22"/>
          <w:szCs w:val="22"/>
        </w:rPr>
        <w:t xml:space="preserve">Cloudflare es un servicio en la nube de pago por uso (modelo OPEX). El coste se compone de una parte variable, dominada por la inferencia de IA por llamada, y una parte fija de plataforma. Las cifras son aproximadas, según tarifas oficiales de junio de 2026, y se calibran con el volumen real durante la Fase 1.</w:t>
      </w:r>
    </w:p>
    <w:p>
      <w:pPr>
        <w:pStyle w:val="Heading2"/>
        <w:spacing w:after="120" w:before="240"/>
      </w:pPr>
      <w:r>
        <w:rPr>
          <w:rFonts w:ascii="Arial" w:cs="Arial" w:eastAsia="Arial" w:hAnsi="Arial"/>
          <w:b/>
          <w:bCs/>
          <w:color w:val="FF6600"/>
          <w:sz w:val="28"/>
          <w:szCs w:val="28"/>
        </w:rPr>
        <w:t xml:space="preserve">Coste variable por llamada (modelo de ~3 minutos en español)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238"/>
        <w:gridCol w:w="2000"/>
      </w:tblGrid>
      <w:tr>
        <w:trPr>
          <w:tblHeader/>
        </w:trPr>
        <w:tc>
          <w:tcPr>
            <w:tcW w:type="dxa" w:w="34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Concepto</w:t>
            </w:r>
          </w:p>
        </w:tc>
        <w:tc>
          <w:tcPr>
            <w:tcW w:type="dxa" w:w="4238"/>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Modelo / tarifa</w:t>
            </w:r>
          </w:p>
        </w:tc>
        <w:tc>
          <w:tcPr>
            <w:tcW w:type="dxa" w:w="20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USD/llamada</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ASR</w:t>
            </w:r>
          </w:p>
        </w:tc>
        <w:tc>
          <w:tcPr>
            <w:tcW w:type="dxa" w:w="42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Flux (WebSocket) · 0,0077 $/min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~0,023</w:t>
            </w:r>
          </w:p>
        </w:tc>
      </w:tr>
      <w:tr>
        <w:tc>
          <w:tcPr>
            <w:tcW w:type="dxa" w:w="3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Detección de turno</w:t>
            </w:r>
          </w:p>
        </w:tc>
        <w:tc>
          <w:tcPr>
            <w:tcW w:type="dxa" w:w="42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smart-turn-v2 · 0,00034 $/min</w:t>
            </w:r>
          </w:p>
        </w:tc>
        <w:tc>
          <w:tcPr>
            <w:tcW w:type="dxa" w:w="20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~0,001</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TTS (~1.500 caracteres)</w:t>
            </w:r>
          </w:p>
        </w:tc>
        <w:tc>
          <w:tcPr>
            <w:tcW w:type="dxa" w:w="42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Aura-2-es · 0,030 $/1k car.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~0,045</w:t>
            </w:r>
          </w:p>
        </w:tc>
      </w:tr>
      <w:tr>
        <w:tc>
          <w:tcPr>
            <w:tcW w:type="dxa" w:w="3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LLM (NLU + extracción)</w:t>
            </w:r>
          </w:p>
        </w:tc>
        <w:tc>
          <w:tcPr>
            <w:tcW w:type="dxa" w:w="42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Llama 3.3 70B · 0,293/2,253 $/M tok.</w:t>
            </w:r>
          </w:p>
        </w:tc>
        <w:tc>
          <w:tcPr>
            <w:tcW w:type="dxa" w:w="20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~0,009</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Embeddings RAG</w:t>
            </w:r>
          </w:p>
        </w:tc>
        <w:tc>
          <w:tcPr>
            <w:tcW w:type="dxa" w:w="42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bge-m3 · 0,012 $/M tokens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~0,0002</w:t>
            </w:r>
          </w:p>
        </w:tc>
      </w:tr>
      <w:tr>
        <w:tc>
          <w:tcPr>
            <w:tcW w:type="dxa" w:w="3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Compute (Workers/DO/Queues/D1/Vectorize)</w:t>
            </w:r>
          </w:p>
        </w:tc>
        <w:tc>
          <w:tcPr>
            <w:tcW w:type="dxa" w:w="42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pago por uso</w:t>
            </w:r>
          </w:p>
        </w:tc>
        <w:tc>
          <w:tcPr>
            <w:tcW w:type="dxa" w:w="20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~0,003</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TOTAL aproximado por llamada</w:t>
            </w:r>
          </w:p>
        </w:tc>
        <w:tc>
          <w:tcPr>
            <w:tcW w:type="dxa" w:w="42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~0,08 $ (~0,075 €)</w:t>
            </w:r>
          </w:p>
        </w:tc>
      </w:tr>
    </w:tbl>
    <w:p>
      <w:pPr>
        <w:spacing w:after="120"/>
        <w:jc w:val="both"/>
      </w:pPr>
      <w:r>
        <w:rPr>
          <w:rFonts w:ascii="Arial" w:cs="Arial" w:eastAsia="Arial" w:hAnsi="Arial"/>
          <w:color w:val="000000"/>
          <w:sz w:val="22"/>
          <w:szCs w:val="22"/>
        </w:rPr>
        <w:t xml:space="preserve">El coste lo domina el TTS. Sustituir Aura-2-es por melotts reduce el coste por llamada a aproximadamente 0,035 $, a cambio de naturalidad de voz; la elección se valida en el POC.</w:t>
      </w:r>
    </w:p>
    <w:p>
      <w:pPr>
        <w:pStyle w:val="Heading2"/>
        <w:spacing w:after="120" w:before="240"/>
      </w:pPr>
      <w:r>
        <w:rPr>
          <w:rFonts w:ascii="Arial" w:cs="Arial" w:eastAsia="Arial" w:hAnsi="Arial"/>
          <w:b/>
          <w:bCs/>
          <w:color w:val="FF6600"/>
          <w:sz w:val="28"/>
          <w:szCs w:val="28"/>
        </w:rPr>
        <w:t xml:space="preserve">Coste mensual estimado por volumen (a 0,08 $/llamada)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rPr>
          <w:tblHeader/>
        </w:trPr>
        <w:tc>
          <w:tcPr>
            <w:tcW w:type="dxa" w:w="3213"/>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Volumen mensual</w:t>
            </w:r>
          </w:p>
        </w:tc>
        <w:tc>
          <w:tcPr>
            <w:tcW w:type="dxa" w:w="3213"/>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Coste variable IA/voz (USD)</w:t>
            </w:r>
          </w:p>
        </w:tc>
        <w:tc>
          <w:tcPr>
            <w:tcW w:type="dxa" w:w="3212"/>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Aprox. EUR</w:t>
            </w:r>
          </w:p>
        </w:tc>
      </w:tr>
      <w:tr>
        <w:tc>
          <w:tcPr>
            <w:tcW w:type="dxa" w:w="32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10.000 llamadas</w:t>
            </w:r>
          </w:p>
        </w:tc>
        <w:tc>
          <w:tcPr>
            <w:tcW w:type="dxa" w:w="32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~800</w:t>
            </w:r>
          </w:p>
        </w:tc>
        <w:tc>
          <w:tcPr>
            <w:tcW w:type="dxa" w:w="321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~740 €</w:t>
            </w:r>
          </w:p>
        </w:tc>
      </w:tr>
      <w:tr>
        <w:tc>
          <w:tcPr>
            <w:tcW w:type="dxa" w:w="3213"/>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50.000 llamadas</w:t>
            </w:r>
          </w:p>
        </w:tc>
        <w:tc>
          <w:tcPr>
            <w:tcW w:type="dxa" w:w="3213"/>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~4.000</w:t>
            </w:r>
          </w:p>
        </w:tc>
        <w:tc>
          <w:tcPr>
            <w:tcW w:type="dxa" w:w="3212"/>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~3.700 €</w:t>
            </w:r>
          </w:p>
        </w:tc>
      </w:tr>
      <w:tr>
        <w:tc>
          <w:tcPr>
            <w:tcW w:type="dxa" w:w="32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100.000 llamadas</w:t>
            </w:r>
          </w:p>
        </w:tc>
        <w:tc>
          <w:tcPr>
            <w:tcW w:type="dxa" w:w="32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~8.000</w:t>
            </w:r>
          </w:p>
        </w:tc>
        <w:tc>
          <w:tcPr>
            <w:tcW w:type="dxa" w:w="321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~7.400 €</w:t>
            </w:r>
          </w:p>
        </w:tc>
      </w:tr>
    </w:tbl>
    <w:p>
      <w:pPr>
        <w:spacing w:after="120"/>
        <w:jc w:val="both"/>
      </w:pPr>
      <w:r>
        <w:rPr>
          <w:rFonts w:ascii="Arial" w:cs="Arial" w:eastAsia="Arial" w:hAnsi="Arial"/>
          <w:color w:val="000000"/>
          <w:sz w:val="22"/>
          <w:szCs w:val="22"/>
        </w:rPr>
        <w:t xml:space="preserve">No se incluyen: licencia de NICE CXOne, conectividad PSTN, los servicios profesionales de A2R (Fase 1 a precio cerrado; Fases 2-3 como rango) ni el contrato Cloudflare Enterprise con sus complementos (Data Localization Suite, WAF, Access), que se cotizan según alcance.</w:t>
      </w:r>
    </w:p>
    <w:p>
      <w:r>
        <w:br w:type="page"/>
      </w:r>
    </w:p>
    <w:p>
      <w:pPr>
        <w:pStyle w:val="Heading1"/>
        <w:spacing w:after="180" w:before="360"/>
      </w:pPr>
      <w:r>
        <w:rPr>
          <w:rFonts w:ascii="Arial" w:cs="Arial" w:eastAsia="Arial" w:hAnsi="Arial"/>
          <w:b/>
          <w:bCs/>
          <w:color w:val="FF6600"/>
          <w:sz w:val="36"/>
          <w:szCs w:val="36"/>
        </w:rPr>
        <w:t xml:space="preserve">11. Gestión del proyecto y fases</w:t>
      </w:r>
    </w:p>
    <w:p>
      <w:pPr>
        <w:spacing w:after="120"/>
        <w:jc w:val="both"/>
      </w:pPr>
      <w:r>
        <w:rPr>
          <w:rFonts w:ascii="Arial" w:cs="Arial" w:eastAsia="Arial" w:hAnsi="Arial"/>
          <w:color w:val="000000"/>
          <w:sz w:val="22"/>
          <w:szCs w:val="22"/>
        </w:rPr>
        <w:t xml:space="preserve">El proyecto avanza por fases con incremento progresivo de automatización. A2R aporta la dirección técnica de la capa agéntica y RAG; Cloudflare aporta la plataforma y el acompañamiento de arquitectura; Base10 aporta el conocimiento de negocio, los datos y la integración con CXone y el ERP.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38"/>
        <w:gridCol w:w="1800"/>
        <w:gridCol w:w="2200"/>
      </w:tblGrid>
      <w:tr>
        <w:trPr>
          <w:tblHeader/>
        </w:trPr>
        <w:tc>
          <w:tcPr>
            <w:tcW w:type="dxa" w:w="15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Fase</w:t>
            </w:r>
          </w:p>
        </w:tc>
        <w:tc>
          <w:tcPr>
            <w:tcW w:type="dxa" w:w="4138"/>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Objetivo</w:t>
            </w:r>
          </w:p>
        </w:tc>
        <w:tc>
          <w:tcPr>
            <w:tcW w:type="dxa" w:w="18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Duración</w:t>
            </w:r>
          </w:p>
        </w:tc>
        <w:tc>
          <w:tcPr>
            <w:tcW w:type="dxa" w:w="22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Automatización</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F1</w:t>
            </w:r>
          </w:p>
        </w:tc>
        <w:tc>
          <w:tcPr>
            <w:tcW w:type="dxa" w:w="41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Evaluación tecnológica + POC del flujo extremo a extremo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4–8 sem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Validación</w:t>
            </w:r>
          </w:p>
        </w:tc>
      </w:tr>
      <w:tr>
        <w:tc>
          <w:tcPr>
            <w:tcW w:type="dxa" w:w="15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F2</w:t>
            </w:r>
          </w:p>
        </w:tc>
        <w:tc>
          <w:tcPr>
            <w:tcW w:type="dxa" w:w="41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MVP asistido: el agente propone, el operador confirma</w:t>
            </w:r>
          </w:p>
        </w:tc>
        <w:tc>
          <w:tcPr>
            <w:tcW w:type="dxa" w:w="18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8–14 sem</w:t>
            </w:r>
          </w:p>
        </w:tc>
        <w:tc>
          <w:tcPr>
            <w:tcW w:type="dxa" w:w="2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Supervisada</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F3</w:t>
            </w:r>
          </w:p>
        </w:tc>
        <w:tc>
          <w:tcPr>
            <w:tcW w:type="dxa" w:w="41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Automatización: el agente procesa y confirma autónomo, integración ERP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10–16 sem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Por excepción</w:t>
            </w:r>
          </w:p>
        </w:tc>
      </w:tr>
      <w:tr>
        <w:tc>
          <w:tcPr>
            <w:tcW w:type="dxa" w:w="15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F4</w:t>
            </w:r>
          </w:p>
        </w:tc>
        <w:tc>
          <w:tcPr>
            <w:tcW w:type="dxa" w:w="41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Operación continua: mantenimiento, monitorización y mejora</w:t>
            </w:r>
          </w:p>
        </w:tc>
        <w:tc>
          <w:tcPr>
            <w:tcW w:type="dxa" w:w="18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Recurrente</w:t>
            </w:r>
          </w:p>
        </w:tc>
        <w:tc>
          <w:tcPr>
            <w:tcW w:type="dxa" w:w="22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Total</w:t>
            </w:r>
          </w:p>
        </w:tc>
      </w:tr>
    </w:tbl>
    <w:p>
      <w:pPr>
        <w:pStyle w:val="Heading2"/>
        <w:spacing w:after="120" w:before="240"/>
      </w:pPr>
      <w:r>
        <w:rPr>
          <w:rFonts w:ascii="Arial" w:cs="Arial" w:eastAsia="Arial" w:hAnsi="Arial"/>
          <w:b/>
          <w:bCs/>
          <w:color w:val="FF6600"/>
          <w:sz w:val="28"/>
          <w:szCs w:val="28"/>
        </w:rPr>
        <w:t xml:space="preserve">Responsabilidades (RACI simplificado)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1933"/>
        <w:gridCol w:w="1933"/>
        <w:gridCol w:w="1934"/>
      </w:tblGrid>
      <w:tr>
        <w:trPr>
          <w:tblHeader/>
        </w:trPr>
        <w:tc>
          <w:tcPr>
            <w:tcW w:type="dxa" w:w="3838"/>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Actividad</w:t>
            </w:r>
          </w:p>
        </w:tc>
        <w:tc>
          <w:tcPr>
            <w:tcW w:type="dxa" w:w="1933"/>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Base10</w:t>
            </w:r>
          </w:p>
        </w:tc>
        <w:tc>
          <w:tcPr>
            <w:tcW w:type="dxa" w:w="1933"/>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A2R</w:t>
            </w:r>
          </w:p>
        </w:tc>
        <w:tc>
          <w:tcPr>
            <w:tcW w:type="dxa" w:w="1934"/>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Cloudflare</w:t>
            </w:r>
          </w:p>
        </w:tc>
      </w:tr>
      <w:tr>
        <w:tc>
          <w:tcPr>
            <w:tcW w:type="dxa" w:w="38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Conocimiento de negocio y datos</w:t>
            </w:r>
          </w:p>
        </w:tc>
        <w:tc>
          <w:tcPr>
            <w:tcW w:type="dxa" w:w="193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Responsable</w:t>
            </w:r>
          </w:p>
        </w:tc>
        <w:tc>
          <w:tcPr>
            <w:tcW w:type="dxa" w:w="193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Consultado</w:t>
            </w:r>
          </w:p>
        </w:tc>
        <w:tc>
          <w:tcPr>
            <w:tcW w:type="dxa" w:w="1934"/>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Informado</w:t>
            </w:r>
          </w:p>
        </w:tc>
      </w:tr>
      <w:tr>
        <w:tc>
          <w:tcPr>
            <w:tcW w:type="dxa" w:w="38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Diseño del agente y RAG</w:t>
            </w:r>
          </w:p>
        </w:tc>
        <w:tc>
          <w:tcPr>
            <w:tcW w:type="dxa" w:w="1933"/>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Consultado</w:t>
            </w:r>
          </w:p>
        </w:tc>
        <w:tc>
          <w:tcPr>
            <w:tcW w:type="dxa" w:w="1933"/>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Responsable</w:t>
            </w:r>
          </w:p>
        </w:tc>
        <w:tc>
          <w:tcPr>
            <w:tcW w:type="dxa" w:w="1934"/>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Apoyo arquitectura</w:t>
            </w:r>
          </w:p>
        </w:tc>
      </w:tr>
      <w:tr>
        <w:tc>
          <w:tcPr>
            <w:tcW w:type="dxa" w:w="38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Plataforma de voz e inferencia</w:t>
            </w:r>
          </w:p>
        </w:tc>
        <w:tc>
          <w:tcPr>
            <w:tcW w:type="dxa" w:w="193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Informado</w:t>
            </w:r>
          </w:p>
        </w:tc>
        <w:tc>
          <w:tcPr>
            <w:tcW w:type="dxa" w:w="193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Consultado</w:t>
            </w:r>
          </w:p>
        </w:tc>
        <w:tc>
          <w:tcPr>
            <w:tcW w:type="dxa" w:w="1934"/>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Responsable</w:t>
            </w:r>
          </w:p>
        </w:tc>
      </w:tr>
      <w:tr>
        <w:tc>
          <w:tcPr>
            <w:tcW w:type="dxa" w:w="38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Integración con CXone</w:t>
            </w:r>
          </w:p>
        </w:tc>
        <w:tc>
          <w:tcPr>
            <w:tcW w:type="dxa" w:w="1933"/>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Responsable</w:t>
            </w:r>
          </w:p>
        </w:tc>
        <w:tc>
          <w:tcPr>
            <w:tcW w:type="dxa" w:w="1933"/>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Consultado</w:t>
            </w:r>
          </w:p>
        </w:tc>
        <w:tc>
          <w:tcPr>
            <w:tcW w:type="dxa" w:w="1934"/>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Apoyo</w:t>
            </w:r>
          </w:p>
        </w:tc>
      </w:tr>
      <w:tr>
        <w:tc>
          <w:tcPr>
            <w:tcW w:type="dxa" w:w="38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Integración con ERP/OMS</w:t>
            </w:r>
          </w:p>
        </w:tc>
        <w:tc>
          <w:tcPr>
            <w:tcW w:type="dxa" w:w="193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Responsable</w:t>
            </w:r>
          </w:p>
        </w:tc>
        <w:tc>
          <w:tcPr>
            <w:tcW w:type="dxa" w:w="193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Responsable</w:t>
            </w:r>
          </w:p>
        </w:tc>
        <w:tc>
          <w:tcPr>
            <w:tcW w:type="dxa" w:w="1934"/>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Apoyo</w:t>
            </w:r>
          </w:p>
        </w:tc>
      </w:tr>
      <w:tr>
        <w:tc>
          <w:tcPr>
            <w:tcW w:type="dxa" w:w="38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Cumplimiento RGPD / residencia UE</w:t>
            </w:r>
          </w:p>
        </w:tc>
        <w:tc>
          <w:tcPr>
            <w:tcW w:type="dxa" w:w="1933"/>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Responsable</w:t>
            </w:r>
          </w:p>
        </w:tc>
        <w:tc>
          <w:tcPr>
            <w:tcW w:type="dxa" w:w="1933"/>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Consultado</w:t>
            </w:r>
          </w:p>
        </w:tc>
        <w:tc>
          <w:tcPr>
            <w:tcW w:type="dxa" w:w="1934"/>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Responsable (DLS)</w:t>
            </w:r>
          </w:p>
        </w:tc>
      </w:tr>
    </w:tbl>
    <w:p>
      <w:r>
        <w:br w:type="page"/>
      </w:r>
    </w:p>
    <w:p>
      <w:pPr>
        <w:pStyle w:val="Heading1"/>
        <w:spacing w:after="180" w:before="360"/>
      </w:pPr>
      <w:r>
        <w:rPr>
          <w:rFonts w:ascii="Arial" w:cs="Arial" w:eastAsia="Arial" w:hAnsi="Arial"/>
          <w:b/>
          <w:bCs/>
          <w:color w:val="FF6600"/>
          <w:sz w:val="36"/>
          <w:szCs w:val="36"/>
        </w:rPr>
        <w:t xml:space="preserve">12. Plan de la Fase 1 (Evaluación + POC)</w:t>
      </w:r>
    </w:p>
    <w:p>
      <w:pPr>
        <w:spacing w:after="120"/>
        <w:jc w:val="both"/>
      </w:pPr>
      <w:r>
        <w:rPr>
          <w:rFonts w:ascii="Arial" w:cs="Arial" w:eastAsia="Arial" w:hAnsi="Arial"/>
          <w:color w:val="000000"/>
          <w:sz w:val="22"/>
          <w:szCs w:val="22"/>
        </w:rPr>
        <w:t xml:space="preserve">La Fase 1 es un proyecto cerrado de 4 a 8 semanas que deja todos los elementos técnicos y económicos para decidir las Fases 2 y 3 con cifras firmes.</w:t>
      </w:r>
    </w:p>
    <w:p>
      <w:pPr>
        <w:pStyle w:val="Heading2"/>
        <w:spacing w:after="120" w:before="240"/>
      </w:pPr>
      <w:r>
        <w:rPr>
          <w:rFonts w:ascii="Arial" w:cs="Arial" w:eastAsia="Arial" w:hAnsi="Arial"/>
          <w:b/>
          <w:bCs/>
          <w:color w:val="FF6600"/>
          <w:sz w:val="28"/>
          <w:szCs w:val="28"/>
        </w:rPr>
        <w:t xml:space="preserve">Entregables</w:t>
      </w:r>
    </w:p>
    <w:p>
      <w:pPr>
        <w:pStyle w:val="ListParagraph"/>
        <w:numPr>
          <w:ilvl w:val="0"/>
          <w:numId w:val="2"/>
        </w:numPr>
        <w:spacing w:after="80"/>
      </w:pPr>
      <w:r>
        <w:rPr>
          <w:rFonts w:ascii="Arial" w:cs="Arial" w:eastAsia="Arial" w:hAnsi="Arial"/>
          <w:color w:val="000000"/>
          <w:sz w:val="22"/>
          <w:szCs w:val="22"/>
        </w:rPr>
        <w:t xml:space="preserve">Arquitectura de la solución e integración con la plataforma del contact center (CXone).</w:t>
      </w:r>
    </w:p>
    <w:p>
      <w:pPr>
        <w:pStyle w:val="ListParagraph"/>
        <w:numPr>
          <w:ilvl w:val="0"/>
          <w:numId w:val="2"/>
        </w:numPr>
        <w:spacing w:after="80"/>
      </w:pPr>
      <w:r>
        <w:rPr>
          <w:rFonts w:ascii="Arial" w:cs="Arial" w:eastAsia="Arial" w:hAnsi="Arial"/>
          <w:color w:val="000000"/>
          <w:sz w:val="22"/>
          <w:szCs w:val="22"/>
        </w:rPr>
        <w:t xml:space="preserve">Evaluación tecnológica con recomendación de voz, modelo de lenguaje y RAG.</w:t>
      </w:r>
    </w:p>
    <w:p>
      <w:pPr>
        <w:pStyle w:val="ListParagraph"/>
        <w:numPr>
          <w:ilvl w:val="0"/>
          <w:numId w:val="2"/>
        </w:numPr>
        <w:spacing w:after="80"/>
      </w:pPr>
      <w:r>
        <w:rPr>
          <w:rFonts w:ascii="Arial" w:cs="Arial" w:eastAsia="Arial" w:hAnsi="Arial"/>
          <w:color w:val="000000"/>
          <w:sz w:val="22"/>
          <w:szCs w:val="22"/>
        </w:rPr>
        <w:t xml:space="preserve">Prueba de concepto funcional del flujo extremo a extremo.</w:t>
      </w:r>
    </w:p>
    <w:p>
      <w:pPr>
        <w:pStyle w:val="ListParagraph"/>
        <w:numPr>
          <w:ilvl w:val="0"/>
          <w:numId w:val="2"/>
        </w:numPr>
        <w:spacing w:after="80"/>
      </w:pPr>
      <w:r>
        <w:rPr>
          <w:rFonts w:ascii="Arial" w:cs="Arial" w:eastAsia="Arial" w:hAnsi="Arial"/>
          <w:color w:val="000000"/>
          <w:sz w:val="22"/>
          <w:szCs w:val="22"/>
        </w:rPr>
        <w:t xml:space="preserve">Modelo de coste por llamada a partir del volumen real.</w:t>
      </w:r>
    </w:p>
    <w:p>
      <w:pPr>
        <w:pStyle w:val="ListParagraph"/>
        <w:numPr>
          <w:ilvl w:val="0"/>
          <w:numId w:val="2"/>
        </w:numPr>
        <w:spacing w:after="80"/>
      </w:pPr>
      <w:r>
        <w:rPr>
          <w:rFonts w:ascii="Arial" w:cs="Arial" w:eastAsia="Arial" w:hAnsi="Arial"/>
          <w:color w:val="000000"/>
          <w:sz w:val="22"/>
          <w:szCs w:val="22"/>
        </w:rPr>
        <w:t xml:space="preserve">Análisis de riesgos (RGPD y EU AI Act) con plan de mitigación.</w:t>
      </w:r>
    </w:p>
    <w:p>
      <w:pPr>
        <w:pStyle w:val="ListParagraph"/>
        <w:numPr>
          <w:ilvl w:val="0"/>
          <w:numId w:val="2"/>
        </w:numPr>
        <w:spacing w:after="80"/>
      </w:pPr>
      <w:r>
        <w:rPr>
          <w:rFonts w:ascii="Arial" w:cs="Arial" w:eastAsia="Arial" w:hAnsi="Arial"/>
          <w:color w:val="000000"/>
          <w:sz w:val="22"/>
          <w:szCs w:val="22"/>
        </w:rPr>
        <w:t xml:space="preserve">Estimación de esfuerzo y planificación de las Fases 2 y 3.</w:t>
      </w:r>
    </w:p>
    <w:p>
      <w:pPr>
        <w:pStyle w:val="Heading2"/>
        <w:spacing w:after="120" w:before="240"/>
      </w:pPr>
      <w:r>
        <w:rPr>
          <w:rFonts w:ascii="Arial" w:cs="Arial" w:eastAsia="Arial" w:hAnsi="Arial"/>
          <w:b/>
          <w:bCs/>
          <w:color w:val="FF6600"/>
          <w:sz w:val="28"/>
          <w:szCs w:val="28"/>
        </w:rPr>
        <w:t xml:space="preserve">Criterios de éxito del POC</w:t>
      </w:r>
    </w:p>
    <w:p>
      <w:pPr>
        <w:pStyle w:val="ListParagraph"/>
        <w:numPr>
          <w:ilvl w:val="0"/>
          <w:numId w:val="2"/>
        </w:numPr>
        <w:spacing w:after="80"/>
      </w:pPr>
      <w:r>
        <w:rPr>
          <w:rFonts w:ascii="Arial" w:cs="Arial" w:eastAsia="Arial" w:hAnsi="Arial"/>
          <w:color w:val="000000"/>
          <w:sz w:val="22"/>
          <w:szCs w:val="22"/>
        </w:rPr>
        <w:t xml:space="preserve">Extracción correcta del pedido a partir de lenguaje natural.</w:t>
      </w:r>
    </w:p>
    <w:p>
      <w:pPr>
        <w:pStyle w:val="ListParagraph"/>
        <w:numPr>
          <w:ilvl w:val="0"/>
          <w:numId w:val="2"/>
        </w:numPr>
        <w:spacing w:after="80"/>
      </w:pPr>
      <w:r>
        <w:rPr>
          <w:rFonts w:ascii="Arial" w:cs="Arial" w:eastAsia="Arial" w:hAnsi="Arial"/>
          <w:color w:val="000000"/>
          <w:sz w:val="22"/>
          <w:szCs w:val="22"/>
        </w:rPr>
        <w:t xml:space="preserve">Latencia conversacional percibida como natural.</w:t>
      </w:r>
    </w:p>
    <w:p>
      <w:pPr>
        <w:pStyle w:val="ListParagraph"/>
        <w:numPr>
          <w:ilvl w:val="0"/>
          <w:numId w:val="2"/>
        </w:numPr>
        <w:spacing w:after="80"/>
      </w:pPr>
      <w:r>
        <w:rPr>
          <w:rFonts w:ascii="Arial" w:cs="Arial" w:eastAsia="Arial" w:hAnsi="Arial"/>
          <w:color w:val="000000"/>
          <w:sz w:val="22"/>
          <w:szCs w:val="22"/>
        </w:rPr>
        <w:t xml:space="preserve">Escalado al operador sin pérdida de contexto.</w:t>
      </w:r>
    </w:p>
    <w:p>
      <w:pPr>
        <w:pStyle w:val="ListParagraph"/>
        <w:numPr>
          <w:ilvl w:val="0"/>
          <w:numId w:val="2"/>
        </w:numPr>
        <w:spacing w:after="80"/>
      </w:pPr>
      <w:r>
        <w:rPr>
          <w:rFonts w:ascii="Arial" w:cs="Arial" w:eastAsia="Arial" w:hAnsi="Arial"/>
          <w:color w:val="000000"/>
          <w:sz w:val="22"/>
          <w:szCs w:val="22"/>
        </w:rPr>
        <w:t xml:space="preserve">Coste por llamada estimable a partir del volumen.</w:t>
      </w:r>
    </w:p>
    <w:p>
      <w:pPr>
        <w:pStyle w:val="ListParagraph"/>
        <w:numPr>
          <w:ilvl w:val="0"/>
          <w:numId w:val="2"/>
        </w:numPr>
        <w:spacing w:after="80"/>
      </w:pPr>
      <w:r>
        <w:rPr>
          <w:rFonts w:ascii="Arial" w:cs="Arial" w:eastAsia="Arial" w:hAnsi="Arial"/>
          <w:color w:val="000000"/>
          <w:sz w:val="22"/>
          <w:szCs w:val="22"/>
        </w:rPr>
        <w:t xml:space="preserve">Viabilidad técnica de la integración con CXone confirmada.</w:t>
      </w:r>
    </w:p>
    <w:p>
      <w:pPr>
        <w:pStyle w:val="Heading2"/>
        <w:spacing w:after="120" w:before="240"/>
      </w:pPr>
      <w:r>
        <w:rPr>
          <w:rFonts w:ascii="Arial" w:cs="Arial" w:eastAsia="Arial" w:hAnsi="Arial"/>
          <w:b/>
          <w:bCs/>
          <w:color w:val="FF6600"/>
          <w:sz w:val="28"/>
          <w:szCs w:val="28"/>
        </w:rPr>
        <w:t xml:space="preserve">Materiales a solicitar al cliente</w:t>
      </w:r>
    </w:p>
    <w:p>
      <w:pPr>
        <w:pStyle w:val="ListParagraph"/>
        <w:numPr>
          <w:ilvl w:val="0"/>
          <w:numId w:val="2"/>
        </w:numPr>
        <w:spacing w:after="80"/>
      </w:pPr>
      <w:r>
        <w:rPr>
          <w:rFonts w:ascii="Arial" w:cs="Arial" w:eastAsia="Arial" w:hAnsi="Arial"/>
          <w:color w:val="000000"/>
          <w:sz w:val="22"/>
          <w:szCs w:val="22"/>
        </w:rPr>
        <w:t xml:space="preserve">Listado ficticio de clientes (para el mecanismo de identificación).</w:t>
      </w:r>
    </w:p>
    <w:p>
      <w:pPr>
        <w:pStyle w:val="ListParagraph"/>
        <w:numPr>
          <w:ilvl w:val="0"/>
          <w:numId w:val="2"/>
        </w:numPr>
        <w:spacing w:after="80"/>
      </w:pPr>
      <w:r>
        <w:rPr>
          <w:rFonts w:ascii="Arial" w:cs="Arial" w:eastAsia="Arial" w:hAnsi="Arial"/>
          <w:color w:val="000000"/>
          <w:sz w:val="22"/>
          <w:szCs w:val="22"/>
        </w:rPr>
        <w:t xml:space="preserve">Inventario ficticio de productos (base de conocimiento y extracción de referencias).</w:t>
      </w:r>
    </w:p>
    <w:p>
      <w:pPr>
        <w:pStyle w:val="ListParagraph"/>
        <w:numPr>
          <w:ilvl w:val="0"/>
          <w:numId w:val="2"/>
        </w:numPr>
        <w:spacing w:after="80"/>
      </w:pPr>
      <w:r>
        <w:rPr>
          <w:rFonts w:ascii="Arial" w:cs="Arial" w:eastAsia="Arial" w:hAnsi="Arial"/>
          <w:color w:val="000000"/>
          <w:sz w:val="22"/>
          <w:szCs w:val="22"/>
        </w:rPr>
        <w:t xml:space="preserve">Pedidos ficticios de ejemplo (validación de la extracción de campos).</w:t>
      </w:r>
    </w:p>
    <w:p>
      <w:pPr>
        <w:pStyle w:val="ListParagraph"/>
        <w:numPr>
          <w:ilvl w:val="0"/>
          <w:numId w:val="2"/>
        </w:numPr>
        <w:spacing w:after="80"/>
      </w:pPr>
      <w:r>
        <w:rPr>
          <w:rFonts w:ascii="Arial" w:cs="Arial" w:eastAsia="Arial" w:hAnsi="Arial"/>
          <w:color w:val="000000"/>
          <w:sz w:val="22"/>
          <w:szCs w:val="22"/>
        </w:rPr>
        <w:t xml:space="preserve">Manuales, catálogos y fichas técnicas; FAQs existentes.</w:t>
      </w:r>
    </w:p>
    <w:p>
      <w:pPr>
        <w:pStyle w:val="Heading2"/>
        <w:spacing w:after="120" w:before="240"/>
      </w:pPr>
      <w:r>
        <w:rPr>
          <w:rFonts w:ascii="Arial" w:cs="Arial" w:eastAsia="Arial" w:hAnsi="Arial"/>
          <w:b/>
          <w:bCs/>
          <w:color w:val="FF6600"/>
          <w:sz w:val="28"/>
          <w:szCs w:val="28"/>
        </w:rPr>
        <w:t xml:space="preserve">Información pendiente de confirmar</w:t>
      </w:r>
    </w:p>
    <w:p>
      <w:pPr>
        <w:pStyle w:val="ListParagraph"/>
        <w:numPr>
          <w:ilvl w:val="0"/>
          <w:numId w:val="2"/>
        </w:numPr>
        <w:spacing w:after="80"/>
      </w:pPr>
      <w:r>
        <w:rPr>
          <w:rFonts w:ascii="Arial" w:cs="Arial" w:eastAsia="Arial" w:hAnsi="Arial"/>
          <w:color w:val="000000"/>
          <w:sz w:val="22"/>
          <w:szCs w:val="22"/>
        </w:rPr>
        <w:t xml:space="preserve">Canales de entrada además del teléfono (define si el agente es multicanal).</w:t>
      </w:r>
    </w:p>
    <w:p>
      <w:pPr>
        <w:pStyle w:val="ListParagraph"/>
        <w:numPr>
          <w:ilvl w:val="0"/>
          <w:numId w:val="2"/>
        </w:numPr>
        <w:spacing w:after="80"/>
      </w:pPr>
      <w:r>
        <w:rPr>
          <w:rFonts w:ascii="Arial" w:cs="Arial" w:eastAsia="Arial" w:hAnsi="Arial"/>
          <w:color w:val="000000"/>
          <w:sz w:val="22"/>
          <w:szCs w:val="22"/>
        </w:rPr>
        <w:t xml:space="preserve">Idioma o idiomas de las llamadas (precisión de ASR y NLU).</w:t>
      </w:r>
    </w:p>
    <w:p>
      <w:pPr>
        <w:pStyle w:val="ListParagraph"/>
        <w:numPr>
          <w:ilvl w:val="0"/>
          <w:numId w:val="2"/>
        </w:numPr>
        <w:spacing w:after="80"/>
      </w:pPr>
      <w:r>
        <w:rPr>
          <w:rFonts w:ascii="Arial" w:cs="Arial" w:eastAsia="Arial" w:hAnsi="Arial"/>
          <w:color w:val="000000"/>
          <w:sz w:val="22"/>
          <w:szCs w:val="22"/>
        </w:rPr>
        <w:t xml:space="preserve">Campos que componen un pedido (estructura de datos a extraer).</w:t>
      </w:r>
    </w:p>
    <w:p>
      <w:pPr>
        <w:pStyle w:val="ListParagraph"/>
        <w:numPr>
          <w:ilvl w:val="0"/>
          <w:numId w:val="2"/>
        </w:numPr>
        <w:spacing w:after="80"/>
      </w:pPr>
      <w:r>
        <w:rPr>
          <w:rFonts w:ascii="Arial" w:cs="Arial" w:eastAsia="Arial" w:hAnsi="Arial"/>
          <w:color w:val="000000"/>
          <w:sz w:val="22"/>
          <w:szCs w:val="22"/>
        </w:rPr>
        <w:t xml:space="preserve">Identificación de productos por nombre o por código (búsqueda semántica vs exacta).</w:t>
      </w:r>
    </w:p>
    <w:p>
      <w:pPr>
        <w:pStyle w:val="ListParagraph"/>
        <w:numPr>
          <w:ilvl w:val="0"/>
          <w:numId w:val="2"/>
        </w:numPr>
        <w:spacing w:after="80"/>
      </w:pPr>
      <w:r>
        <w:rPr>
          <w:rFonts w:ascii="Arial" w:cs="Arial" w:eastAsia="Arial" w:hAnsi="Arial"/>
          <w:color w:val="000000"/>
          <w:sz w:val="22"/>
          <w:szCs w:val="22"/>
        </w:rPr>
        <w:t xml:space="preserve">Mecanismo de identificación del cliente hoy (teléfono, código, NIF).</w:t>
      </w:r>
    </w:p>
    <w:p>
      <w:r>
        <w:br w:type="page"/>
      </w:r>
    </w:p>
    <w:p>
      <w:pPr>
        <w:pStyle w:val="Heading1"/>
        <w:spacing w:after="180" w:before="360"/>
      </w:pPr>
      <w:r>
        <w:rPr>
          <w:rFonts w:ascii="Arial" w:cs="Arial" w:eastAsia="Arial" w:hAnsi="Arial"/>
          <w:b/>
          <w:bCs/>
          <w:color w:val="FF6600"/>
          <w:sz w:val="36"/>
          <w:szCs w:val="36"/>
        </w:rPr>
        <w:t xml:space="preserve">13. Riesgos y mitigación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838"/>
      </w:tblGrid>
      <w:tr>
        <w:trPr>
          <w:tblHeader/>
        </w:trPr>
        <w:tc>
          <w:tcPr>
            <w:tcW w:type="dxa" w:w="34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Riesgo</w:t>
            </w:r>
          </w:p>
        </w:tc>
        <w:tc>
          <w:tcPr>
            <w:tcW w:type="dxa" w:w="14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Impacto</w:t>
            </w:r>
          </w:p>
        </w:tc>
        <w:tc>
          <w:tcPr>
            <w:tcW w:type="dxa" w:w="4838"/>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Mitigación</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Integración del audio CXone ↔ Cloudflare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Medio</w:t>
            </w:r>
          </w:p>
        </w:tc>
        <w:tc>
          <w:tcPr>
            <w:tcW w:type="dxa" w:w="48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PoC de integración como primer hito de la Fase 1; validar formato de streaming y latencia.</w:t>
            </w:r>
          </w:p>
        </w:tc>
      </w:tr>
      <w:tr>
        <w:tc>
          <w:tcPr>
            <w:tcW w:type="dxa" w:w="3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Integración con ERP/OMS (crítica en F3)</w:t>
            </w:r>
          </w:p>
        </w:tc>
        <w:tc>
          <w:tcPr>
            <w:tcW w:type="dxa" w:w="1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Medio</w:t>
            </w:r>
          </w:p>
        </w:tc>
        <w:tc>
          <w:tcPr>
            <w:tcW w:type="dxa" w:w="48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Cloudflare Tunnel (on-premise) o Hyperdrive (BBDD); definir tecnología del ERP en F1.</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Registro en AI Agents Registry corporativo</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Bajo</w:t>
            </w:r>
          </w:p>
        </w:tc>
        <w:tc>
          <w:tcPr>
            <w:tcW w:type="dxa" w:w="48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Exposición del agente vía MCP e integración con STG AI Platform.</w:t>
            </w:r>
          </w:p>
        </w:tc>
      </w:tr>
      <w:tr>
        <w:tc>
          <w:tcPr>
            <w:tcW w:type="dxa" w:w="3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Residencia de datos y RGPD</w:t>
            </w:r>
          </w:p>
        </w:tc>
        <w:tc>
          <w:tcPr>
            <w:tcW w:type="dxa" w:w="1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Medio</w:t>
            </w:r>
          </w:p>
        </w:tc>
        <w:tc>
          <w:tcPr>
            <w:tcW w:type="dxa" w:w="48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Data Localization Suite (UE) y política de retención/seudonimización definida en F1.</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Naturalidad y latencia de voz</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Bajo</w:t>
            </w:r>
          </w:p>
        </w:tc>
        <w:tc>
          <w:tcPr>
            <w:tcW w:type="dxa" w:w="48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Modelos en streaming y detección de turno; elección de TTS validada en el POC.</w:t>
            </w:r>
          </w:p>
        </w:tc>
      </w:tr>
      <w:tr>
        <w:tc>
          <w:tcPr>
            <w:tcW w:type="dxa" w:w="3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Datos pendientes del cliente</w:t>
            </w:r>
          </w:p>
        </w:tc>
        <w:tc>
          <w:tcPr>
            <w:tcW w:type="dxa" w:w="14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Bajo</w:t>
            </w:r>
          </w:p>
        </w:tc>
        <w:tc>
          <w:tcPr>
            <w:tcW w:type="dxa" w:w="48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Cuestionario y materiales ficticios solicitados al inicio de la Fase 1.</w:t>
            </w:r>
          </w:p>
        </w:tc>
      </w:tr>
    </w:tbl>
    <w:p>
      <w:r>
        <w:br w:type="page"/>
      </w:r>
    </w:p>
    <w:p>
      <w:pPr>
        <w:pStyle w:val="Heading1"/>
        <w:spacing w:after="180" w:before="360"/>
      </w:pPr>
      <w:r>
        <w:rPr>
          <w:rFonts w:ascii="Arial" w:cs="Arial" w:eastAsia="Arial" w:hAnsi="Arial"/>
          <w:b/>
          <w:bCs/>
          <w:color w:val="FF6600"/>
          <w:sz w:val="36"/>
          <w:szCs w:val="36"/>
        </w:rPr>
        <w:t xml:space="preserve">14. Soporte, equipo y certificaciones</w:t>
      </w:r>
    </w:p>
    <w:p>
      <w:pPr>
        <w:spacing w:after="120"/>
        <w:jc w:val="both"/>
      </w:pPr>
      <w:r>
        <w:rPr>
          <w:rFonts w:ascii="Arial" w:cs="Arial" w:eastAsia="Arial" w:hAnsi="Arial"/>
          <w:color w:val="000000"/>
          <w:sz w:val="22"/>
          <w:szCs w:val="22"/>
        </w:rPr>
        <w:t xml:space="preserve">Cloudflare ofrece dos niveles de soporte para clientes Enterprise; se recomienda Premium Success para un servicio en producción con SLA estrictos.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3300"/>
        <w:gridCol w:w="3300"/>
      </w:tblGrid>
      <w:tr>
        <w:trPr>
          <w:tblHeader/>
        </w:trPr>
        <w:tc>
          <w:tcPr>
            <w:tcW w:type="dxa" w:w="3038"/>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Característica</w:t>
            </w:r>
          </w:p>
        </w:tc>
        <w:tc>
          <w:tcPr>
            <w:tcW w:type="dxa" w:w="33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Standard (Enterprise)</w:t>
            </w:r>
          </w:p>
        </w:tc>
        <w:tc>
          <w:tcPr>
            <w:tcW w:type="dxa" w:w="33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Premium Success</w:t>
            </w:r>
          </w:p>
        </w:tc>
      </w:tr>
      <w:tr>
        <w:tc>
          <w:tcPr>
            <w:tcW w:type="dxa" w:w="3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SLA de respuesta P1 (crítico)</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Inferior a 1 hora</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Inferior a 15 minutos</w:t>
            </w:r>
          </w:p>
        </w:tc>
      </w:tr>
      <w:tr>
        <w:tc>
          <w:tcPr>
            <w:tcW w:type="dxa" w:w="30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Customer Success Manager</w:t>
            </w:r>
          </w:p>
        </w:tc>
        <w:tc>
          <w:tcPr>
            <w:tcW w:type="dxa" w:w="33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Compartido</w:t>
            </w:r>
          </w:p>
        </w:tc>
        <w:tc>
          <w:tcPr>
            <w:tcW w:type="dxa" w:w="3300"/>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Dedicado y nominado</w:t>
            </w:r>
          </w:p>
        </w:tc>
      </w:tr>
      <w:tr>
        <w:tc>
          <w:tcPr>
            <w:tcW w:type="dxa" w:w="3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Revisiones de arquitectura</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Bajo demanda</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Proactivas y periódicas</w:t>
            </w:r>
          </w:p>
        </w:tc>
      </w:tr>
    </w:tbl>
    <w:p>
      <w:pPr>
        <w:spacing w:after="120"/>
        <w:jc w:val="both"/>
      </w:pPr>
      <w:r>
        <w:rPr>
          <w:rFonts w:ascii="Arial" w:cs="Arial" w:eastAsia="Arial" w:hAnsi="Arial"/>
          <w:color w:val="000000"/>
          <w:sz w:val="22"/>
          <w:szCs w:val="22"/>
        </w:rPr>
        <w:t xml:space="preserve">El equipo combina la dirección técnica de la capa agéntica y RAG de A2R, el conocimiento de negocio e integración de Base10, y el acompañamiento de arquitectura y plataforma de Cloudflare. Las cifras económicas de los servicios profesionales de A2R figuran en su propuesta (Fase 1 a precio cerrado de 20.000 €; Fases 2 y 3 como rango).</w:t>
      </w:r>
    </w:p>
    <w:p>
      <w:r>
        <w:br w:type="page"/>
      </w:r>
    </w:p>
    <w:p>
      <w:pPr>
        <w:pStyle w:val="Heading1"/>
        <w:spacing w:after="180" w:before="360"/>
      </w:pPr>
      <w:r>
        <w:rPr>
          <w:rFonts w:ascii="Arial" w:cs="Arial" w:eastAsia="Arial" w:hAnsi="Arial"/>
          <w:b/>
          <w:bCs/>
          <w:color w:val="FF6600"/>
          <w:sz w:val="36"/>
          <w:szCs w:val="36"/>
        </w:rPr>
        <w:t xml:space="preserve">15. Escenario económico consolidado</w:t>
      </w:r>
    </w:p>
    <w:p>
      <w:pPr>
        <w:spacing w:after="120"/>
        <w:jc w:val="both"/>
      </w:pPr>
      <w:r>
        <w:rPr>
          <w:rFonts w:ascii="Arial" w:cs="Arial" w:eastAsia="Arial" w:hAnsi="Arial"/>
          <w:color w:val="000000"/>
          <w:sz w:val="22"/>
          <w:szCs w:val="22"/>
        </w:rPr>
        <w:t xml:space="preserve">Este escenario consolida la inversión del proyecto a tres años, combinando los servicios profesionales por fases (A2R) con el consumo recurrente de la plataforma Cloudflare en explotación. Cloudflare es un servicio en la nube de pago por uso, por lo que su coste es 100 % OPEX, sin inversión inicial (CAPEX) en hardware ni licencias perpetuas.</w:t>
      </w:r>
    </w:p>
    <w:p>
      <w:pPr>
        <w:pStyle w:val="Heading2"/>
        <w:spacing w:after="120" w:before="240"/>
      </w:pPr>
      <w:r>
        <w:rPr>
          <w:rFonts w:ascii="Arial" w:cs="Arial" w:eastAsia="Arial" w:hAnsi="Arial"/>
          <w:b/>
          <w:bCs/>
          <w:color w:val="FF6600"/>
          <w:sz w:val="28"/>
          <w:szCs w:val="28"/>
        </w:rPr>
        <w:t xml:space="preserve">Hipótesis del escenario</w:t>
      </w:r>
    </w:p>
    <w:p>
      <w:pPr>
        <w:pStyle w:val="ListParagraph"/>
        <w:numPr>
          <w:ilvl w:val="0"/>
          <w:numId w:val="2"/>
        </w:numPr>
        <w:spacing w:after="80"/>
      </w:pPr>
      <w:r>
        <w:rPr>
          <w:rFonts w:ascii="Arial" w:cs="Arial" w:eastAsia="Arial" w:hAnsi="Arial"/>
          <w:color w:val="000000"/>
          <w:sz w:val="22"/>
          <w:szCs w:val="22"/>
        </w:rPr>
        <w:t xml:space="preserve">Volumen objetivo en explotación: 50.000 llamadas/mes (escenario intermedio de la sección 10).</w:t>
      </w:r>
    </w:p>
    <w:p>
      <w:pPr>
        <w:pStyle w:val="ListParagraph"/>
        <w:numPr>
          <w:ilvl w:val="0"/>
          <w:numId w:val="2"/>
        </w:numPr>
        <w:spacing w:after="80"/>
      </w:pPr>
      <w:r>
        <w:rPr>
          <w:rFonts w:ascii="Arial" w:cs="Arial" w:eastAsia="Arial" w:hAnsi="Arial"/>
          <w:color w:val="000000"/>
          <w:sz w:val="22"/>
          <w:szCs w:val="22"/>
        </w:rPr>
        <w:t xml:space="preserve">Coste variable de IA y voz: aproximadamente 0,075 € por llamada de unos 3 minutos.</w:t>
      </w:r>
    </w:p>
    <w:p>
      <w:pPr>
        <w:pStyle w:val="ListParagraph"/>
        <w:numPr>
          <w:ilvl w:val="0"/>
          <w:numId w:val="2"/>
        </w:numPr>
        <w:spacing w:after="80"/>
      </w:pPr>
      <w:r>
        <w:rPr>
          <w:rFonts w:ascii="Arial" w:cs="Arial" w:eastAsia="Arial" w:hAnsi="Arial"/>
          <w:color w:val="000000"/>
          <w:sz w:val="22"/>
          <w:szCs w:val="22"/>
        </w:rPr>
        <w:t xml:space="preserve">Año 1: arranque parcial (las fases F1-F3 se ejecutan a lo largo del periodo; producción plena hacia el final). Se estima medio año de explotación a pleno volumen.</w:t>
      </w:r>
    </w:p>
    <w:p>
      <w:pPr>
        <w:pStyle w:val="ListParagraph"/>
        <w:numPr>
          <w:ilvl w:val="0"/>
          <w:numId w:val="2"/>
        </w:numPr>
        <w:spacing w:after="80"/>
      </w:pPr>
      <w:r>
        <w:rPr>
          <w:rFonts w:ascii="Arial" w:cs="Arial" w:eastAsia="Arial" w:hAnsi="Arial"/>
          <w:color w:val="000000"/>
          <w:sz w:val="22"/>
          <w:szCs w:val="22"/>
        </w:rPr>
        <w:t xml:space="preserve">Servicios profesionales A2R: Fase 1 a precio cerrado (20.000 €); Fases 2 y 3 valoradas en el punto medio de su rango (25.000 € y 28.000 €).</w:t>
      </w:r>
    </w:p>
    <w:p>
      <w:pPr>
        <w:pStyle w:val="ListParagraph"/>
        <w:numPr>
          <w:ilvl w:val="0"/>
          <w:numId w:val="2"/>
        </w:numPr>
        <w:spacing w:after="80"/>
      </w:pPr>
      <w:r>
        <w:rPr>
          <w:rFonts w:ascii="Arial" w:cs="Arial" w:eastAsia="Arial" w:hAnsi="Arial"/>
          <w:color w:val="000000"/>
          <w:sz w:val="22"/>
          <w:szCs w:val="22"/>
        </w:rPr>
        <w:t xml:space="preserve">El contrato Cloudflare Enterprise con sus complementos (Data Localization Suite, WAF, Access) y el soporte Premium se cotizan aparte; figuran como a confirmar.</w:t>
      </w:r>
    </w:p>
    <w:p>
      <w:pPr>
        <w:pStyle w:val="ListParagraph"/>
        <w:numPr>
          <w:ilvl w:val="0"/>
          <w:numId w:val="2"/>
        </w:numPr>
        <w:spacing w:after="80"/>
      </w:pPr>
      <w:r>
        <w:rPr>
          <w:rFonts w:ascii="Arial" w:cs="Arial" w:eastAsia="Arial" w:hAnsi="Arial"/>
          <w:color w:val="000000"/>
          <w:sz w:val="22"/>
          <w:szCs w:val="22"/>
        </w:rPr>
        <w:t xml:space="preserve">No se incluye la licencia de NICE CXOne ni la conectividad PSTN.</w:t>
      </w:r>
    </w:p>
    <w:p>
      <w:pPr>
        <w:pStyle w:val="ListParagraph"/>
        <w:numPr>
          <w:ilvl w:val="0"/>
          <w:numId w:val="2"/>
        </w:numPr>
        <w:spacing w:after="80"/>
      </w:pPr>
      <w:r>
        <w:rPr>
          <w:rFonts w:ascii="Arial" w:cs="Arial" w:eastAsia="Arial" w:hAnsi="Arial"/>
          <w:color w:val="000000"/>
          <w:sz w:val="22"/>
          <w:szCs w:val="22"/>
        </w:rPr>
        <w:t xml:space="preserve">Importes netos, IVA al margen. Tipo de cambio aproximado 1 USD = 0,93 EUR.</w:t>
      </w:r>
    </w:p>
    <w:p>
      <w:pPr>
        <w:pStyle w:val="Heading2"/>
        <w:spacing w:after="120" w:before="240"/>
      </w:pPr>
      <w:r>
        <w:rPr>
          <w:rFonts w:ascii="Arial" w:cs="Arial" w:eastAsia="Arial" w:hAnsi="Arial"/>
          <w:b/>
          <w:bCs/>
          <w:color w:val="FF6600"/>
          <w:sz w:val="28"/>
          <w:szCs w:val="28"/>
        </w:rPr>
        <w:t xml:space="preserve">Inversión consolidada a 3 años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1100"/>
        <w:gridCol w:w="1500"/>
        <w:gridCol w:w="1300"/>
        <w:gridCol w:w="1300"/>
        <w:gridCol w:w="1400"/>
      </w:tblGrid>
      <w:tr>
        <w:trPr>
          <w:tblHeader/>
        </w:trPr>
        <w:tc>
          <w:tcPr>
            <w:tcW w:type="dxa" w:w="3038"/>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Concepto</w:t>
            </w:r>
          </w:p>
        </w:tc>
        <w:tc>
          <w:tcPr>
            <w:tcW w:type="dxa" w:w="11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CAPEX</w:t>
            </w:r>
          </w:p>
        </w:tc>
        <w:tc>
          <w:tcPr>
            <w:tcW w:type="dxa" w:w="15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OPEX One Shot</w:t>
            </w:r>
          </w:p>
        </w:tc>
        <w:tc>
          <w:tcPr>
            <w:tcW w:type="dxa" w:w="13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OPEX Año 1</w:t>
            </w:r>
          </w:p>
        </w:tc>
        <w:tc>
          <w:tcPr>
            <w:tcW w:type="dxa" w:w="13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OPEX Año 2</w:t>
            </w:r>
          </w:p>
        </w:tc>
        <w:tc>
          <w:tcPr>
            <w:tcW w:type="dxa" w:w="1400"/>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OPEX Año 3</w:t>
            </w:r>
          </w:p>
        </w:tc>
      </w:tr>
      <w:tr>
        <w:tc>
          <w:tcPr>
            <w:tcW w:type="dxa" w:w="96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Servicios profesionales del proyecto (A2R) — pago único por fase</w:t>
            </w:r>
          </w:p>
        </w:tc>
      </w:tr>
      <w:tr>
        <w:tc>
          <w:tcPr>
            <w:tcW w:type="dxa" w:w="3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F1 · Evaluación tecnológica + POC</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0 €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20.000 €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w:t>
            </w:r>
          </w:p>
        </w:tc>
      </w:tr>
      <w:tr>
        <w:tc>
          <w:tcPr>
            <w:tcW w:type="dxa" w:w="3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F2 · MVP asistido (punto medio del rango)</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0 €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25.000 €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w:t>
            </w:r>
          </w:p>
        </w:tc>
      </w:tr>
      <w:tr>
        <w:tc>
          <w:tcPr>
            <w:tcW w:type="dxa" w:w="3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F3 · Automatización (punto medio del rango)</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0 €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28.000 €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w:t>
            </w:r>
          </w:p>
        </w:tc>
      </w:tr>
      <w:tr>
        <w:tc>
          <w:tcPr>
            <w:tcW w:type="dxa" w:w="3038"/>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Subtotal servicios profesionales</w:t>
            </w:r>
          </w:p>
        </w:tc>
        <w:tc>
          <w:tcPr>
            <w:tcW w:type="dxa" w:w="1100"/>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right"/>
            </w:pPr>
            <w:r>
              <w:rPr>
                <w:rFonts w:ascii="Arial" w:cs="Arial" w:eastAsia="Arial" w:hAnsi="Arial"/>
                <w:b/>
                <w:bCs/>
                <w:color w:val="000000"/>
                <w:sz w:val="20"/>
                <w:szCs w:val="20"/>
              </w:rPr>
              <w:t xml:space="preserve">0 €</w:t>
            </w:r>
          </w:p>
        </w:tc>
        <w:tc>
          <w:tcPr>
            <w:tcW w:type="dxa" w:w="1500"/>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right"/>
            </w:pPr>
            <w:r>
              <w:rPr>
                <w:rFonts w:ascii="Arial" w:cs="Arial" w:eastAsia="Arial" w:hAnsi="Arial"/>
                <w:b/>
                <w:bCs/>
                <w:color w:val="000000"/>
                <w:sz w:val="20"/>
                <w:szCs w:val="20"/>
              </w:rPr>
              <w:t xml:space="preserve">73.000 €</w:t>
            </w:r>
          </w:p>
        </w:tc>
        <w:tc>
          <w:tcPr>
            <w:tcW w:type="dxa" w:w="1300"/>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right"/>
            </w:pPr>
            <w:r>
              <w:rPr>
                <w:rFonts w:ascii="Arial" w:cs="Arial" w:eastAsia="Arial" w:hAnsi="Arial"/>
                <w:b/>
                <w:bCs/>
                <w:color w:val="000000"/>
                <w:sz w:val="20"/>
                <w:szCs w:val="20"/>
              </w:rPr>
              <w:t xml:space="preserve">—</w:t>
            </w:r>
          </w:p>
        </w:tc>
        <w:tc>
          <w:tcPr>
            <w:tcW w:type="dxa" w:w="1300"/>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right"/>
            </w:pPr>
            <w:r>
              <w:rPr>
                <w:rFonts w:ascii="Arial" w:cs="Arial" w:eastAsia="Arial" w:hAnsi="Arial"/>
                <w:b/>
                <w:bCs/>
                <w:color w:val="000000"/>
                <w:sz w:val="20"/>
                <w:szCs w:val="20"/>
              </w:rPr>
              <w:t xml:space="preserve">—</w:t>
            </w:r>
          </w:p>
        </w:tc>
        <w:tc>
          <w:tcPr>
            <w:tcW w:type="dxa" w:w="1400"/>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right"/>
            </w:pPr>
            <w:r>
              <w:rPr>
                <w:rFonts w:ascii="Arial" w:cs="Arial" w:eastAsia="Arial" w:hAnsi="Arial"/>
                <w:b/>
                <w:bCs/>
                <w:color w:val="000000"/>
                <w:sz w:val="20"/>
                <w:szCs w:val="20"/>
              </w:rPr>
              <w:t xml:space="preserve">—</w:t>
            </w:r>
          </w:p>
        </w:tc>
      </w:tr>
      <w:tr>
        <w:tc>
          <w:tcPr>
            <w:tcW w:type="dxa" w:w="96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Plataforma Cloudflare — consumo recurrente (OPEX) a 50.000 llamadas/mes</w:t>
            </w:r>
          </w:p>
        </w:tc>
      </w:tr>
      <w:tr>
        <w:tc>
          <w:tcPr>
            <w:tcW w:type="dxa" w:w="3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Consumo IA y voz (Workers AI, etc.)</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0 €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22.500 €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45.000 €</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45.000 €</w:t>
            </w:r>
          </w:p>
        </w:tc>
      </w:tr>
      <w:tr>
        <w:tc>
          <w:tcPr>
            <w:tcW w:type="dxa" w:w="3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Plataforma base (Workers, Vectorize, D1, R2, Queues)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0 €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600 €</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1.200 €</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1.200 €</w:t>
            </w:r>
          </w:p>
        </w:tc>
      </w:tr>
      <w:tr>
        <w:tc>
          <w:tcPr>
            <w:tcW w:type="dxa" w:w="30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Cloudflare Enterprise + DLS + WAF + Access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0 €</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a confirmar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a confirmar</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20"/>
                <w:szCs w:val="20"/>
              </w:rPr>
              <w:t xml:space="preserve">a confirmar</w:t>
            </w:r>
          </w:p>
        </w:tc>
      </w:tr>
      <w:tr>
        <w:tc>
          <w:tcPr>
            <w:tcW w:type="dxa" w:w="3038"/>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Subtotal plataforma Cloudflare</w:t>
            </w:r>
          </w:p>
        </w:tc>
        <w:tc>
          <w:tcPr>
            <w:tcW w:type="dxa" w:w="1100"/>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right"/>
            </w:pPr>
            <w:r>
              <w:rPr>
                <w:rFonts w:ascii="Arial" w:cs="Arial" w:eastAsia="Arial" w:hAnsi="Arial"/>
                <w:b/>
                <w:bCs/>
                <w:color w:val="000000"/>
                <w:sz w:val="20"/>
                <w:szCs w:val="20"/>
              </w:rPr>
              <w:t xml:space="preserve">0 €</w:t>
            </w:r>
          </w:p>
        </w:tc>
        <w:tc>
          <w:tcPr>
            <w:tcW w:type="dxa" w:w="1500"/>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right"/>
            </w:pPr>
            <w:r>
              <w:rPr>
                <w:rFonts w:ascii="Arial" w:cs="Arial" w:eastAsia="Arial" w:hAnsi="Arial"/>
                <w:b/>
                <w:bCs/>
                <w:color w:val="000000"/>
                <w:sz w:val="20"/>
                <w:szCs w:val="20"/>
              </w:rPr>
              <w:t xml:space="preserve">—</w:t>
            </w:r>
          </w:p>
        </w:tc>
        <w:tc>
          <w:tcPr>
            <w:tcW w:type="dxa" w:w="1300"/>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right"/>
            </w:pPr>
            <w:r>
              <w:rPr>
                <w:rFonts w:ascii="Arial" w:cs="Arial" w:eastAsia="Arial" w:hAnsi="Arial"/>
                <w:b/>
                <w:bCs/>
                <w:color w:val="000000"/>
                <w:sz w:val="20"/>
                <w:szCs w:val="20"/>
              </w:rPr>
              <w:t xml:space="preserve">23.100 €</w:t>
            </w:r>
          </w:p>
        </w:tc>
        <w:tc>
          <w:tcPr>
            <w:tcW w:type="dxa" w:w="1300"/>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right"/>
            </w:pPr>
            <w:r>
              <w:rPr>
                <w:rFonts w:ascii="Arial" w:cs="Arial" w:eastAsia="Arial" w:hAnsi="Arial"/>
                <w:b/>
                <w:bCs/>
                <w:color w:val="000000"/>
                <w:sz w:val="20"/>
                <w:szCs w:val="20"/>
              </w:rPr>
              <w:t xml:space="preserve">46.200 €</w:t>
            </w:r>
          </w:p>
        </w:tc>
        <w:tc>
          <w:tcPr>
            <w:tcW w:type="dxa" w:w="1400"/>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right"/>
            </w:pPr>
            <w:r>
              <w:rPr>
                <w:rFonts w:ascii="Arial" w:cs="Arial" w:eastAsia="Arial" w:hAnsi="Arial"/>
                <w:b/>
                <w:bCs/>
                <w:color w:val="000000"/>
                <w:sz w:val="20"/>
                <w:szCs w:val="20"/>
              </w:rPr>
              <w:t xml:space="preserve">46.200 €</w:t>
            </w:r>
          </w:p>
        </w:tc>
      </w:tr>
      <w:tr>
        <w:tc>
          <w:tcPr>
            <w:tcW w:type="dxa" w:w="9638"/>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Total escenario consolidado</w:t>
            </w:r>
          </w:p>
        </w:tc>
      </w:tr>
      <w:tr>
        <w:tc>
          <w:tcPr>
            <w:tcW w:type="dxa" w:w="3038"/>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Total por periodo</w:t>
            </w:r>
          </w:p>
        </w:tc>
        <w:tc>
          <w:tcPr>
            <w:tcW w:type="dxa" w:w="1100"/>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right"/>
            </w:pPr>
            <w:r>
              <w:rPr>
                <w:rFonts w:ascii="Arial" w:cs="Arial" w:eastAsia="Arial" w:hAnsi="Arial"/>
                <w:b/>
                <w:bCs/>
                <w:color w:val="000000"/>
                <w:sz w:val="20"/>
                <w:szCs w:val="20"/>
              </w:rPr>
              <w:t xml:space="preserve">0 €</w:t>
            </w:r>
          </w:p>
        </w:tc>
        <w:tc>
          <w:tcPr>
            <w:tcW w:type="dxa" w:w="1500"/>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right"/>
            </w:pPr>
            <w:r>
              <w:rPr>
                <w:rFonts w:ascii="Arial" w:cs="Arial" w:eastAsia="Arial" w:hAnsi="Arial"/>
                <w:b/>
                <w:bCs/>
                <w:color w:val="000000"/>
                <w:sz w:val="20"/>
                <w:szCs w:val="20"/>
              </w:rPr>
              <w:t xml:space="preserve">73.000 €</w:t>
            </w:r>
          </w:p>
        </w:tc>
        <w:tc>
          <w:tcPr>
            <w:tcW w:type="dxa" w:w="1300"/>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right"/>
            </w:pPr>
            <w:r>
              <w:rPr>
                <w:rFonts w:ascii="Arial" w:cs="Arial" w:eastAsia="Arial" w:hAnsi="Arial"/>
                <w:b/>
                <w:bCs/>
                <w:color w:val="000000"/>
                <w:sz w:val="20"/>
                <w:szCs w:val="20"/>
              </w:rPr>
              <w:t xml:space="preserve">23.100 €</w:t>
            </w:r>
          </w:p>
        </w:tc>
        <w:tc>
          <w:tcPr>
            <w:tcW w:type="dxa" w:w="1300"/>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right"/>
            </w:pPr>
            <w:r>
              <w:rPr>
                <w:rFonts w:ascii="Arial" w:cs="Arial" w:eastAsia="Arial" w:hAnsi="Arial"/>
                <w:b/>
                <w:bCs/>
                <w:color w:val="000000"/>
                <w:sz w:val="20"/>
                <w:szCs w:val="20"/>
              </w:rPr>
              <w:t xml:space="preserve">46.200 €</w:t>
            </w:r>
          </w:p>
        </w:tc>
        <w:tc>
          <w:tcPr>
            <w:tcW w:type="dxa" w:w="1400"/>
            <w:tcBorders>
              <w:top w:val="single" w:color="BFBFBF" w:sz="4"/>
              <w:left w:val="single" w:color="BFBFBF" w:sz="4"/>
              <w:bottom w:val="single" w:color="BFBFBF" w:sz="4"/>
              <w:right w:val="single" w:color="BFBFBF" w:sz="4"/>
            </w:tcBorders>
            <w:shd w:fill="FFEFD5" w:val="clear"/>
            <w:tcMar>
              <w:top w:type="dxa" w:w="100"/>
              <w:left w:type="dxa" w:w="140"/>
              <w:bottom w:type="dxa" w:w="100"/>
              <w:right w:type="dxa" w:w="140"/>
            </w:tcMar>
            <w:vAlign w:val="center"/>
          </w:tcPr>
          <w:p>
            <w:pPr>
              <w:jc w:val="right"/>
            </w:pPr>
            <w:r>
              <w:rPr>
                <w:rFonts w:ascii="Arial" w:cs="Arial" w:eastAsia="Arial" w:hAnsi="Arial"/>
                <w:b/>
                <w:bCs/>
                <w:color w:val="000000"/>
                <w:sz w:val="20"/>
                <w:szCs w:val="20"/>
              </w:rPr>
              <w:t xml:space="preserve">46.200 €</w:t>
            </w:r>
          </w:p>
        </w:tc>
      </w:tr>
    </w:tbl>
    <w:p>
      <w:pPr>
        <w:spacing w:after="120"/>
        <w:jc w:val="both"/>
      </w:pPr>
      <w:r>
        <w:rPr>
          <w:rFonts w:ascii="Arial" w:cs="Arial" w:eastAsia="Arial" w:hAnsi="Arial"/>
          <w:color w:val="000000"/>
          <w:sz w:val="22"/>
          <w:szCs w:val="22"/>
        </w:rPr>
        <w:t xml:space="preserve">Coste total de propiedad (TCO) a 3 años: aproximadamente 188.500 € (73.000 € de servicios profesionales de proyecto, pago único, más 115.500 € de consumo de plataforma en tres años), pendiente de añadir el contrato Cloudflare Enterprise y el soporte, que se cotizan según alcance.</w:t>
      </w:r>
    </w:p>
    <w:p>
      <w:pPr>
        <w:pStyle w:val="Heading2"/>
        <w:spacing w:after="120" w:before="240"/>
      </w:pPr>
      <w:r>
        <w:rPr>
          <w:rFonts w:ascii="Arial" w:cs="Arial" w:eastAsia="Arial" w:hAnsi="Arial"/>
          <w:b/>
          <w:bCs/>
          <w:color w:val="FF6600"/>
          <w:sz w:val="28"/>
          <w:szCs w:val="28"/>
        </w:rPr>
        <w:t xml:space="preserve">Sensibilidad del consumo anual según volumen</w:t>
      </w:r>
    </w:p>
    <w:p>
      <w:pPr>
        <w:spacing w:after="120"/>
        <w:jc w:val="both"/>
      </w:pPr>
      <w:r>
        <w:rPr>
          <w:rFonts w:ascii="Arial" w:cs="Arial" w:eastAsia="Arial" w:hAnsi="Arial"/>
          <w:color w:val="000000"/>
          <w:sz w:val="22"/>
          <w:szCs w:val="22"/>
        </w:rPr>
        <w:t xml:space="preserve">El consumo de plataforma escala de forma prácticamente lineal con el número de llamadas, al ser un modelo de pago por uso. La tabla muestra el coste anual de IA y voz en explotación a pleno volumen.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rPr>
          <w:tblHeader/>
        </w:trPr>
        <w:tc>
          <w:tcPr>
            <w:tcW w:type="dxa" w:w="3213"/>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Volumen mensual</w:t>
            </w:r>
          </w:p>
        </w:tc>
        <w:tc>
          <w:tcPr>
            <w:tcW w:type="dxa" w:w="3213"/>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Coste anual IA/voz (aprox.)</w:t>
            </w:r>
          </w:p>
        </w:tc>
        <w:tc>
          <w:tcPr>
            <w:tcW w:type="dxa" w:w="3212"/>
            <w:tcBorders>
              <w:top w:val="single" w:color="BFBFBF" w:sz="4"/>
              <w:left w:val="single" w:color="BFBFBF" w:sz="4"/>
              <w:bottom w:val="single" w:color="BFBFBF" w:sz="4"/>
              <w:right w:val="single" w:color="BFBFBF" w:sz="4"/>
            </w:tcBorders>
            <w:shd w:fill="FF660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Coste por llamada</w:t>
            </w:r>
          </w:p>
        </w:tc>
      </w:tr>
      <w:tr>
        <w:tc>
          <w:tcPr>
            <w:tcW w:type="dxa" w:w="32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10.000 llamadas</w:t>
            </w:r>
          </w:p>
        </w:tc>
        <w:tc>
          <w:tcPr>
            <w:tcW w:type="dxa" w:w="32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~8.900 €</w:t>
            </w:r>
          </w:p>
        </w:tc>
        <w:tc>
          <w:tcPr>
            <w:tcW w:type="dxa" w:w="321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~0,075 €</w:t>
            </w:r>
          </w:p>
        </w:tc>
      </w:tr>
      <w:tr>
        <w:tc>
          <w:tcPr>
            <w:tcW w:type="dxa" w:w="3213"/>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50.000 llamadas</w:t>
            </w:r>
          </w:p>
        </w:tc>
        <w:tc>
          <w:tcPr>
            <w:tcW w:type="dxa" w:w="3213"/>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~45.000 €</w:t>
            </w:r>
          </w:p>
        </w:tc>
        <w:tc>
          <w:tcPr>
            <w:tcW w:type="dxa" w:w="3212"/>
            <w:tcBorders>
              <w:top w:val="single" w:color="BFBFBF" w:sz="4"/>
              <w:left w:val="single" w:color="BFBFBF" w:sz="4"/>
              <w:bottom w:val="single" w:color="BFBFBF" w:sz="4"/>
              <w:right w:val="single" w:color="BFBFBF" w:sz="4"/>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~0,075 €</w:t>
            </w:r>
          </w:p>
        </w:tc>
      </w:tr>
      <w:tr>
        <w:tc>
          <w:tcPr>
            <w:tcW w:type="dxa" w:w="32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100.000 llamadas</w:t>
            </w:r>
          </w:p>
        </w:tc>
        <w:tc>
          <w:tcPr>
            <w:tcW w:type="dxa" w:w="32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~90.000 €</w:t>
            </w:r>
          </w:p>
        </w:tc>
        <w:tc>
          <w:tcPr>
            <w:tcW w:type="dxa" w:w="3212"/>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Arial" w:cs="Arial" w:eastAsia="Arial" w:hAnsi="Arial"/>
                <w:b w:val="false"/>
                <w:bCs w:val="false"/>
                <w:color w:val="000000"/>
                <w:sz w:val="20"/>
                <w:szCs w:val="20"/>
              </w:rPr>
              <w:t xml:space="preserve">~0,075 €</w:t>
            </w:r>
          </w:p>
        </w:tc>
      </w:tr>
    </w:tbl>
    <w:p>
      <w:pPr>
        <w:spacing w:after="120"/>
        <w:jc w:val="both"/>
      </w:pPr>
      <w:r>
        <w:rPr>
          <w:rFonts w:ascii="Arial" w:cs="Arial" w:eastAsia="Arial" w:hAnsi="Arial"/>
          <w:color w:val="000000"/>
          <w:sz w:val="22"/>
          <w:szCs w:val="22"/>
        </w:rPr>
        <w:t xml:space="preserve">Optimización disponible: sustituir la voz premium (Aura-2-es) por una alternativa de menor coste (melotts) reduce el coste por llamada en torno a un 50 %, a validar frente a la calidad percibida en el POC de la Fase 1.</w:t>
      </w:r>
    </w:p>
    <w:p>
      <w:r>
        <w:br w:type="pag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000000"/>
        <w:sz w:val="16"/>
        <w:szCs w:val="16"/>
      </w:rPr>
      <w:t xml:space="preserve">Confidencial — Uso interno</w:t>
    </w:r>
    <w:r>
      <w:rPr>
        <w:rFonts w:ascii="Arial" w:cs="Arial" w:eastAsia="Arial" w:hAnsi="Arial"/>
        <w:color w:val="000000"/>
        <w:sz w:val="16"/>
        <w:szCs w:val="16"/>
      </w:rPr>
      <w:t xml:space="preserve">	Página </w:t>
    </w:r>
    <w:r>
      <w:rPr>
        <w:rFonts w:ascii="Arial" w:cs="Arial" w:eastAsia="Arial" w:hAnsi="Arial"/>
        <w:color w:val="000000"/>
        <w:sz w:val="16"/>
        <w:szCs w:val="16"/>
      </w:rPr>
      <w:fldChar w:fldCharType="begin"/>
      <w:instrText xml:space="preserve">PAGE</w:instrText>
      <w:fldChar w:fldCharType="separate"/>
      <w:fldChar w:fldCharType="end"/>
    </w:r>
    <w:r>
      <w:rPr>
        <w:rFonts w:ascii="Arial" w:cs="Arial" w:eastAsia="Arial" w:hAnsi="Arial"/>
        <w:color w:val="000000"/>
        <w:sz w:val="16"/>
        <w:szCs w:val="16"/>
      </w:rPr>
      <w:t xml:space="preserve"> de </w:t>
    </w:r>
    <w:r>
      <w:rPr>
        <w:rFonts w:ascii="Arial" w:cs="Arial" w:eastAsia="Arial" w:hAnsi="Arial"/>
        <w:color w:val="0000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rFonts w:ascii="Arial" w:cs="Arial" w:eastAsia="Arial" w:hAnsi="Arial"/>
        <w:b/>
        <w:bCs/>
        <w:color w:val="FF6600"/>
        <w:sz w:val="18"/>
        <w:szCs w:val="18"/>
      </w:rPr>
      <w:t xml:space="preserve">Cloudflare — Voice Order Agent</w:t>
    </w:r>
    <w:r>
      <w:rPr>
        <w:rFonts w:ascii="Arial" w:cs="Arial" w:eastAsia="Arial" w:hAnsi="Arial"/>
        <w:color w:val="000000"/>
        <w:sz w:val="18"/>
        <w:szCs w:val="18"/>
      </w:rPr>
      <w:t xml:space="preserve">	Base10 · A2R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660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FF660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FF66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djrnts0xcgu1jtplwvl-" Type="http://schemas.openxmlformats.org/officeDocument/2006/relationships/hyperlink" Target="https://www.cloudflare.com/network/" TargetMode="External"/><Relationship Id="rId9" Type="http://schemas.openxmlformats.org/officeDocument/2006/relationships/image" Target="media/7739034d57da5280c6717bfe4926d90198623f65.png"/><Relationship Id="rId10" Type="http://schemas.openxmlformats.org/officeDocument/2006/relationships/image" Target="media/d66161eabeaa7836bca8f31cd1d840a5398de08d.png"/><Relationship Id="rId11" Type="http://schemas.openxmlformats.org/officeDocument/2006/relationships/image" Target="media/eb31d08671f93572ef6ade0ac7457cfff3647bc0.png"/><Relationship Id="rId12" Type="http://schemas.openxmlformats.org/officeDocument/2006/relationships/image" Target="media/656f48f55dc7fe1f94b759192e836187d247f66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solución — Voice Order Agent</dc:title>
  <dc:creator>Cloudflare</dc:creator>
  <dc:description>Propuesta de máximos sobre Cloudflare para el agente virtual de pedidos por voz de Base10. Junio 2026.</dc:description>
  <cp:lastModifiedBy>Un-named</cp:lastModifiedBy>
  <cp:revision>1</cp:revision>
  <dcterms:created xsi:type="dcterms:W3CDTF">2026-06-17T20:05:40.790Z</dcterms:created>
  <dcterms:modified xsi:type="dcterms:W3CDTF">2026-06-17T20:05:40.791Z</dcterms:modified>
</cp:coreProperties>
</file>

<file path=docProps/custom.xml><?xml version="1.0" encoding="utf-8"?>
<Properties xmlns="http://schemas.openxmlformats.org/officeDocument/2006/custom-properties" xmlns:vt="http://schemas.openxmlformats.org/officeDocument/2006/docPropsVTypes"/>
</file>