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bookmarkStart w:id="20" w:name="dr.-nicholas-j.-bishop"/>
    <w:p>
      <w:pPr>
        <w:pStyle w:val="Heading2"/>
      </w:pPr>
      <w:r>
        <w:rPr>
          <w:bCs/>
          <w:b/>
        </w:rPr>
        <w:t xml:space="preserve">Dr. Nicholas J. Bishop</w:t>
      </w:r>
    </w:p>
    <w:p>
      <w:pPr>
        <w:pStyle w:val="FirstParagraph"/>
      </w:pPr>
      <w:r>
        <w:t xml:space="preserve">Associate Professor</w:t>
      </w:r>
    </w:p>
    <w:p>
      <w:pPr>
        <w:pStyle w:val="BodyText"/>
      </w:pPr>
      <w:r>
        <w:t xml:space="preserve">Family Studies &amp; Human Development</w:t>
      </w:r>
    </w:p>
    <w:p>
      <w:pPr>
        <w:pStyle w:val="BodyText"/>
      </w:pPr>
      <w:r>
        <w:t xml:space="preserve">Norton School of Family &amp; Consumer Sciences</w:t>
      </w:r>
    </w:p>
    <w:p>
      <w:pPr>
        <w:pStyle w:val="BodyText"/>
      </w:pPr>
      <w:r>
        <w:t xml:space="preserve">University of Arizona</w:t>
      </w:r>
    </w:p>
    <w:p>
      <w:pPr>
        <w:pStyle w:val="BodyText"/>
      </w:pPr>
      <w:r>
        <w:t xml:space="preserve">Updated: September 15, 2023</w:t>
      </w:r>
    </w:p>
    <w:bookmarkEnd w:id="20"/>
    <w:bookmarkStart w:id="21" w:name="academicprofessional-background"/>
    <w:p>
      <w:pPr>
        <w:pStyle w:val="Heading1"/>
      </w:pPr>
      <w:r>
        <w:rPr>
          <w:bCs/>
          <w:b/>
        </w:rPr>
        <w:t xml:space="preserve">Academic/Professional Background</w:t>
      </w:r>
    </w:p>
    <w:p>
      <w:pPr>
        <w:pStyle w:val="FirstParagraph"/>
      </w:pPr>
      <w:r>
        <w:rPr>
          <w:bCs/>
          <w:b/>
        </w:rPr>
        <w:t xml:space="preserve">Education</w:t>
      </w:r>
    </w:p>
    <w:p>
      <w:pPr>
        <w:numPr>
          <w:ilvl w:val="0"/>
          <w:numId w:val="1001"/>
        </w:numPr>
      </w:pPr>
      <w:r>
        <w:t xml:space="preserve">PhD, Arizona State University, Sociology, 2011</w:t>
      </w:r>
    </w:p>
    <w:p>
      <w:pPr>
        <w:numPr>
          <w:ilvl w:val="0"/>
          <w:numId w:val="1001"/>
        </w:numPr>
      </w:pPr>
      <w:r>
        <w:t xml:space="preserve">MA, University of Colorado at Denver, Sociology, 2007</w:t>
      </w:r>
    </w:p>
    <w:p>
      <w:pPr>
        <w:numPr>
          <w:ilvl w:val="0"/>
          <w:numId w:val="1001"/>
        </w:numPr>
      </w:pPr>
      <w:r>
        <w:t xml:space="preserve">BA, University of Colorado at Denver, Sociology, 2004</w:t>
      </w:r>
    </w:p>
    <w:p>
      <w:pPr>
        <w:pStyle w:val="FirstParagraph"/>
      </w:pPr>
      <w:r>
        <w:rPr>
          <w:bCs/>
          <w:b/>
        </w:rPr>
        <w:t xml:space="preserve">University Experience</w:t>
      </w:r>
    </w:p>
    <w:p>
      <w:pPr>
        <w:numPr>
          <w:ilvl w:val="0"/>
          <w:numId w:val="1002"/>
        </w:numPr>
      </w:pPr>
      <w:r>
        <w:t xml:space="preserve">Associate Professor, University of Arizona, 2022 – present</w:t>
      </w:r>
    </w:p>
    <w:p>
      <w:pPr>
        <w:numPr>
          <w:ilvl w:val="0"/>
          <w:numId w:val="1002"/>
        </w:numPr>
      </w:pPr>
      <w:r>
        <w:t xml:space="preserve">Assistant Professor, Texas State University, 2016 – 2022</w:t>
      </w:r>
    </w:p>
    <w:p>
      <w:pPr>
        <w:numPr>
          <w:ilvl w:val="0"/>
          <w:numId w:val="1002"/>
        </w:numPr>
      </w:pPr>
      <w:r>
        <w:t xml:space="preserve">Statistical Consultant, School of Family and Consumer Sciences, Texas State University, 2015 – 2022</w:t>
      </w:r>
    </w:p>
    <w:p>
      <w:pPr>
        <w:numPr>
          <w:ilvl w:val="0"/>
          <w:numId w:val="1002"/>
        </w:numPr>
      </w:pPr>
      <w:r>
        <w:t xml:space="preserve">Clinical Assistant Professor, Texas State University, 2015 – 2016</w:t>
      </w:r>
    </w:p>
    <w:p>
      <w:pPr>
        <w:numPr>
          <w:ilvl w:val="0"/>
          <w:numId w:val="1002"/>
        </w:numPr>
      </w:pPr>
      <w:r>
        <w:t xml:space="preserve">Research Consultant, Arizona State University, 2011 – 2012</w:t>
      </w:r>
    </w:p>
    <w:p>
      <w:pPr>
        <w:numPr>
          <w:ilvl w:val="0"/>
          <w:numId w:val="1002"/>
        </w:numPr>
      </w:pPr>
      <w:r>
        <w:t xml:space="preserve">Faculty Associate, Arizona State University, 2008 – 2012</w:t>
      </w:r>
    </w:p>
    <w:p>
      <w:pPr>
        <w:numPr>
          <w:ilvl w:val="0"/>
          <w:numId w:val="1002"/>
        </w:numPr>
      </w:pPr>
      <w:r>
        <w:t xml:space="preserve">Research Assistant Arizona State University, 2008 – 2011</w:t>
      </w:r>
    </w:p>
    <w:p>
      <w:pPr>
        <w:numPr>
          <w:ilvl w:val="0"/>
          <w:numId w:val="1002"/>
        </w:numPr>
      </w:pPr>
      <w:r>
        <w:t xml:space="preserve">Teaching Associate, Arizona State University, 2008 – 2009</w:t>
      </w:r>
    </w:p>
    <w:p>
      <w:pPr>
        <w:numPr>
          <w:ilvl w:val="0"/>
          <w:numId w:val="1002"/>
        </w:numPr>
      </w:pPr>
      <w:r>
        <w:t xml:space="preserve">Faculty Associate, University of Colorado at Denver and Health Sciences Center, 2007</w:t>
      </w:r>
    </w:p>
    <w:p>
      <w:pPr>
        <w:numPr>
          <w:ilvl w:val="0"/>
          <w:numId w:val="1002"/>
        </w:numPr>
      </w:pPr>
      <w:r>
        <w:t xml:space="preserve">Teaching Associate, University of Colorado at Denver and Health Sciences Center, 2006</w:t>
      </w:r>
    </w:p>
    <w:p>
      <w:pPr>
        <w:pStyle w:val="FirstParagraph"/>
      </w:pPr>
      <w:r>
        <w:rPr>
          <w:bCs/>
          <w:b/>
        </w:rPr>
        <w:t xml:space="preserve">Relevant Professional Experience</w:t>
      </w:r>
    </w:p>
    <w:p>
      <w:pPr>
        <w:numPr>
          <w:ilvl w:val="0"/>
          <w:numId w:val="1003"/>
        </w:numPr>
      </w:pPr>
      <w:r>
        <w:t xml:space="preserve">Arizona Vital Statistician, Arizona Department of Health Services, 2013 – 2014</w:t>
      </w:r>
    </w:p>
    <w:p>
      <w:pPr>
        <w:numPr>
          <w:ilvl w:val="0"/>
          <w:numId w:val="1003"/>
        </w:numPr>
      </w:pPr>
      <w:r>
        <w:t xml:space="preserve">Interim Director of Accountability, Arizona Department of Education, 2012 – 2013</w:t>
      </w:r>
    </w:p>
    <w:p>
      <w:pPr>
        <w:numPr>
          <w:ilvl w:val="0"/>
          <w:numId w:val="1003"/>
        </w:numPr>
      </w:pPr>
      <w:r>
        <w:t xml:space="preserve">Research Associate, Arizona Department of Education, 2012</w:t>
      </w:r>
    </w:p>
    <w:p>
      <w:pPr>
        <w:numPr>
          <w:ilvl w:val="0"/>
          <w:numId w:val="1003"/>
        </w:numPr>
      </w:pPr>
      <w:r>
        <w:t xml:space="preserve">Senior Data Analyst, Behavior Data Systems, Ltd., 2011</w:t>
      </w:r>
    </w:p>
    <w:p>
      <w:pPr>
        <w:numPr>
          <w:ilvl w:val="0"/>
          <w:numId w:val="1003"/>
        </w:numPr>
      </w:pPr>
      <w:r>
        <w:t xml:space="preserve">Statistical Consultant, Behavior Data Systems, Ltd., 2008 – 2011</w:t>
      </w:r>
    </w:p>
    <w:bookmarkEnd w:id="21"/>
    <w:bookmarkStart w:id="22" w:name="grants-and-contracts"/>
    <w:p>
      <w:pPr>
        <w:pStyle w:val="Heading1"/>
      </w:pPr>
      <w:r>
        <w:rPr>
          <w:bCs/>
          <w:b/>
        </w:rPr>
        <w:t xml:space="preserve">Grants and Contracts</w:t>
      </w:r>
    </w:p>
    <w:p>
      <w:pPr>
        <w:pStyle w:val="FirstParagraph"/>
      </w:pPr>
      <w:r>
        <w:rPr>
          <w:bCs/>
          <w:b/>
        </w:rPr>
        <w:t xml:space="preserve">Funded External Grants and Contracts</w:t>
      </w:r>
    </w:p>
    <w:p>
      <w:pPr>
        <w:numPr>
          <w:ilvl w:val="0"/>
          <w:numId w:val="1004"/>
        </w:numPr>
      </w:pPr>
      <w:r>
        <w:t xml:space="preserve">Quiñones, A. R. (PI),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(Co-I). Multimorbidity Combinations and Dementia Onset among Race/Ethnic Older Adults (MEMORABLE). Funder: National Institute on Aging, $106,231 supporting Co-I subcontract; $3,634,165 total.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(PI), &amp; Zuniga, K.E. (Co-PI). Investigating Egg Consumption, Choline and Lutein Intake, Age, and Changes in Cognitive Health in a Nationally Representative Sample of Older Adults. Funder: Egg Nutrition Center, $34,665. (Submitted: May 1, 2017, Funded: February 1, 2018 - August 31, 2018).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(PI), &amp; Zuniga, K. E. (Co-PI) Investigating Walnut Consumption, Age, and Changes in Cognitive Health in a Nationally-Representative Sample of Older U.S. Adults. Funder: California Walnut Commission, $64,751. (Submitted: July 10, 2018, Funded: September 1, 2018 – June 30, 2019).</w:t>
      </w:r>
    </w:p>
    <w:p>
      <w:pPr>
        <w:pStyle w:val="FirstParagraph"/>
      </w:pPr>
      <w:r>
        <w:rPr>
          <w:bCs/>
          <w:b/>
        </w:rPr>
        <w:t xml:space="preserve">Funded Internal Grants and Contracts</w:t>
      </w:r>
    </w:p>
    <w:p>
      <w:pPr>
        <w:numPr>
          <w:ilvl w:val="0"/>
          <w:numId w:val="1005"/>
        </w:numPr>
      </w:pPr>
      <w:r>
        <w:t xml:space="preserve">Goble, P. M. (PI), Yishan Shen (Co-PI), Perez-Brena, N. J. (Co-PI), Weimer, A. (Co-PI),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(Co-I). Opportunities for Undergraduate Research in Human Development &amp; Family Science (OUR HDFS) Fellowship. Funder: Texas State University, College of Applied Arts, $5,000. (Submitted June 11, 2021, Funded August 5, 2021 – July 31, 2022).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(PI), &amp; Zuniga, K. E. (Co-PI). Empirically Derived Dietary Patterns and Cognitive Decline in Older Adults: An Application of Exploratory Factor Mixture Models. Funder: Texas State University, Texas State University, $15,550. (Submitted: October 6, 2016, Funded: January 7, 2017 – May 31, 2017).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(PI). Food Insecurity, Dietary Quality, and Chronic Disease Progression in a Representative Sample of Older U.S. Adults: Do Federal and Local Nutrition Assistance Programs Play a Protective Role? Funder: Texas State University, Research Enhancement Program, $8,000. (Submitted: October 8, 2019, Funded: January 22, 2020 – May 20, 2021).</w:t>
      </w:r>
    </w:p>
    <w:bookmarkEnd w:id="22"/>
    <w:bookmarkStart w:id="57" w:name="research"/>
    <w:p>
      <w:pPr>
        <w:pStyle w:val="Heading1"/>
      </w:pPr>
      <w:r>
        <w:rPr>
          <w:bCs/>
          <w:b/>
        </w:rPr>
        <w:t xml:space="preserve">Research</w:t>
      </w:r>
    </w:p>
    <w:p>
      <w:pPr>
        <w:pStyle w:val="FirstParagraph"/>
      </w:pPr>
      <w:r>
        <w:rPr>
          <w:bCs/>
          <w:b/>
        </w:rPr>
        <w:t xml:space="preserve">Refereed Journal Articles (*designates student author)</w:t>
      </w:r>
    </w:p>
    <w:p>
      <w:pPr>
        <w:numPr>
          <w:ilvl w:val="0"/>
          <w:numId w:val="1006"/>
        </w:numPr>
      </w:pPr>
      <w:r>
        <w:t xml:space="preserve">Zambrano, P.*, Perez-Brena, N., Duncan, J.,</w:t>
      </w:r>
      <w:r>
        <w:t xml:space="preserve"> </w:t>
      </w:r>
      <w:r>
        <w:rPr>
          <w:bCs/>
          <w:b/>
        </w:rPr>
        <w:t xml:space="preserve">Bishop, N.</w:t>
      </w:r>
      <w:r>
        <w:t xml:space="preserve">, Toews, M., &amp; Barnett, M. (2023). Mother-father and parent-grandmother coparental conflict and involvement in adolescent parent families.</w:t>
      </w:r>
      <w:r>
        <w:t xml:space="preserve"> </w:t>
      </w:r>
      <w:r>
        <w:rPr>
          <w:iCs/>
          <w:i/>
        </w:rPr>
        <w:t xml:space="preserve">Journal of Family Psychology,</w:t>
      </w:r>
      <w:r>
        <w:t xml:space="preserve"> </w:t>
      </w:r>
      <w:hyperlink r:id="rId23">
        <w:r>
          <w:rPr>
            <w:rStyle w:val="Hyperlink"/>
          </w:rPr>
          <w:t xml:space="preserve">https://doi.org/10.1177/02654075231221832</w:t>
        </w:r>
      </w:hyperlink>
      <w:r>
        <w:t xml:space="preserve"> </w:t>
      </w:r>
      <w:r>
        <w:t xml:space="preserve">(Impact factor, 2022: 2.8).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, &amp; Zhu, J. (2023). A prospective cohort study of racial/ethnic variation in the association between 4-year change in cystatin C and dietary quality in older Americans.</w:t>
      </w:r>
      <w:r>
        <w:t xml:space="preserve"> </w:t>
      </w:r>
      <w:r>
        <w:rPr>
          <w:iCs/>
          <w:i/>
        </w:rPr>
        <w:t xml:space="preserve">British Journal of Nutrition</w:t>
      </w:r>
      <w:r>
        <w:t xml:space="preserve">,</w:t>
      </w:r>
      <w:r>
        <w:t xml:space="preserve"> </w:t>
      </w:r>
      <w:r>
        <w:rPr>
          <w:iCs/>
          <w:i/>
        </w:rPr>
        <w:t xml:space="preserve">129</w:t>
      </w:r>
      <w:r>
        <w:t xml:space="preserve">, 312-323.</w:t>
      </w:r>
      <w:r>
        <w:t xml:space="preserve"> </w:t>
      </w:r>
      <w:hyperlink r:id="rId24">
        <w:r>
          <w:rPr>
            <w:rStyle w:val="Hyperlink"/>
          </w:rPr>
          <w:t xml:space="preserve">https://doi.org/10.1017/S0007114522001040</w:t>
        </w:r>
      </w:hyperlink>
      <w:r>
        <w:t xml:space="preserve"> </w:t>
      </w:r>
      <w:r>
        <w:t xml:space="preserve">(Impact factor, 2020: 3.718).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, Haas, S. A., &amp; Quiñones, A. R. (2022). Cohort trends in the burden of multiple chronic conditions among aging U.S. adults.</w:t>
      </w:r>
      <w:r>
        <w:t xml:space="preserve"> </w:t>
      </w:r>
      <w:r>
        <w:rPr>
          <w:iCs/>
          <w:i/>
        </w:rPr>
        <w:t xml:space="preserve">The Journals of Gerontology, Series B: Psychological Sciences and Social Sciences, 77</w:t>
      </w:r>
      <w:r>
        <w:t xml:space="preserve">(10), 1867-1879.</w:t>
      </w:r>
      <w:r>
        <w:t xml:space="preserve"> </w:t>
      </w:r>
      <w:hyperlink r:id="rId25">
        <w:r>
          <w:rPr>
            <w:rStyle w:val="Hyperlink"/>
          </w:rPr>
          <w:t xml:space="preserve">https://doi.org/10.1093/geronb/gbac070</w:t>
        </w:r>
      </w:hyperlink>
      <w:r>
        <w:t xml:space="preserve"> </w:t>
      </w:r>
      <w:r>
        <w:t xml:space="preserve">(Impact factor, 2022: 4.942; selected as Editor’s Choice article for</w:t>
      </w:r>
      <w:r>
        <w:t xml:space="preserve"> </w:t>
      </w:r>
      <w:r>
        <w:rPr>
          <w:iCs/>
          <w:i/>
        </w:rPr>
        <w:t xml:space="preserve">The Journal of Gerontology: Social Sciences,</w:t>
      </w:r>
      <w:r>
        <w:t xml:space="preserve"> </w:t>
      </w:r>
      <w:r>
        <w:rPr>
          <w:iCs/>
          <w:i/>
        </w:rPr>
        <w:t xml:space="preserve">77</w:t>
      </w:r>
      <w:r>
        <w:t xml:space="preserve">(10)).</w:t>
      </w:r>
    </w:p>
    <w:p>
      <w:pPr>
        <w:numPr>
          <w:ilvl w:val="0"/>
          <w:numId w:val="1006"/>
        </w:numPr>
      </w:pPr>
      <w:r>
        <w:t xml:space="preserve">Flynn, T.*, Goble, P.,</w:t>
      </w:r>
      <w:r>
        <w:t xml:space="preserve"> </w:t>
      </w:r>
      <w:r>
        <w:rPr>
          <w:bCs/>
          <w:b/>
        </w:rPr>
        <w:t xml:space="preserve">Bishop, N.</w:t>
      </w:r>
      <w:r>
        <w:t xml:space="preserve">, &amp; Weimer, A. (2022). Early childhood hospitalization and problematic behaviors: A propensity score analysis. Accepted at</w:t>
      </w:r>
      <w:r>
        <w:t xml:space="preserve"> </w:t>
      </w:r>
      <w:r>
        <w:rPr>
          <w:iCs/>
          <w:i/>
        </w:rPr>
        <w:t xml:space="preserve">Journal of Child Health Care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https://doi.org/10.1177/13674935221102707</w:t>
        </w:r>
      </w:hyperlink>
      <w:r>
        <w:t xml:space="preserve"> </w:t>
      </w:r>
      <w:r>
        <w:t xml:space="preserve">(Impact factor, 2021: 1.979).</w:t>
      </w:r>
    </w:p>
    <w:p>
      <w:pPr>
        <w:numPr>
          <w:ilvl w:val="0"/>
          <w:numId w:val="1006"/>
        </w:numPr>
      </w:pPr>
      <w:r>
        <w:t xml:space="preserve">Pan, X., Luo, Y., &amp;</w:t>
      </w:r>
      <w:r>
        <w:t xml:space="preserve"> </w:t>
      </w:r>
      <w:r>
        <w:rPr>
          <w:bCs/>
          <w:b/>
        </w:rPr>
        <w:t xml:space="preserve">Bishop, N.</w:t>
      </w:r>
      <w:r>
        <w:t xml:space="preserve"> </w:t>
      </w:r>
      <w:r>
        <w:t xml:space="preserve">(2022). Cognitive function among non-custodial grandparents: Across- national perspective.</w:t>
      </w:r>
      <w:r>
        <w:t xml:space="preserve"> </w:t>
      </w:r>
      <w:r>
        <w:rPr>
          <w:iCs/>
          <w:i/>
        </w:rPr>
        <w:t xml:space="preserve">The International Journal of Aging and Human Development</w:t>
      </w:r>
      <w:r>
        <w:t xml:space="preserve">,</w:t>
      </w:r>
      <w:r>
        <w:t xml:space="preserve"> </w:t>
      </w:r>
      <w:r>
        <w:rPr>
          <w:iCs/>
          <w:i/>
        </w:rPr>
        <w:t xml:space="preserve">95</w:t>
      </w:r>
      <w:r>
        <w:t xml:space="preserve">(1) , 18-41.</w:t>
      </w:r>
      <w:r>
        <w:t xml:space="preserve"> </w:t>
      </w:r>
      <w:hyperlink r:id="rId27">
        <w:r>
          <w:rPr>
            <w:rStyle w:val="Hyperlink"/>
          </w:rPr>
          <w:t xml:space="preserve">https://doi.org/10.1177/00914150211050877</w:t>
        </w:r>
      </w:hyperlink>
      <w:r>
        <w:t xml:space="preserve"> </w:t>
      </w:r>
      <w:r>
        <w:t xml:space="preserve">(Impact factor, 2021: 2.224).</w:t>
      </w:r>
    </w:p>
    <w:p>
      <w:pPr>
        <w:numPr>
          <w:ilvl w:val="0"/>
          <w:numId w:val="1006"/>
        </w:numPr>
      </w:pPr>
      <w:r>
        <w:t xml:space="preserve">Tucker, J.*,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Wang, K., &amp; Phillips, F. (2021). Marital transitions, change in depression, and quality of social relationships in aging U.S. adults: An analysis of the Health and Retirement Study.</w:t>
      </w:r>
      <w:r>
        <w:t xml:space="preserve"> </w:t>
      </w:r>
      <w:r>
        <w:rPr>
          <w:iCs/>
          <w:i/>
        </w:rPr>
        <w:t xml:space="preserve">The International Journal of Aging and Human Development</w:t>
      </w:r>
      <w:r>
        <w:t xml:space="preserve"> </w:t>
      </w:r>
      <w:hyperlink r:id="rId28">
        <w:r>
          <w:rPr>
            <w:rStyle w:val="Hyperlink"/>
          </w:rPr>
          <w:t xml:space="preserve">https://doi.org/10.1177/00914150211066551</w:t>
        </w:r>
      </w:hyperlink>
      <w:r>
        <w:t xml:space="preserve"> </w:t>
      </w:r>
      <w:r>
        <w:t xml:space="preserve">(Impact factor, 2021: 2.224).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, Ullevig, S., Wang, K., &amp; Zuniga, K. E. (2021). Dietary quality modifies the association between multimorbidity and change in mobility limitations among older Americans.</w:t>
      </w:r>
      <w:r>
        <w:t xml:space="preserve"> </w:t>
      </w:r>
      <w:r>
        <w:rPr>
          <w:iCs/>
          <w:i/>
        </w:rPr>
        <w:t xml:space="preserve">Preventive Medicine</w:t>
      </w:r>
      <w:r>
        <w:t xml:space="preserve">,</w:t>
      </w:r>
      <w:r>
        <w:t xml:space="preserve"> </w:t>
      </w:r>
      <w:r>
        <w:rPr>
          <w:iCs/>
          <w:i/>
        </w:rPr>
        <w:t xml:space="preserve">153</w:t>
      </w:r>
      <w:r>
        <w:t xml:space="preserve">, 106721.</w:t>
      </w:r>
      <w:r>
        <w:t xml:space="preserve"> </w:t>
      </w:r>
      <w:hyperlink r:id="rId29">
        <w:r>
          <w:rPr>
            <w:rStyle w:val="Hyperlink"/>
          </w:rPr>
          <w:t xml:space="preserve">https://doi.org/10.1016/j.ypmed.2021.106721</w:t>
        </w:r>
      </w:hyperlink>
      <w:r>
        <w:t xml:space="preserve"> </w:t>
      </w:r>
      <w:r>
        <w:t xml:space="preserve">(</w:t>
      </w:r>
      <w:r>
        <w:rPr>
          <w:bCs/>
          <w:b/>
        </w:rPr>
        <w:t xml:space="preserve">Impact factor, 2021: 4.018</w:t>
      </w:r>
      <w:r>
        <w:t xml:space="preserve">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, &amp; Zuniga, K. E. (2021). Investigating walnut consumption and cognitive trajectories in a representative sample of older U.S. adults.</w:t>
      </w:r>
      <w:r>
        <w:t xml:space="preserve"> </w:t>
      </w:r>
      <w:r>
        <w:rPr>
          <w:iCs/>
          <w:i/>
        </w:rPr>
        <w:t xml:space="preserve">Public Health Nutrition, 24</w:t>
      </w:r>
      <w:r>
        <w:t xml:space="preserve">(7), 1741-1752.</w:t>
      </w:r>
      <w:r>
        <w:t xml:space="preserve"> </w:t>
      </w:r>
      <w:hyperlink r:id="rId30">
        <w:r>
          <w:rPr>
            <w:rStyle w:val="Hyperlink"/>
          </w:rPr>
          <w:t xml:space="preserve">https://doi.org/10.1017/S1368980020001287</w:t>
        </w:r>
      </w:hyperlink>
      <w:r>
        <w:t xml:space="preserve"> </w:t>
      </w:r>
      <w:r>
        <w:t xml:space="preserve">(Impact factor, 2019: 3.182).</w:t>
      </w:r>
    </w:p>
    <w:p>
      <w:pPr>
        <w:numPr>
          <w:ilvl w:val="0"/>
          <w:numId w:val="1006"/>
        </w:numPr>
      </w:pPr>
      <w:r>
        <w:t xml:space="preserve">Zuniga, K. E.,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&amp; Turner, A. S.* (2021). Dietary lutein and zeaxanthin are associated with working memory in an older adult population.</w:t>
      </w:r>
      <w:r>
        <w:t xml:space="preserve"> </w:t>
      </w:r>
      <w:r>
        <w:rPr>
          <w:iCs/>
          <w:i/>
        </w:rPr>
        <w:t xml:space="preserve">Public Health Nutrition</w:t>
      </w:r>
      <w:r>
        <w:t xml:space="preserve">,</w:t>
      </w:r>
      <w:r>
        <w:t xml:space="preserve"> </w:t>
      </w:r>
      <w:r>
        <w:rPr>
          <w:iCs/>
          <w:i/>
        </w:rPr>
        <w:t xml:space="preserve">24</w:t>
      </w:r>
      <w:r>
        <w:t xml:space="preserve">(7), 1708-1715.</w:t>
      </w:r>
      <w:r>
        <w:t xml:space="preserve"> </w:t>
      </w:r>
      <w:hyperlink r:id="rId31">
        <w:r>
          <w:rPr>
            <w:rStyle w:val="Hyperlink"/>
          </w:rPr>
          <w:t xml:space="preserve">https://doi.org/10.1017/S1368980019005020</w:t>
        </w:r>
      </w:hyperlink>
      <w:r>
        <w:t xml:space="preserve"> </w:t>
      </w:r>
      <w:r>
        <w:t xml:space="preserve">(Impact factor, 2019: 3.182).</w:t>
      </w:r>
    </w:p>
    <w:p>
      <w:pPr>
        <w:numPr>
          <w:ilvl w:val="0"/>
          <w:numId w:val="1006"/>
        </w:numPr>
      </w:pPr>
      <w:r>
        <w:t xml:space="preserve">Wang, K., Gao, X., Sun, F., &amp;</w:t>
      </w:r>
      <w:r>
        <w:t xml:space="preserve"> </w:t>
      </w:r>
      <w:r>
        <w:rPr>
          <w:bCs/>
          <w:b/>
        </w:rPr>
        <w:t xml:space="preserve">Bishop, N.</w:t>
      </w:r>
      <w:r>
        <w:t xml:space="preserve"> </w:t>
      </w:r>
      <w:r>
        <w:t xml:space="preserve">(2020). Health literacy and caregiver burden among Chinese caregivers of older adults with cognitive impairment: Does education matter?</w:t>
      </w:r>
      <w:r>
        <w:t xml:space="preserve"> </w:t>
      </w:r>
      <w:r>
        <w:rPr>
          <w:iCs/>
          <w:i/>
        </w:rPr>
        <w:t xml:space="preserve">Journal of Applied Gerontology</w:t>
      </w:r>
      <w:r>
        <w:t xml:space="preserve">.</w:t>
      </w:r>
      <w:r>
        <w:t xml:space="preserve"> </w:t>
      </w:r>
      <w:hyperlink r:id="rId32">
        <w:r>
          <w:rPr>
            <w:rStyle w:val="Hyperlink"/>
          </w:rPr>
          <w:t xml:space="preserve">https://doi.org/10.1177%2F0733464820957151</w:t>
        </w:r>
      </w:hyperlink>
      <w:r>
        <w:t xml:space="preserve"> </w:t>
      </w:r>
      <w:r>
        <w:t xml:space="preserve">(Impact factor, 2019: 2.144).</w:t>
      </w:r>
    </w:p>
    <w:p>
      <w:pPr>
        <w:numPr>
          <w:ilvl w:val="0"/>
          <w:numId w:val="1006"/>
        </w:numPr>
      </w:pPr>
      <w:r>
        <w:t xml:space="preserve">Hegde, A. L.,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(2020). Simulation and reflective experience: An effective teaching strategy to sensitize interior design students to the visual needs of older adults and the visually impaired.</w:t>
      </w:r>
      <w:r>
        <w:t xml:space="preserve"> </w:t>
      </w:r>
      <w:r>
        <w:rPr>
          <w:iCs/>
          <w:i/>
        </w:rPr>
        <w:t xml:space="preserve">Design &amp; Communication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19</w:t>
      </w:r>
      <w:r>
        <w:t xml:space="preserve">(1), 33-49.</w:t>
      </w:r>
      <w:r>
        <w:t xml:space="preserve"> </w:t>
      </w:r>
      <w:hyperlink r:id="rId33">
        <w:r>
          <w:rPr>
            <w:rStyle w:val="Hyperlink"/>
          </w:rPr>
          <w:t xml:space="preserve">https://doi.org/10.1386/adch_00012_1</w:t>
        </w:r>
      </w:hyperlink>
      <w:r>
        <w:t xml:space="preserve"> </w:t>
      </w:r>
      <w:r>
        <w:t xml:space="preserve">(Impact factor, 2018: 0.41).</w:t>
      </w:r>
    </w:p>
    <w:p>
      <w:pPr>
        <w:numPr>
          <w:ilvl w:val="0"/>
          <w:numId w:val="1006"/>
        </w:numPr>
      </w:pPr>
      <w:r>
        <w:t xml:space="preserve">Wang, K., Xie, Y., Wang, D.,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Tooker, E.*, &amp; Li, Z. (2020). Socioeconomic correlates of adherence to mineral intake recommendations among pregnant women in north China: Findings from a cohort in Hebei Province.</w:t>
      </w:r>
      <w:r>
        <w:t xml:space="preserve"> </w:t>
      </w:r>
      <w:r>
        <w:rPr>
          <w:iCs/>
          <w:i/>
        </w:rPr>
        <w:t xml:space="preserve">Asia Pacific Journal of Clinical Nutrition</w:t>
      </w:r>
      <w:r>
        <w:t xml:space="preserve">,</w:t>
      </w:r>
      <w:r>
        <w:t xml:space="preserve"> </w:t>
      </w:r>
      <w:r>
        <w:rPr>
          <w:iCs/>
          <w:i/>
        </w:rPr>
        <w:t xml:space="preserve">29</w:t>
      </w:r>
      <w:r>
        <w:t xml:space="preserve">(1), 127-135.</w:t>
      </w:r>
      <w:r>
        <w:t xml:space="preserve"> </w:t>
      </w:r>
      <w:hyperlink r:id="rId34">
        <w:r>
          <w:rPr>
            <w:rStyle w:val="Hyperlink"/>
          </w:rPr>
          <w:t xml:space="preserve">https://pubmed.ncbi.nlm.nih.gov/32229451/</w:t>
        </w:r>
      </w:hyperlink>
      <w:r>
        <w:t xml:space="preserve"> </w:t>
      </w:r>
      <w:r>
        <w:t xml:space="preserve">(Impact factor: NA).</w:t>
      </w:r>
    </w:p>
    <w:p>
      <w:pPr>
        <w:numPr>
          <w:ilvl w:val="0"/>
          <w:numId w:val="1006"/>
        </w:numPr>
      </w:pPr>
      <w:r>
        <w:t xml:space="preserve">Wang, K.,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(2019). Social support and monetary resources as protective factors against food insecurity among older Americans: Findings from the Health and Retirement Study.</w:t>
      </w:r>
      <w:r>
        <w:t xml:space="preserve"> </w:t>
      </w:r>
      <w:r>
        <w:rPr>
          <w:iCs/>
          <w:i/>
        </w:rPr>
        <w:t xml:space="preserve">Food Security, 11</w:t>
      </w:r>
      <w:r>
        <w:t xml:space="preserve">(4), 929-939.</w:t>
      </w:r>
      <w:r>
        <w:t xml:space="preserve"> </w:t>
      </w:r>
      <w:hyperlink r:id="rId35">
        <w:r>
          <w:rPr>
            <w:rStyle w:val="Hyperlink"/>
          </w:rPr>
          <w:t xml:space="preserve">https://doi.org/10.1007/s12571-019-00945-8</w:t>
        </w:r>
      </w:hyperlink>
      <w:r>
        <w:t xml:space="preserve"> </w:t>
      </w:r>
      <w:r>
        <w:t xml:space="preserve">(Impact factor, 2019: 2.095).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, Zuniga, K. E., &amp; Ramirez, C. M.* (2019). Latent profile analysis of dietary intake in a representative sample of older Americans.</w:t>
      </w:r>
      <w:r>
        <w:t xml:space="preserve"> </w:t>
      </w:r>
      <w:r>
        <w:rPr>
          <w:iCs/>
          <w:i/>
        </w:rPr>
        <w:t xml:space="preserve">Public Health Nutrition, 23</w:t>
      </w:r>
      <w:r>
        <w:t xml:space="preserve">(2), 243-253.</w:t>
      </w:r>
      <w:r>
        <w:t xml:space="preserve"> </w:t>
      </w:r>
      <w:hyperlink r:id="rId36">
        <w:r>
          <w:rPr>
            <w:rStyle w:val="Hyperlink"/>
          </w:rPr>
          <w:t xml:space="preserve">https://doi.org/10.1017/S1368980019001496</w:t>
        </w:r>
      </w:hyperlink>
      <w:r>
        <w:t xml:space="preserve"> </w:t>
      </w:r>
      <w:r>
        <w:t xml:space="preserve">(Impact factor, 2019: 3.182).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, &amp; Zuniga, K. E. (2019). Egg consumption, multi-domain cognitive performance, and short-term cognitive change in a representative sample of older U.S. Adults.</w:t>
      </w:r>
      <w:r>
        <w:t xml:space="preserve"> </w:t>
      </w:r>
      <w:r>
        <w:rPr>
          <w:iCs/>
          <w:i/>
        </w:rPr>
        <w:t xml:space="preserve">Journal of the American College of Nutrition</w:t>
      </w:r>
      <w:r>
        <w:t xml:space="preserve">,</w:t>
      </w:r>
      <w:r>
        <w:t xml:space="preserve"> </w:t>
      </w:r>
      <w:r>
        <w:rPr>
          <w:iCs/>
          <w:i/>
        </w:rPr>
        <w:t xml:space="preserve">38</w:t>
      </w:r>
      <w:r>
        <w:t xml:space="preserve">(6)</w:t>
      </w:r>
      <w:r>
        <w:rPr>
          <w:iCs/>
          <w:i/>
        </w:rPr>
        <w:t xml:space="preserve">,</w:t>
      </w:r>
      <w:r>
        <w:t xml:space="preserve"> </w:t>
      </w:r>
      <w:r>
        <w:t xml:space="preserve">537-546.</w:t>
      </w:r>
      <w:r>
        <w:t xml:space="preserve"> </w:t>
      </w:r>
      <w:hyperlink r:id="rId37">
        <w:r>
          <w:rPr>
            <w:rStyle w:val="Hyperlink"/>
          </w:rPr>
          <w:t xml:space="preserve">https://doi.org/10.1080/07315724.2019.1566035</w:t>
        </w:r>
      </w:hyperlink>
      <w:r>
        <w:t xml:space="preserve"> </w:t>
      </w:r>
      <w:r>
        <w:t xml:space="preserve">(Impact factor, 2019: 2.297).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, &amp; Wang, K. (2018). Food insecurity, comorbidity, and mobility limitations among older U.S. adults: Findings from the Health and Retirement Study and Health Care and Nutrition Study.</w:t>
      </w:r>
      <w:r>
        <w:t xml:space="preserve"> </w:t>
      </w:r>
      <w:r>
        <w:rPr>
          <w:iCs/>
          <w:i/>
        </w:rPr>
        <w:t xml:space="preserve">Preventive Medicine, 114</w:t>
      </w:r>
      <w:r>
        <w:t xml:space="preserve">, 180-187.</w:t>
      </w:r>
      <w:r>
        <w:t xml:space="preserve"> </w:t>
      </w:r>
      <w:hyperlink r:id="rId38">
        <w:r>
          <w:rPr>
            <w:rStyle w:val="Hyperlink"/>
          </w:rPr>
          <w:t xml:space="preserve">https://doi.org/10.1016/j.ypmed.2018.07.001</w:t>
        </w:r>
      </w:hyperlink>
      <w:r>
        <w:t xml:space="preserve"> </w:t>
      </w:r>
      <w:r>
        <w:t xml:space="preserve">(Impact factor, 2018: 3.449).</w:t>
      </w:r>
    </w:p>
    <w:p>
      <w:pPr>
        <w:numPr>
          <w:ilvl w:val="0"/>
          <w:numId w:val="1006"/>
        </w:numPr>
      </w:pPr>
      <w:r>
        <w:t xml:space="preserve">Zuniga, K.,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(2018). Recent cancer treatment and memory decline in older adults: An analysis of the 2002-2012 Health and Retirement Study.</w:t>
      </w:r>
      <w:r>
        <w:t xml:space="preserve"> </w:t>
      </w:r>
      <w:r>
        <w:rPr>
          <w:iCs/>
          <w:i/>
        </w:rPr>
        <w:t xml:space="preserve">Journal of Geriatric Oncology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(3), 186-193.</w:t>
      </w:r>
      <w:r>
        <w:t xml:space="preserve"> </w:t>
      </w:r>
      <w:hyperlink r:id="rId39">
        <w:r>
          <w:rPr>
            <w:rStyle w:val="Hyperlink"/>
          </w:rPr>
          <w:t xml:space="preserve">https://doi.org/10.1016/j.jgo.2017.10.004</w:t>
        </w:r>
      </w:hyperlink>
      <w:r>
        <w:t xml:space="preserve"> </w:t>
      </w:r>
      <w:r>
        <w:t xml:space="preserve">(Impact factor, 2018: 3.164).</w:t>
      </w:r>
    </w:p>
    <w:p>
      <w:pPr>
        <w:numPr>
          <w:ilvl w:val="0"/>
          <w:numId w:val="1006"/>
        </w:numPr>
      </w:pPr>
      <w:r>
        <w:t xml:space="preserve">Crixell, S. L., Markides, B. R.*, Biediger-Friedman, L. M.,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&amp; Reat, A. M.* (2018). Designing a WIC app to improve health behaviors: A latent class analysis.</w:t>
      </w:r>
      <w:r>
        <w:t xml:space="preserve"> </w:t>
      </w:r>
      <w:r>
        <w:rPr>
          <w:iCs/>
          <w:i/>
        </w:rPr>
        <w:t xml:space="preserve">Journal of Mobile Technology in Medicine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(3), 7-16.</w:t>
      </w:r>
      <w:r>
        <w:t xml:space="preserve"> </w:t>
      </w:r>
      <w:hyperlink r:id="rId40">
        <w:r>
          <w:rPr>
            <w:rStyle w:val="Hyperlink"/>
          </w:rPr>
          <w:t xml:space="preserve">http://dx.doi.org/10.7309/jmtm.7.2.2</w:t>
        </w:r>
      </w:hyperlink>
      <w:r>
        <w:t xml:space="preserve"> </w:t>
      </w:r>
      <w:r>
        <w:t xml:space="preserve">(Impact factor: NA).</w:t>
      </w:r>
    </w:p>
    <w:p>
      <w:pPr>
        <w:numPr>
          <w:ilvl w:val="0"/>
          <w:numId w:val="1006"/>
        </w:numPr>
      </w:pPr>
      <w:r>
        <w:t xml:space="preserve">Hegde, A. L.,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(2018). Saturation based color appearance of objects: A comparison between healthy elderly, young adults, and young adults wearing goggles simulating cataract.</w:t>
      </w:r>
      <w:r>
        <w:t xml:space="preserve"> </w:t>
      </w:r>
      <w:r>
        <w:rPr>
          <w:iCs/>
          <w:i/>
        </w:rPr>
        <w:t xml:space="preserve">Building and Environment</w:t>
      </w:r>
      <w:r>
        <w:t xml:space="preserve">,</w:t>
      </w:r>
      <w:r>
        <w:t xml:space="preserve"> </w:t>
      </w:r>
      <w:r>
        <w:rPr>
          <w:iCs/>
          <w:i/>
        </w:rPr>
        <w:t xml:space="preserve">127</w:t>
      </w:r>
      <w:r>
        <w:t xml:space="preserve">, 148-156.</w:t>
      </w:r>
      <w:r>
        <w:t xml:space="preserve"> </w:t>
      </w:r>
      <w:hyperlink r:id="rId41">
        <w:r>
          <w:rPr>
            <w:rStyle w:val="Hyperlink"/>
          </w:rPr>
          <w:t xml:space="preserve">https://doi.org/10.1016/j.buildenv.2017.11.007</w:t>
        </w:r>
      </w:hyperlink>
      <w:r>
        <w:t xml:space="preserve"> </w:t>
      </w:r>
      <w:r>
        <w:t xml:space="preserve">(Impact factor, 2018: 4.820).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, Zuniga, K. E., &amp; Lucht, A.* (2018). Latent profiles of macronutrient density and their association with mobility limitations in an observational longitudinal study of older U.S. adults.</w:t>
      </w:r>
      <w:r>
        <w:t xml:space="preserve"> </w:t>
      </w:r>
      <w:r>
        <w:rPr>
          <w:iCs/>
          <w:i/>
        </w:rPr>
        <w:t xml:space="preserve">The Journal of Nutrition, Health, &amp; Aging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(6), 645-654.</w:t>
      </w:r>
      <w:r>
        <w:t xml:space="preserve"> </w:t>
      </w:r>
      <w:hyperlink r:id="rId42">
        <w:r>
          <w:rPr>
            <w:rStyle w:val="Hyperlink"/>
          </w:rPr>
          <w:t xml:space="preserve">https://doi.org/10.1007/s12603-017-0986-0</w:t>
        </w:r>
      </w:hyperlink>
      <w:r>
        <w:t xml:space="preserve"> </w:t>
      </w:r>
      <w:r>
        <w:t xml:space="preserve">(Impact factor, 2018: 2.660).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, Eggum-Wilkens, N. D., Haas, S. A., &amp; Kronenfeld, J. J. (2016). Estimating the co-development of cognitive decline and physical mobility limitations in older U.S. adults.</w:t>
      </w:r>
      <w:r>
        <w:t xml:space="preserve"> </w:t>
      </w:r>
      <w:r>
        <w:rPr>
          <w:iCs/>
          <w:i/>
        </w:rPr>
        <w:t xml:space="preserve">Demography</w:t>
      </w:r>
      <w:r>
        <w:t xml:space="preserve">,</w:t>
      </w:r>
      <w:r>
        <w:t xml:space="preserve"> </w:t>
      </w:r>
      <w:r>
        <w:rPr>
          <w:iCs/>
          <w:i/>
        </w:rPr>
        <w:t xml:space="preserve">53</w:t>
      </w:r>
      <w:r>
        <w:t xml:space="preserve">(2), 337-364.</w:t>
      </w:r>
      <w:r>
        <w:t xml:space="preserve"> </w:t>
      </w:r>
      <w:hyperlink r:id="rId43">
        <w:r>
          <w:rPr>
            <w:rStyle w:val="Hyperlink"/>
          </w:rPr>
          <w:t xml:space="preserve">https://doi.org/10.1007/s13524-016-0458-x</w:t>
        </w:r>
      </w:hyperlink>
      <w:r>
        <w:t xml:space="preserve"> </w:t>
      </w:r>
      <w:r>
        <w:t xml:space="preserve">(Impact factor, 2016: 2.802).</w:t>
      </w:r>
    </w:p>
    <w:p>
      <w:pPr>
        <w:numPr>
          <w:ilvl w:val="0"/>
          <w:numId w:val="1006"/>
        </w:numPr>
      </w:pPr>
      <w:r>
        <w:t xml:space="preserve">Schaefer, D. R., Haas, S. A.,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(2012). A dynamic model of U.S. adolescents’ smoking and friendship networks.</w:t>
      </w:r>
      <w:r>
        <w:t xml:space="preserve"> </w:t>
      </w:r>
      <w:r>
        <w:rPr>
          <w:iCs/>
          <w:i/>
        </w:rPr>
        <w:t xml:space="preserve">American Journal of Public Health</w:t>
      </w:r>
      <w:r>
        <w:t xml:space="preserve">,</w:t>
      </w:r>
      <w:r>
        <w:t xml:space="preserve"> </w:t>
      </w:r>
      <w:r>
        <w:rPr>
          <w:iCs/>
          <w:i/>
        </w:rPr>
        <w:t xml:space="preserve">102</w:t>
      </w:r>
      <w:r>
        <w:t xml:space="preserve">(6), e12-e18.</w:t>
      </w:r>
      <w:r>
        <w:t xml:space="preserve"> </w:t>
      </w:r>
      <w:hyperlink r:id="rId44">
        <w:r>
          <w:rPr>
            <w:rStyle w:val="Hyperlink"/>
            <w:u w:val="single"/>
          </w:rPr>
          <w:t xml:space="preserve">https://</w:t>
        </w:r>
      </w:hyperlink>
      <w:r>
        <w:t xml:space="preserve"> </w:t>
      </w:r>
      <w:hyperlink r:id="rId45">
        <w:r>
          <w:rPr>
            <w:rStyle w:val="Hyperlink"/>
          </w:rPr>
          <w:t xml:space="preserve">doi.org/10.2105/AJPH.2012.300705</w:t>
        </w:r>
      </w:hyperlink>
      <w:r>
        <w:t xml:space="preserve"> </w:t>
      </w:r>
      <w:r>
        <w:t xml:space="preserve">(Impact factor, 2012: 3.930).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(2011). Predicting rapid DUI recidivism using the Driver Risk Inventory on a state-wide sample of Floridian DUI offenders.</w:t>
      </w:r>
      <w:r>
        <w:t xml:space="preserve"> </w:t>
      </w:r>
      <w:r>
        <w:rPr>
          <w:iCs/>
          <w:i/>
        </w:rPr>
        <w:t xml:space="preserve">Drug and Alcohol Dependence</w:t>
      </w:r>
      <w:r>
        <w:t xml:space="preserve">,</w:t>
      </w:r>
      <w:r>
        <w:t xml:space="preserve"> </w:t>
      </w:r>
      <w:r>
        <w:rPr>
          <w:iCs/>
          <w:i/>
        </w:rPr>
        <w:t xml:space="preserve">118</w:t>
      </w:r>
      <w:r>
        <w:t xml:space="preserve">(2), 423-429.</w:t>
      </w:r>
      <w:r>
        <w:t xml:space="preserve"> </w:t>
      </w:r>
      <w:hyperlink r:id="rId46">
        <w:r>
          <w:rPr>
            <w:rStyle w:val="Hyperlink"/>
          </w:rPr>
          <w:t xml:space="preserve">https://doi.org/10.1016/j.drugalcdep.2011.05.006</w:t>
        </w:r>
      </w:hyperlink>
      <w:r>
        <w:t xml:space="preserve"> </w:t>
      </w:r>
      <w:r>
        <w:t xml:space="preserve">(Impact factor, 2011: 3.383).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(2011). Predicting multiple DUI offenders using the Florida DRI.</w:t>
      </w:r>
      <w:r>
        <w:t xml:space="preserve"> </w:t>
      </w:r>
      <w:r>
        <w:rPr>
          <w:iCs/>
          <w:i/>
        </w:rPr>
        <w:t xml:space="preserve">Substance Use &amp; Misuse</w:t>
      </w:r>
      <w:r>
        <w:t xml:space="preserve">,</w:t>
      </w:r>
      <w:r>
        <w:t xml:space="preserve"> </w:t>
      </w:r>
      <w:r>
        <w:rPr>
          <w:iCs/>
          <w:i/>
        </w:rPr>
        <w:t xml:space="preserve">46</w:t>
      </w:r>
      <w:r>
        <w:t xml:space="preserve">(5), 696-703.</w:t>
      </w:r>
      <w:r>
        <w:t xml:space="preserve"> </w:t>
      </w:r>
      <w:hyperlink r:id="rId47">
        <w:r>
          <w:rPr>
            <w:rStyle w:val="Hyperlink"/>
          </w:rPr>
          <w:t xml:space="preserve">https://doi.org/10.3109/10826084.2010.529629</w:t>
        </w:r>
      </w:hyperlink>
      <w:r>
        <w:t xml:space="preserve"> </w:t>
      </w:r>
      <w:r>
        <w:t xml:space="preserve">(Impact factor, 2011: 1.104).</w:t>
      </w:r>
    </w:p>
    <w:p>
      <w:pPr>
        <w:numPr>
          <w:ilvl w:val="0"/>
          <w:numId w:val="1006"/>
        </w:numPr>
      </w:pPr>
      <w:r>
        <w:t xml:space="preserve">Haas, S. A.,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(2010). What do retrospective subjective reports of childhood health capture? Evidence from the Wisconsin Longitudinal Study.</w:t>
      </w:r>
      <w:r>
        <w:t xml:space="preserve"> </w:t>
      </w:r>
      <w:r>
        <w:rPr>
          <w:iCs/>
          <w:i/>
        </w:rPr>
        <w:t xml:space="preserve">Research on Aging</w:t>
      </w:r>
      <w:r>
        <w:t xml:space="preserve">,</w:t>
      </w:r>
      <w:r>
        <w:t xml:space="preserve"> </w:t>
      </w:r>
      <w:r>
        <w:rPr>
          <w:iCs/>
          <w:i/>
        </w:rPr>
        <w:t xml:space="preserve">32</w:t>
      </w:r>
      <w:r>
        <w:t xml:space="preserve">(6), 698-714.</w:t>
      </w:r>
      <w:r>
        <w:t xml:space="preserve"> </w:t>
      </w:r>
      <w:hyperlink r:id="rId48">
        <w:r>
          <w:rPr>
            <w:rStyle w:val="Hyperlink"/>
          </w:rPr>
          <w:t xml:space="preserve">https://doi.org/10.1177/0164027510379347</w:t>
        </w:r>
      </w:hyperlink>
      <w:r>
        <w:t xml:space="preserve"> </w:t>
      </w:r>
      <w:r>
        <w:t xml:space="preserve">(Impact factor, 2010: 1.290).</w:t>
      </w:r>
    </w:p>
    <w:p>
      <w:pPr>
        <w:pStyle w:val="FirstParagraph"/>
      </w:pPr>
      <w:r>
        <w:rPr>
          <w:bCs/>
          <w:b/>
        </w:rPr>
        <w:t xml:space="preserve">Non-refereed Articles</w:t>
      </w:r>
    </w:p>
    <w:p>
      <w:pPr>
        <w:numPr>
          <w:ilvl w:val="0"/>
          <w:numId w:val="1007"/>
        </w:numPr>
      </w:pPr>
      <w:r>
        <w:t xml:space="preserve">Kronenfeld, J. J., Keith, V.,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&amp; Ayers, S. (2010). Report of survey of sociologists with interests in mental health and medical sociology regarding health policy issues.</w:t>
      </w:r>
      <w:r>
        <w:t xml:space="preserve"> </w:t>
      </w:r>
      <w:r>
        <w:rPr>
          <w:iCs/>
          <w:i/>
        </w:rPr>
        <w:t xml:space="preserve">American Sociological Association Mental Health Section Newsletter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, 6-7.</w:t>
      </w:r>
    </w:p>
    <w:p>
      <w:pPr>
        <w:numPr>
          <w:ilvl w:val="0"/>
          <w:numId w:val="1007"/>
        </w:numPr>
      </w:pPr>
      <w:r>
        <w:t xml:space="preserve">Kronenfeld, J. J., Keith, V.,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&amp; Ayers, S. (2009). Report on survey of medical sociologists regarding health policy issues.</w:t>
      </w:r>
      <w:r>
        <w:t xml:space="preserve"> </w:t>
      </w:r>
      <w:r>
        <w:rPr>
          <w:iCs/>
          <w:i/>
        </w:rPr>
        <w:t xml:space="preserve">American Sociological Association Medical Sociology Newsletter</w:t>
      </w:r>
      <w:r>
        <w:t xml:space="preserve">,</w:t>
      </w:r>
      <w:r>
        <w:t xml:space="preserve"> </w:t>
      </w:r>
      <w:r>
        <w:rPr>
          <w:iCs/>
          <w:i/>
        </w:rPr>
        <w:t xml:space="preserve">45</w:t>
      </w:r>
      <w:r>
        <w:t xml:space="preserve">, 12-14.</w:t>
      </w:r>
    </w:p>
    <w:p>
      <w:pPr>
        <w:pStyle w:val="FirstParagraph"/>
      </w:pPr>
      <w:r>
        <w:rPr>
          <w:bCs/>
          <w:b/>
        </w:rPr>
        <w:t xml:space="preserve">Reports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Bishop, N. J.</w:t>
      </w:r>
      <w:r>
        <w:t xml:space="preserve">, Torres, C., &amp; Gupta, S. (2014).</w:t>
      </w:r>
      <w:r>
        <w:t xml:space="preserve"> </w:t>
      </w:r>
      <w:r>
        <w:rPr>
          <w:iCs/>
          <w:i/>
        </w:rPr>
        <w:t xml:space="preserve">Arizona Health Status and Vital Statistics, 2013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https://pub.azdhs.gov/health-stats/report/ahs/ahs2013/index.php</w:t>
        </w:r>
      </w:hyperlink>
    </w:p>
    <w:p>
      <w:pPr>
        <w:numPr>
          <w:ilvl w:val="0"/>
          <w:numId w:val="1008"/>
        </w:numPr>
      </w:pPr>
      <w:r>
        <w:rPr>
          <w:bCs/>
          <w:b/>
        </w:rPr>
        <w:t xml:space="preserve">Bishop, N. J.</w:t>
      </w:r>
      <w:r>
        <w:t xml:space="preserve">, &amp; Hall, B. (2014).</w:t>
      </w:r>
      <w:r>
        <w:t xml:space="preserve"> </w:t>
      </w:r>
      <w:r>
        <w:rPr>
          <w:iCs/>
          <w:i/>
        </w:rPr>
        <w:t xml:space="preserve">Aging in Arizona: Health Status of Older Arizonans.</w:t>
      </w:r>
      <w:r>
        <w:t xml:space="preserve"> </w:t>
      </w:r>
      <w:hyperlink r:id="rId50">
        <w:r>
          <w:rPr>
            <w:rStyle w:val="Hyperlink"/>
          </w:rPr>
          <w:t xml:space="preserve">https://pub.azdhs.gov/health-stats/report/aging/aia-report.pdf</w:t>
        </w:r>
      </w:hyperlink>
    </w:p>
    <w:p>
      <w:pPr>
        <w:numPr>
          <w:ilvl w:val="0"/>
          <w:numId w:val="1008"/>
        </w:numPr>
      </w:pPr>
      <w:r>
        <w:rPr>
          <w:bCs/>
          <w:b/>
        </w:rPr>
        <w:t xml:space="preserve">Bishop, N. J.</w:t>
      </w:r>
      <w:r>
        <w:t xml:space="preserve">, Torres, C., &amp; Gupta, S. (2014).</w:t>
      </w:r>
      <w:r>
        <w:t xml:space="preserve"> </w:t>
      </w:r>
      <w:r>
        <w:rPr>
          <w:iCs/>
          <w:i/>
        </w:rPr>
        <w:t xml:space="preserve">Differences in Health Status among Racial/Ethnic Groups, Arizona, 2011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https://pub.azdhs.gov/health-stats/report/dhsag/dhsag11/ethnic11.pdf</w:t>
        </w:r>
      </w:hyperlink>
    </w:p>
    <w:p>
      <w:pPr>
        <w:numPr>
          <w:ilvl w:val="0"/>
          <w:numId w:val="1008"/>
        </w:numPr>
      </w:pPr>
      <w:r>
        <w:rPr>
          <w:bCs/>
          <w:b/>
        </w:rPr>
        <w:t xml:space="preserve">Bishop, N. J.</w:t>
      </w:r>
      <w:r>
        <w:t xml:space="preserve">, Torres, C., &amp; Gupta, S. (2014).</w:t>
      </w:r>
      <w:r>
        <w:t xml:space="preserve"> </w:t>
      </w:r>
      <w:r>
        <w:rPr>
          <w:iCs/>
          <w:i/>
        </w:rPr>
        <w:t xml:space="preserve">Health Status Profile of American Indians in Arizona, 2012 Data Book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https://pub.azdhs.gov/e-books/american-indians/az-american-</w:t>
        </w:r>
      </w:hyperlink>
      <w:r>
        <w:t xml:space="preserve"> </w:t>
      </w:r>
      <w:hyperlink r:id="rId52">
        <w:r>
          <w:rPr>
            <w:rStyle w:val="Hyperlink"/>
          </w:rPr>
          <w:t xml:space="preserve">indians-2012/files/assets/common/downloads/HSAM%202012.pdf</w:t>
        </w:r>
      </w:hyperlink>
    </w:p>
    <w:p>
      <w:pPr>
        <w:numPr>
          <w:ilvl w:val="0"/>
          <w:numId w:val="1008"/>
        </w:numPr>
      </w:pPr>
      <w:r>
        <w:rPr>
          <w:bCs/>
          <w:b/>
        </w:rPr>
        <w:t xml:space="preserve">Bishop, N. J.</w:t>
      </w:r>
      <w:r>
        <w:t xml:space="preserve">, Torres, C., &amp; Gupta, S. (2013).</w:t>
      </w:r>
      <w:r>
        <w:t xml:space="preserve"> </w:t>
      </w:r>
      <w:r>
        <w:rPr>
          <w:iCs/>
          <w:i/>
        </w:rPr>
        <w:t xml:space="preserve">Arizona Health Status and Vital Statistics, 2012</w:t>
      </w:r>
      <w:r>
        <w:t xml:space="preserve">.</w:t>
      </w:r>
      <w:r>
        <w:t xml:space="preserve"> </w:t>
      </w:r>
      <w:hyperlink r:id="rId53">
        <w:r>
          <w:rPr>
            <w:rStyle w:val="Hyperlink"/>
          </w:rPr>
          <w:t xml:space="preserve">https://pub.azdhs.gov/health-stats/report/ahs/ahs2012/index.php</w:t>
        </w:r>
      </w:hyperlink>
    </w:p>
    <w:p>
      <w:pPr>
        <w:pStyle w:val="FirstParagraph"/>
      </w:pPr>
      <w:r>
        <w:rPr>
          <w:bCs/>
          <w:b/>
        </w:rPr>
        <w:t xml:space="preserve">Papers Presented at Professional Meetings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(2023, November).</w:t>
      </w:r>
      <w:r>
        <w:t xml:space="preserve"> </w:t>
      </w:r>
      <w:r>
        <w:rPr>
          <w:iCs/>
          <w:i/>
        </w:rPr>
        <w:t xml:space="preserve">Synthesis and Application of Quantitative Methods for Modeling Change in Multimorbidity and Related Health Domains.</w:t>
      </w:r>
      <w:r>
        <w:t xml:space="preserve"> </w:t>
      </w:r>
      <w:r>
        <w:t xml:space="preserve">Symposium Chair, Gerontological Society of America’s annual meeting, Tampa FL</w:t>
      </w:r>
      <w:r>
        <w:rPr>
          <w:iCs/>
          <w:i/>
        </w:rPr>
        <w:t xml:space="preserve">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Bishop, N. J.</w:t>
      </w:r>
      <w:r>
        <w:t xml:space="preserve">, Nagel, C., Botoseneanu, A., Allore, H., Newsom, J. T., Dorr, D., &amp; Quiñones, A. R. (2023, November).</w:t>
      </w:r>
      <w:r>
        <w:t xml:space="preserve"> </w:t>
      </w:r>
      <w:r>
        <w:rPr>
          <w:iCs/>
          <w:i/>
        </w:rPr>
        <w:t xml:space="preserve">Longitudinal Methods for Assessing Progression of Multimorbidity and Related Health Outcomes.</w:t>
      </w:r>
      <w:r>
        <w:t xml:space="preserve"> </w:t>
      </w:r>
      <w:r>
        <w:t xml:space="preserve">Paper presented at the Gerontological Society of America’s annual meeting, Tampa, FL.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Bishop, N. J.</w:t>
      </w:r>
      <w:r>
        <w:t xml:space="preserve">, Haas, S. A., &amp; Quiñones, A. R. (2023, November).</w:t>
      </w:r>
      <w:r>
        <w:t xml:space="preserve"> </w:t>
      </w:r>
      <w:r>
        <w:rPr>
          <w:iCs/>
          <w:i/>
        </w:rPr>
        <w:t xml:space="preserve">Emerging Cohort Disparities in Multimorbidity in US Adults Entering Early Older Adulthood</w:t>
      </w:r>
      <w:r>
        <w:t xml:space="preserve">. Paper presented at the Gerontological Society of America’s annual meeting, Tampa, FL.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Bishop, N. J.</w:t>
      </w:r>
      <w:r>
        <w:t xml:space="preserve">, Haas, S. A., &amp; Quiñones, A. R. (2022, November).</w:t>
      </w:r>
      <w:r>
        <w:t xml:space="preserve"> </w:t>
      </w:r>
      <w:r>
        <w:rPr>
          <w:iCs/>
          <w:i/>
        </w:rPr>
        <w:t xml:space="preserve">Cohort Effects in Multimorbidity among Older U.S. Adults: Differences by Race/ethnicity and Nativity</w:t>
      </w:r>
      <w:r>
        <w:t xml:space="preserve">. Paper presented at the Gerontological Society of America’s annual meeting, Indianapolis, IN.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Bishop, N. J.</w:t>
      </w:r>
      <w:r>
        <w:t xml:space="preserve">, Haas, S. A., &amp; Quiñones, A. R. (2021, November).</w:t>
      </w:r>
      <w:r>
        <w:t xml:space="preserve"> </w:t>
      </w:r>
      <w:r>
        <w:rPr>
          <w:iCs/>
          <w:i/>
        </w:rPr>
        <w:t xml:space="preserve">Birth Cohort Differences in Multimorbidity Burden among Aging US Adults</w:t>
      </w:r>
      <w:r>
        <w:t xml:space="preserve">. Paper presented at the Gerontological Society of America’s annual meeting, virtual.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Bishop, N. J.</w:t>
      </w:r>
      <w:r>
        <w:t xml:space="preserve">, &amp; Zhu, J. (2021, June).</w:t>
      </w:r>
      <w:r>
        <w:t xml:space="preserve"> </w:t>
      </w:r>
      <w:r>
        <w:rPr>
          <w:iCs/>
          <w:i/>
        </w:rPr>
        <w:t xml:space="preserve">Investigating Racial/Ethnic Disparities in the Association between AHEI 2010 and Change in Cystatin C in a Representative Sample of Older Americans</w:t>
      </w:r>
      <w:r>
        <w:t xml:space="preserve">. Paper presented at the American Society of Nutrition virtual meeting, United States.</w:t>
      </w:r>
    </w:p>
    <w:p>
      <w:pPr>
        <w:numPr>
          <w:ilvl w:val="0"/>
          <w:numId w:val="1009"/>
        </w:numPr>
      </w:pPr>
      <w:r>
        <w:t xml:space="preserve">Page, J. (Presenting)*, Crixell, S. L., Markides, B. R.*,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&amp; Biediger Friedman, L. M.(2017, April).</w:t>
      </w:r>
      <w:r>
        <w:t xml:space="preserve"> </w:t>
      </w:r>
      <w:r>
        <w:rPr>
          <w:iCs/>
          <w:i/>
        </w:rPr>
        <w:t xml:space="preserve">Comparison of Healthy Eating Index-2010 Scores of Preschool-Aged Children in a High-Risk Community to Those of an Age-Matched National Sample (NHANES 2009-2012)</w:t>
      </w:r>
      <w:r>
        <w:t xml:space="preserve">. Paper presented at the Experimental Biology 2017 Conference.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(2011, March).</w:t>
      </w:r>
      <w:r>
        <w:t xml:space="preserve"> </w:t>
      </w:r>
      <w:r>
        <w:rPr>
          <w:iCs/>
          <w:i/>
        </w:rPr>
        <w:t xml:space="preserve">Examining Socioeconomic Variation in the Co-Evolution of Cognitive Decline and Functional Limitations among the Oldest Old</w:t>
      </w:r>
      <w:r>
        <w:t xml:space="preserve">. Paper Presented at the Population Association of America’s annual meeting.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(2010, April).</w:t>
      </w:r>
      <w:r>
        <w:t xml:space="preserve"> </w:t>
      </w:r>
      <w:r>
        <w:rPr>
          <w:iCs/>
          <w:i/>
        </w:rPr>
        <w:t xml:space="preserve">Exploring Disparities in the Cognitive Functioning of Older Americans Using Growth Curve Selection Modeling: Do Health Behaviors Play a Role?</w:t>
      </w:r>
      <w:r>
        <w:t xml:space="preserve"> </w:t>
      </w:r>
      <w:r>
        <w:t xml:space="preserve">Paper presented at the Population Association of America’s annual meeting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Bishop, N. J.</w:t>
      </w:r>
      <w:r>
        <w:t xml:space="preserve">, &amp; Haas, S. A. (2009, April).</w:t>
      </w:r>
      <w:r>
        <w:t xml:space="preserve"> </w:t>
      </w:r>
      <w:r>
        <w:rPr>
          <w:iCs/>
          <w:i/>
        </w:rPr>
        <w:t xml:space="preserve">The Influence of Access: Longitudinal BMI Change and Socioeconomic Status in the Health and Retirement Study,1992-2006.</w:t>
      </w:r>
      <w:r>
        <w:t xml:space="preserve"> </w:t>
      </w:r>
      <w:r>
        <w:t xml:space="preserve">Paper presented at the Population Association of America’s annual meeting.</w:t>
      </w:r>
    </w:p>
    <w:p>
      <w:pPr>
        <w:numPr>
          <w:ilvl w:val="0"/>
          <w:numId w:val="1009"/>
        </w:numPr>
      </w:pPr>
      <w:r>
        <w:t xml:space="preserve">Haas, S. A.,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(2009, April).</w:t>
      </w:r>
      <w:r>
        <w:t xml:space="preserve"> </w:t>
      </w:r>
      <w:r>
        <w:rPr>
          <w:iCs/>
          <w:i/>
        </w:rPr>
        <w:t xml:space="preserve">What Do Retrospective Subjective Reports of Childhood Health Capture? Evidence from the WLS and the PSID</w:t>
      </w:r>
      <w:r>
        <w:t xml:space="preserve">. Paper presented at the Population Association of America’s annual meeting.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(2008, April).</w:t>
      </w:r>
      <w:r>
        <w:t xml:space="preserve"> </w:t>
      </w:r>
      <w:r>
        <w:rPr>
          <w:iCs/>
          <w:i/>
        </w:rPr>
        <w:t xml:space="preserve">Stretch to Fit: Yoga and the Contemporary Health Lifestyle</w:t>
      </w:r>
      <w:r>
        <w:t xml:space="preserve">. Paper presented at the Pacific Sociological Association’s annual meeting.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(2007, April)</w:t>
      </w:r>
      <w:r>
        <w:t xml:space="preserve"> </w:t>
      </w:r>
      <w:r>
        <w:rPr>
          <w:iCs/>
          <w:i/>
        </w:rPr>
        <w:t xml:space="preserve">Variations on Gender Modeling in the Televised Kitchen</w:t>
      </w:r>
      <w:r>
        <w:t xml:space="preserve">. Paper presented at the Pacific Sociological Association’s annual meeting.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(2005, April),</w:t>
      </w:r>
      <w:r>
        <w:t xml:space="preserve"> </w:t>
      </w:r>
      <w:r>
        <w:rPr>
          <w:iCs/>
          <w:i/>
        </w:rPr>
        <w:t xml:space="preserve">Kick It up a Notch: Masculinity, Hierarchy and the Televised Kitchen</w:t>
      </w:r>
      <w:r>
        <w:t xml:space="preserve">. Paper presented at the Pacific Sociological Association’s annual meeting.</w:t>
      </w:r>
    </w:p>
    <w:p>
      <w:pPr>
        <w:pStyle w:val="FirstParagraph"/>
      </w:pPr>
      <w:r>
        <w:rPr>
          <w:bCs/>
          <w:b/>
        </w:rPr>
        <w:t xml:space="preserve">Posters Presented at Professional Meetings</w:t>
      </w:r>
    </w:p>
    <w:p>
      <w:pPr>
        <w:numPr>
          <w:ilvl w:val="0"/>
          <w:numId w:val="1010"/>
        </w:numPr>
      </w:pPr>
      <w:r>
        <w:t xml:space="preserve">Bishop, N. J., Botoseneanu, A., Markwardt, S., Zambrano, P. L.*, Walker, K.*, &amp; Quiñones, A. (2023, November).</w:t>
      </w:r>
      <w:r>
        <w:t xml:space="preserve"> </w:t>
      </w:r>
      <w:r>
        <w:rPr>
          <w:iCs/>
          <w:i/>
        </w:rPr>
        <w:t xml:space="preserve">Multimorbidity Patterns and Cognitive Change among Mexican Older Adults in the Mexican Health and Aging Study.</w:t>
      </w:r>
      <w:r>
        <w:t xml:space="preserve"> </w:t>
      </w:r>
      <w:r>
        <w:t xml:space="preserve">Poster presented at the Gerontological Society of America’s annual meeting, Tampa, FL.</w:t>
      </w:r>
    </w:p>
    <w:p>
      <w:pPr>
        <w:numPr>
          <w:ilvl w:val="0"/>
          <w:numId w:val="1010"/>
        </w:numPr>
      </w:pPr>
      <w:r>
        <w:t xml:space="preserve">Tucker, J.*,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Wang, K. &amp; Phillips, F. (2021, November).</w:t>
      </w:r>
      <w:r>
        <w:t xml:space="preserve"> </w:t>
      </w:r>
      <w:r>
        <w:rPr>
          <w:iCs/>
          <w:i/>
        </w:rPr>
        <w:t xml:space="preserve">Quality of Social Relationships Moderates the Impact of Marital Transitions on Depression for Older Adult Women.</w:t>
      </w:r>
      <w:r>
        <w:t xml:space="preserve"> </w:t>
      </w:r>
      <w:r>
        <w:t xml:space="preserve">Poster presented at the Gerontological Society of America’s annual meeting, virtual</w:t>
      </w:r>
      <w:r>
        <w:rPr>
          <w:iCs/>
          <w:i/>
        </w:rP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Bishop, N. J.</w:t>
      </w:r>
      <w:r>
        <w:t xml:space="preserve">, Ullevig, S., Wang, K., Zuniga, K., &amp; Tucker, J.* (2020, November).</w:t>
      </w:r>
      <w:r>
        <w:t xml:space="preserve"> </w:t>
      </w:r>
      <w:r>
        <w:rPr>
          <w:iCs/>
          <w:i/>
        </w:rPr>
        <w:t xml:space="preserve">Dietary Quality Predicts Short Term Change in Mobility Limitations in Older US Adults.</w:t>
      </w:r>
      <w:r>
        <w:t xml:space="preserve"> </w:t>
      </w:r>
      <w:r>
        <w:t xml:space="preserve">Poster presented at the Gerontological Society of America’s annual meeting, virtual.</w:t>
      </w:r>
    </w:p>
    <w:p>
      <w:pPr>
        <w:numPr>
          <w:ilvl w:val="0"/>
          <w:numId w:val="1010"/>
        </w:numPr>
      </w:pPr>
      <w:r>
        <w:t xml:space="preserve">Tucker, J.*,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(2020, November).</w:t>
      </w:r>
      <w:r>
        <w:t xml:space="preserve"> </w:t>
      </w:r>
      <w:r>
        <w:rPr>
          <w:iCs/>
          <w:i/>
        </w:rPr>
        <w:t xml:space="preserve">Social Support and Depressive Outcomes in Bereaved Older Adults: An Analysis of the Health and Retirement Study.</w:t>
      </w:r>
      <w:r>
        <w:t xml:space="preserve"> </w:t>
      </w:r>
      <w:r>
        <w:t xml:space="preserve">Poster presented at the Gerontological Society of America’s annual meeting, virtual.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(2020, June).</w:t>
      </w:r>
      <w:r>
        <w:t xml:space="preserve"> </w:t>
      </w:r>
      <w:r>
        <w:rPr>
          <w:iCs/>
          <w:i/>
        </w:rPr>
        <w:t xml:space="preserve">Estimating Sample Size Required to Establish an Association between Walnut Intake and Cognitive Change in Older Adults: An Application of Monte Carlo Power Analysis</w:t>
      </w:r>
      <w:r>
        <w:t xml:space="preserve">. Poster presented at the American Society of Nutrition virtual meeting, United States.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Bishop, N. J.</w:t>
      </w:r>
      <w:r>
        <w:t xml:space="preserve">, &amp; Zuniga, K. E. (2019, November).</w:t>
      </w:r>
      <w:r>
        <w:t xml:space="preserve"> </w:t>
      </w:r>
      <w:r>
        <w:rPr>
          <w:iCs/>
          <w:i/>
        </w:rPr>
        <w:t xml:space="preserve">Investigating Walnut Consumption and Cognitive Health in a Representative Sample of Older US Adults</w:t>
      </w:r>
      <w:r>
        <w:t xml:space="preserve">. Poster presented at the Gerontological Society of America’s annual meeting, Austin, TX, United States.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Bishop, N. J.</w:t>
      </w:r>
      <w:r>
        <w:t xml:space="preserve">, &amp; Wang, K. (2019, November).</w:t>
      </w:r>
      <w:r>
        <w:t xml:space="preserve"> </w:t>
      </w:r>
      <w:r>
        <w:rPr>
          <w:iCs/>
          <w:i/>
        </w:rPr>
        <w:t xml:space="preserve">Parallel Development of Memory, Disability, and Comorbidity in US Adults Age 65 and Older.</w:t>
      </w:r>
      <w:r>
        <w:t xml:space="preserve"> </w:t>
      </w:r>
      <w:r>
        <w:t xml:space="preserve">Poster presented at the Gerontological Society of America’s annual meeting, Austin, TX, United States.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Bishop, N. J.</w:t>
      </w:r>
      <w:r>
        <w:t xml:space="preserve">, Zuniga, K. E., &amp; Noon, B.* (2019, June).</w:t>
      </w:r>
      <w:r>
        <w:t xml:space="preserve"> </w:t>
      </w:r>
      <w:r>
        <w:rPr>
          <w:iCs/>
          <w:i/>
        </w:rPr>
        <w:t xml:space="preserve">Egg Consumption, Multi-Domain Cognitive Performance, and Short-Term Cognitive Change in a Representative Sample of Older U.S. Adults</w:t>
      </w:r>
      <w:r>
        <w:t xml:space="preserve">. Poster presented at the American Society of Nutrition, Baltimore, MD, United States.</w:t>
      </w:r>
    </w:p>
    <w:p>
      <w:pPr>
        <w:numPr>
          <w:ilvl w:val="0"/>
          <w:numId w:val="1010"/>
        </w:numPr>
      </w:pPr>
      <w:r>
        <w:t xml:space="preserve">Turner, A.*, Zuniga, K.,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(2019, June).</w:t>
      </w:r>
      <w:r>
        <w:t xml:space="preserve"> </w:t>
      </w:r>
      <w:r>
        <w:rPr>
          <w:iCs/>
          <w:i/>
        </w:rPr>
        <w:t xml:space="preserve">Relationship between Dietary Lutein and Cognition in an Older Adult Population</w:t>
      </w:r>
      <w:r>
        <w:t xml:space="preserve">. Poster presented at the American Society of Nutrition, Baltimore, MD, United States.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Bishop, N. J.</w:t>
      </w:r>
      <w:r>
        <w:t xml:space="preserve">, Zuniga, K. E., &amp; Noon, B.* (2019, April).</w:t>
      </w:r>
      <w:r>
        <w:t xml:space="preserve"> </w:t>
      </w:r>
      <w:r>
        <w:rPr>
          <w:iCs/>
          <w:i/>
        </w:rPr>
        <w:t xml:space="preserve">Caloric Intake and Dietary Factors are Associated with Onset of Physical Disability and Mortality in a Representative Sample of Older Adults</w:t>
      </w:r>
      <w:r>
        <w:t xml:space="preserve">. Poster presented at the Population Association of America’s annual meeting, Austin, TX, United States.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Bishop, N. J.</w:t>
      </w:r>
      <w:r>
        <w:t xml:space="preserve">, &amp; Wang, K. (2018, April).</w:t>
      </w:r>
      <w:r>
        <w:t xml:space="preserve"> </w:t>
      </w:r>
      <w:r>
        <w:rPr>
          <w:iCs/>
          <w:i/>
        </w:rPr>
        <w:t xml:space="preserve">Food Insecurity, Chronic Disease Burden, and Mobility Limitations among Older U.S. Adults: Findings from the Health and Retirement Study and Health Care and Nutrition Study” Population Association of America</w:t>
      </w:r>
      <w:r>
        <w:t xml:space="preserve">. Poster presented at the Population Association of America’s annual meeting.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Bishop, N. J.</w:t>
      </w:r>
      <w:r>
        <w:t xml:space="preserve">, &amp; Wang, K. (2018, April).</w:t>
      </w:r>
      <w:r>
        <w:t xml:space="preserve"> </w:t>
      </w:r>
      <w:r>
        <w:rPr>
          <w:iCs/>
          <w:i/>
        </w:rPr>
        <w:t xml:space="preserve">Food Insecurity, Chronic Disease Burden, and Mobility Limitations among Older U.S. Adults: Findings from the Health and Retirement Study and Health Care and Nutrition Study” Population Association of America</w:t>
      </w:r>
      <w:r>
        <w:t xml:space="preserve">. Poster presented at the Population Association of America’s annual meeting.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Bishop, N. J.</w:t>
      </w:r>
      <w:r>
        <w:t xml:space="preserve">, &amp; Zuniga, K. E. (2017, November).</w:t>
      </w:r>
      <w:r>
        <w:t xml:space="preserve"> </w:t>
      </w:r>
      <w:r>
        <w:rPr>
          <w:iCs/>
          <w:i/>
        </w:rPr>
        <w:t xml:space="preserve">Empirically Derived Dietary Patterns and Cognitive Decline in Older Adults: An Application of Exploratory Factor Mixture Models</w:t>
      </w:r>
      <w:r>
        <w:t xml:space="preserve">. Poster presented at the American Public Health Association’s annual meeting, Atlanta, GA</w:t>
      </w:r>
    </w:p>
    <w:p>
      <w:pPr>
        <w:numPr>
          <w:ilvl w:val="0"/>
          <w:numId w:val="1010"/>
        </w:numPr>
      </w:pPr>
      <w:r>
        <w:t xml:space="preserve">Thornton, H., Biediger-Friedman, L. M.,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Abohosh, A.*, Alhado, M.*, Moyer, T.*, Powers, R.*, Royer, H.*, &amp; Silva, M.* (2017, March).</w:t>
      </w:r>
      <w:r>
        <w:t xml:space="preserve"> </w:t>
      </w:r>
      <w:r>
        <w:rPr>
          <w:iCs/>
          <w:i/>
        </w:rPr>
        <w:t xml:space="preserve">Pilot Study to Assess Food Security at a Large University in Central Texas</w:t>
      </w:r>
      <w:r>
        <w:t xml:space="preserve">. Poster presented at the Texas Association of Nutrition and Dietetics’ annual meeting.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Bishop, N. J.</w:t>
      </w:r>
      <w:r>
        <w:t xml:space="preserve">, &amp; Zuniga, K. E. (2016, November).</w:t>
      </w:r>
      <w:r>
        <w:t xml:space="preserve"> </w:t>
      </w:r>
      <w:r>
        <w:rPr>
          <w:iCs/>
          <w:i/>
        </w:rPr>
        <w:t xml:space="preserve">Identifying Diet Typologies and Predictors of Macronutrient Consumption among Aging Americans</w:t>
      </w:r>
      <w:r>
        <w:t xml:space="preserve">. Poster presented at the Gerontological Society of America’s annual meeting, New Orleans, LA.</w:t>
      </w:r>
    </w:p>
    <w:p>
      <w:pPr>
        <w:numPr>
          <w:ilvl w:val="0"/>
          <w:numId w:val="1010"/>
        </w:numPr>
      </w:pPr>
      <w:r>
        <w:t xml:space="preserve">Zuniga, K. E.,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(2016, March).</w:t>
      </w:r>
      <w:r>
        <w:t xml:space="preserve"> </w:t>
      </w:r>
      <w:r>
        <w:rPr>
          <w:iCs/>
          <w:i/>
        </w:rPr>
        <w:t xml:space="preserve">Cancer Treatment and Cognitive Decline in the Health and Retirement Study</w:t>
      </w:r>
      <w:r>
        <w:t xml:space="preserve">. Poster presented at the International Cancer and Cognition Task Force Conference, Netherlands.</w:t>
      </w:r>
    </w:p>
    <w:p>
      <w:pPr>
        <w:pStyle w:val="FirstParagraph"/>
      </w:pPr>
      <w:r>
        <w:rPr>
          <w:bCs/>
          <w:b/>
        </w:rPr>
        <w:t xml:space="preserve">Posters Presented at University Symposium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Bishop, N. J.</w:t>
      </w:r>
      <w:r>
        <w:t xml:space="preserve">, Ullevig, S., Wang, K., Zuniga, K., &amp; Tucker, J.* (2021, April).</w:t>
      </w:r>
      <w:r>
        <w:t xml:space="preserve"> </w:t>
      </w:r>
      <w:r>
        <w:rPr>
          <w:iCs/>
          <w:i/>
        </w:rPr>
        <w:t xml:space="preserve">Dietary Quality Predicts Short Term Change in Mobility Limitations in Older US Adults.</w:t>
      </w:r>
      <w:r>
        <w:t xml:space="preserve"> </w:t>
      </w:r>
      <w:r>
        <w:t xml:space="preserve">Poster presented at the Health Scholar Showcase, Texas State University.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Bishop, N. J.</w:t>
      </w:r>
      <w:r>
        <w:t xml:space="preserve">, Zuniga, K. E., &amp; Noon, B.* (2019, April).</w:t>
      </w:r>
      <w:r>
        <w:t xml:space="preserve"> </w:t>
      </w:r>
      <w:r>
        <w:rPr>
          <w:iCs/>
          <w:i/>
        </w:rPr>
        <w:t xml:space="preserve">Caloric Intake and Dietary Factors are Associated with Onset of Physical Disability and Mortality in a Representative Sample of Older Adults</w:t>
      </w:r>
      <w:r>
        <w:t xml:space="preserve">. Poster presented at the Health Scholar Showcase, Texas State University.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Bishop, N. J.</w:t>
      </w:r>
      <w:r>
        <w:t xml:space="preserve">, &amp; Wang, K. (2018, February).</w:t>
      </w:r>
      <w:r>
        <w:t xml:space="preserve"> </w:t>
      </w:r>
      <w:r>
        <w:rPr>
          <w:iCs/>
          <w:i/>
        </w:rPr>
        <w:t xml:space="preserve">Food Insecurity, Chronic Disease Burden, and Mobility Limitations among Older U.S. Adults: Findings from the Health and Retirement Study and Health Care and Nutrition Study.</w:t>
      </w:r>
      <w:r>
        <w:t xml:space="preserve"> </w:t>
      </w:r>
      <w:r>
        <w:t xml:space="preserve">Paper presented at the Health Scholar Showcase, Texas State University.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Bishop, N. J.</w:t>
      </w:r>
      <w:r>
        <w:t xml:space="preserve">, &amp; Zuniga, K. E. (2017, November).</w:t>
      </w:r>
      <w:r>
        <w:t xml:space="preserve"> </w:t>
      </w:r>
      <w:r>
        <w:rPr>
          <w:iCs/>
          <w:i/>
        </w:rPr>
        <w:t xml:space="preserve">Empirically-Derived Dietary Patterns and Cognitive Decline in Older Adults: An Application of Factor Mixture Models.</w:t>
      </w:r>
      <w:r>
        <w:t xml:space="preserve"> </w:t>
      </w:r>
      <w:r>
        <w:t xml:space="preserve">Paper presented at the FCS Food Day Research Symposium, Texas State University, School of Family and Consumer Sciences.</w:t>
      </w:r>
    </w:p>
    <w:p>
      <w:pPr>
        <w:numPr>
          <w:ilvl w:val="0"/>
          <w:numId w:val="1011"/>
        </w:numPr>
      </w:pPr>
      <w:r>
        <w:t xml:space="preserve">Biediger-Friedman, L., Thornton, H.,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Crowder, L.*, &amp; Varnell, K.* (2017, November).</w:t>
      </w:r>
      <w:r>
        <w:t xml:space="preserve"> </w:t>
      </w:r>
      <w:r>
        <w:rPr>
          <w:iCs/>
          <w:i/>
        </w:rPr>
        <w:t xml:space="preserve">There’s Nothing to Eat:” Food Security at Texas State University</w:t>
      </w:r>
      <w:r>
        <w:t xml:space="preserve">. Paper presented at the FCS Food Day Research Symposium, Texas State University, School of Family and Consumer Sciences.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Bishop, N. J.</w:t>
      </w:r>
      <w:r>
        <w:t xml:space="preserve">, &amp; Zuniga, K. E. (2017, February).</w:t>
      </w:r>
      <w:r>
        <w:t xml:space="preserve"> </w:t>
      </w:r>
      <w:r>
        <w:rPr>
          <w:iCs/>
          <w:i/>
        </w:rPr>
        <w:t xml:space="preserve">Identifying Diet Typologies and Predictors of Macronutrient Consumption among Aging Americans</w:t>
      </w:r>
      <w:r>
        <w:t xml:space="preserve">. Paper presented at the Health Scholar Showcase Texas State University.</w:t>
      </w:r>
    </w:p>
    <w:p>
      <w:pPr>
        <w:pStyle w:val="FirstParagraph"/>
      </w:pPr>
      <w:r>
        <w:rPr>
          <w:bCs/>
          <w:b/>
        </w:rPr>
        <w:t xml:space="preserve">Roundtables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Bishop, N. J.</w:t>
      </w:r>
      <w:r>
        <w:t xml:space="preserve">, &amp; Schaefer, D. R. (2009, August). American Sociological Association, annual meeting,</w:t>
      </w:r>
      <w:r>
        <w:t xml:space="preserve"> </w:t>
      </w:r>
      <w:r>
        <w:t xml:space="preserve">“</w:t>
      </w:r>
      <w:r>
        <w:t xml:space="preserve">The Academic Influence of the Adolescent Peer Group: How Does Variation in Social Network Capital Influence Individual Outcomes?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Invited Talks, Lectures, and Presentations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, &amp; Zuniga, K. (2019, July).</w:t>
      </w:r>
      <w:r>
        <w:t xml:space="preserve"> </w:t>
      </w:r>
      <w:r>
        <w:t xml:space="preserve">“</w:t>
      </w:r>
      <w:r>
        <w:t xml:space="preserve">Walnut Consumption and Cognitive Trajectories in a Representative Sample of Older U.S. Adults</w:t>
      </w:r>
      <w:r>
        <w:t xml:space="preserve">”</w:t>
      </w:r>
      <w:r>
        <w:t xml:space="preserve">. California Walnut Commission Health Research Conference.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, Tummala, P., &amp; Herrington, D. (2013, August).</w:t>
      </w:r>
      <w:r>
        <w:t xml:space="preserve"> </w:t>
      </w:r>
      <w:r>
        <w:t xml:space="preserve">“</w:t>
      </w:r>
      <w:r>
        <w:t xml:space="preserve">2013 Arizona State Health Assessment,</w:t>
      </w:r>
      <w:r>
        <w:t xml:space="preserve">”</w:t>
      </w:r>
      <w:r>
        <w:t xml:space="preserve"> </w:t>
      </w:r>
      <w:r>
        <w:t xml:space="preserve">University of Arizona Mel &amp; Enid Zuckerman College of Public Health.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(2012, June).</w:t>
      </w:r>
      <w:r>
        <w:t xml:space="preserve"> </w:t>
      </w:r>
      <w:r>
        <w:t xml:space="preserve">“</w:t>
      </w:r>
      <w:r>
        <w:t xml:space="preserve">Understanding the Arizona Department of Education’s 2012 A-F Letter Grade School Accountability System.</w:t>
      </w:r>
      <w:r>
        <w:t xml:space="preserve">”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(2011, October). Making Connections, Oklahoma Department of Mental Health and Substance Abuse Services, annual conference,</w:t>
      </w:r>
      <w:r>
        <w:t xml:space="preserve"> </w:t>
      </w:r>
      <w:r>
        <w:t xml:space="preserve">“</w:t>
      </w:r>
      <w:r>
        <w:t xml:space="preserve">Comparison of National DUI Data (and more!).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Presented Workshops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(2021, March). Department of Family and Consumer Sciences/College of Applied Arts faculty workshop,</w:t>
      </w:r>
      <w:r>
        <w:t xml:space="preserve"> </w:t>
      </w:r>
      <w:r>
        <w:t xml:space="preserve">“</w:t>
      </w:r>
      <w:r>
        <w:t xml:space="preserve">An Introduction to R and R Studio Cloud</w:t>
      </w:r>
      <w:r>
        <w:t xml:space="preserve">”</w:t>
      </w:r>
      <w:r>
        <w:t xml:space="preserve"> </w:t>
      </w:r>
      <w:r>
        <w:t xml:space="preserve">Texas State University.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(2015, October). Department of Family and Consumer Sciences faculty workshop,</w:t>
      </w:r>
      <w:r>
        <w:t xml:space="preserve"> </w:t>
      </w:r>
      <w:r>
        <w:t xml:space="preserve">“</w:t>
      </w:r>
      <w:r>
        <w:t xml:space="preserve">For Good (Latent) Measure: Guidelines in Scale Development</w:t>
      </w:r>
      <w:r>
        <w:t xml:space="preserve">”</w:t>
      </w:r>
      <w:r>
        <w:t xml:space="preserve"> </w:t>
      </w:r>
      <w:r>
        <w:t xml:space="preserve">Texas State University.</w:t>
      </w:r>
    </w:p>
    <w:p>
      <w:pPr>
        <w:pStyle w:val="FirstParagraph"/>
      </w:pPr>
      <w:r>
        <w:rPr>
          <w:bCs/>
          <w:b/>
        </w:rPr>
        <w:t xml:space="preserve">Scholarly / Creative Fellowships, Awards, Honors</w:t>
      </w:r>
    </w:p>
    <w:p>
      <w:pPr>
        <w:numPr>
          <w:ilvl w:val="0"/>
          <w:numId w:val="1015"/>
        </w:numPr>
      </w:pPr>
      <w:r>
        <w:t xml:space="preserve">College Achievement Award for Excellence, Scholarly/Creative Activities, Texas State University (2019).</w:t>
      </w:r>
    </w:p>
    <w:p>
      <w:pPr>
        <w:numPr>
          <w:ilvl w:val="0"/>
          <w:numId w:val="1015"/>
        </w:numPr>
      </w:pPr>
      <w:r>
        <w:t xml:space="preserve">Graduate Student Research Innovation Fellowship Award, Arizona State University, School of Social and Family Dynamics (2010).</w:t>
      </w:r>
    </w:p>
    <w:p>
      <w:pPr>
        <w:pStyle w:val="FirstParagraph"/>
      </w:pPr>
      <w:r>
        <w:rPr>
          <w:bCs/>
          <w:b/>
        </w:rPr>
        <w:t xml:space="preserve">Scholarly / Creative Professional Development Activities Attended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Introduction to R Tidyverse.</w:t>
      </w:r>
      <w:r>
        <w:t xml:space="preserve">”</w:t>
      </w:r>
      <w:r>
        <w:t xml:space="preserve"> </w:t>
      </w:r>
      <w:r>
        <w:t xml:space="preserve">ICPSR Summer Program in Quantitative Methods of Social Research (May 13, 2020 – May 15, 2020).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Quasi-Experimental Design and Analysis Workshop.</w:t>
      </w:r>
      <w:r>
        <w:t xml:space="preserve">”</w:t>
      </w:r>
      <w:r>
        <w:t xml:space="preserve"> </w:t>
      </w:r>
      <w:r>
        <w:t xml:space="preserve">(July 18, 2016 – July 22, 2016).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Structural Equation Modeling: A Second Course.</w:t>
      </w:r>
      <w:r>
        <w:t xml:space="preserve">”</w:t>
      </w:r>
      <w:r>
        <w:t xml:space="preserve"> </w:t>
      </w:r>
      <w:r>
        <w:t xml:space="preserve">(June 4, 2015 – June 6, 2015).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RAND Summer Institute,</w:t>
      </w:r>
      <w:r>
        <w:t xml:space="preserve">”</w:t>
      </w:r>
      <w:r>
        <w:t xml:space="preserve"> </w:t>
      </w:r>
      <w:r>
        <w:t xml:space="preserve">Mini-Medical School for Social Scientists/Demography, Economics, and Epidemiology of Aging. (2010).</w:t>
      </w:r>
    </w:p>
    <w:p>
      <w:pPr>
        <w:pStyle w:val="FirstParagraph"/>
      </w:pPr>
      <w:r>
        <w:rPr>
          <w:bCs/>
          <w:b/>
        </w:rPr>
        <w:t xml:space="preserve">Press Coverage</w:t>
      </w:r>
    </w:p>
    <w:p>
      <w:pPr>
        <w:numPr>
          <w:ilvl w:val="0"/>
          <w:numId w:val="1017"/>
        </w:numPr>
      </w:pPr>
      <w:r>
        <w:t xml:space="preserve">Media coverage of research. As of 02/28/2023, 61 news outlets, 4 blogs, 23 tweets.</w:t>
      </w:r>
      <w:r>
        <w:t xml:space="preserve"> </w:t>
      </w:r>
      <w:r>
        <w:t xml:space="preserve">“</w:t>
      </w:r>
      <w:r>
        <w:t xml:space="preserve">Cohort Trends in the Burden of Multiple Chronic Conditions among Aging U.S. Adults</w:t>
      </w:r>
      <w:r>
        <w:t xml:space="preserve">”</w:t>
      </w:r>
      <w:r>
        <w:t xml:space="preserve">.</w:t>
      </w:r>
      <w:r>
        <w:t xml:space="preserve"> </w:t>
      </w:r>
      <w:hyperlink r:id="rId54">
        <w:r>
          <w:rPr>
            <w:rStyle w:val="Hyperlink"/>
          </w:rPr>
          <w:t xml:space="preserve">https://oxfordjournals.altmetric.com/details/129352660/news</w:t>
        </w:r>
      </w:hyperlink>
    </w:p>
    <w:p>
      <w:pPr>
        <w:numPr>
          <w:ilvl w:val="0"/>
          <w:numId w:val="1017"/>
        </w:numPr>
      </w:pPr>
      <w:r>
        <w:t xml:space="preserve">Media coverage of research. verywellhealth.com.</w:t>
      </w:r>
      <w:r>
        <w:t xml:space="preserve"> </w:t>
      </w:r>
      <w:r>
        <w:t xml:space="preserve">“</w:t>
      </w:r>
      <w:r>
        <w:t xml:space="preserve">Walnuts May Support Brain Function in Older Adults, Study Shows</w:t>
      </w:r>
      <w:r>
        <w:t xml:space="preserve">”</w:t>
      </w:r>
      <w:r>
        <w:t xml:space="preserve">. Published September 24, 2020.</w:t>
      </w:r>
      <w:r>
        <w:t xml:space="preserve"> </w:t>
      </w:r>
      <w:hyperlink r:id="rId55">
        <w:r>
          <w:rPr>
            <w:rStyle w:val="Hyperlink"/>
          </w:rPr>
          <w:t xml:space="preserve">https://www.verywellhealth.com/walnut-consumption-supports-cognitive-function-5079159</w:t>
        </w:r>
      </w:hyperlink>
    </w:p>
    <w:p>
      <w:pPr>
        <w:numPr>
          <w:ilvl w:val="0"/>
          <w:numId w:val="1017"/>
        </w:numPr>
      </w:pPr>
      <w:r>
        <w:t xml:space="preserve">University press release.</w:t>
      </w:r>
      <w:r>
        <w:t xml:space="preserve"> </w:t>
      </w:r>
      <w:r>
        <w:t xml:space="preserve">“</w:t>
      </w:r>
      <w:r>
        <w:t xml:space="preserve">Texas State study shows walnut consumption associated with better cognitive health</w:t>
      </w:r>
      <w:r>
        <w:t xml:space="preserve">”</w:t>
      </w:r>
      <w:r>
        <w:t xml:space="preserve">. Published July 28, 2020.</w:t>
      </w:r>
      <w:r>
        <w:t xml:space="preserve"> </w:t>
      </w:r>
      <w:hyperlink r:id="rId56">
        <w:r>
          <w:rPr>
            <w:rStyle w:val="Hyperlink"/>
          </w:rPr>
          <w:t xml:space="preserve">https://news.txstate.edu/research</w:t>
        </w:r>
      </w:hyperlink>
      <w:r>
        <w:t xml:space="preserve"> </w:t>
      </w:r>
      <w:hyperlink r:id="rId56">
        <w:r>
          <w:rPr>
            <w:rStyle w:val="Hyperlink"/>
          </w:rPr>
          <w:t xml:space="preserve">and-</w:t>
        </w:r>
      </w:hyperlink>
      <w:r>
        <w:t xml:space="preserve"> </w:t>
      </w:r>
      <w:hyperlink r:id="rId56">
        <w:r>
          <w:rPr>
            <w:rStyle w:val="Hyperlink"/>
          </w:rPr>
          <w:t xml:space="preserve">innovation/2020/texas-state-study-shows-walnut-consumption-associated-with-better-cognitive-</w:t>
        </w:r>
      </w:hyperlink>
      <w:r>
        <w:t xml:space="preserve"> </w:t>
      </w:r>
      <w:hyperlink r:id="rId56">
        <w:r>
          <w:rPr>
            <w:rStyle w:val="Hyperlink"/>
          </w:rPr>
          <w:t xml:space="preserve">health.html</w:t>
        </w:r>
      </w:hyperlink>
    </w:p>
    <w:bookmarkEnd w:id="57"/>
    <w:bookmarkStart w:id="58" w:name="teaching"/>
    <w:p>
      <w:pPr>
        <w:pStyle w:val="Heading1"/>
      </w:pPr>
      <w:r>
        <w:rPr>
          <w:bCs/>
          <w:b/>
        </w:rPr>
        <w:t xml:space="preserve">Teaching</w:t>
      </w:r>
    </w:p>
    <w:p>
      <w:pPr>
        <w:pStyle w:val="FirstParagraph"/>
      </w:pPr>
      <w:r>
        <w:rPr>
          <w:bCs/>
          <w:b/>
        </w:rPr>
        <w:t xml:space="preserve">Courses Taught</w:t>
      </w:r>
    </w:p>
    <w:p>
      <w:pPr>
        <w:pStyle w:val="BodyText"/>
      </w:pPr>
      <w:r>
        <w:rPr>
          <w:iCs/>
          <w:i/>
        </w:rPr>
        <w:t xml:space="preserve">University of Arizona (2 courses; 2 sections)</w:t>
      </w:r>
    </w:p>
    <w:p>
      <w:pPr>
        <w:numPr>
          <w:ilvl w:val="0"/>
          <w:numId w:val="1018"/>
        </w:numPr>
        <w:pStyle w:val="Compact"/>
      </w:pPr>
      <w:r>
        <w:t xml:space="preserve">FSHD 617A - Structural Equation Modeling (1 section; taught in-person).</w:t>
      </w:r>
    </w:p>
    <w:p>
      <w:pPr>
        <w:numPr>
          <w:ilvl w:val="0"/>
          <w:numId w:val="1018"/>
        </w:numPr>
        <w:pStyle w:val="Compact"/>
      </w:pPr>
      <w:r>
        <w:t xml:space="preserve">FSHD 537A - Statistical Inference for the Social Sciences (1 section; taught in-person).</w:t>
      </w:r>
    </w:p>
    <w:p>
      <w:pPr>
        <w:pStyle w:val="FirstParagraph"/>
      </w:pPr>
      <w:r>
        <w:rPr>
          <w:iCs/>
          <w:i/>
        </w:rPr>
        <w:t xml:space="preserve">Texas State University (6 courses; 23 sections)</w:t>
      </w:r>
    </w:p>
    <w:p>
      <w:pPr>
        <w:numPr>
          <w:ilvl w:val="0"/>
          <w:numId w:val="1019"/>
        </w:numPr>
      </w:pPr>
      <w:r>
        <w:t xml:space="preserve">HDFS 1351 - Lifespan Development (1 section; taught hybrid).</w:t>
      </w:r>
    </w:p>
    <w:p>
      <w:pPr>
        <w:numPr>
          <w:ilvl w:val="0"/>
          <w:numId w:val="1019"/>
        </w:numPr>
      </w:pPr>
      <w:r>
        <w:t xml:space="preserve">HDFS 2311 - Statistics and Data Analysis for Human Development and Family Sciences (1 section; taught in-person).</w:t>
      </w:r>
    </w:p>
    <w:p>
      <w:pPr>
        <w:numPr>
          <w:ilvl w:val="0"/>
          <w:numId w:val="1019"/>
        </w:numPr>
      </w:pPr>
      <w:r>
        <w:t xml:space="preserve">FCS 4303 - Research Procedures in Family and Consumer Sciences (Writing Intensive; 11 sections; taught in-person and online).</w:t>
      </w:r>
    </w:p>
    <w:p>
      <w:pPr>
        <w:numPr>
          <w:ilvl w:val="0"/>
          <w:numId w:val="1019"/>
        </w:numPr>
      </w:pPr>
      <w:r>
        <w:t xml:space="preserve">FCS 5310 - Graduate Research Methods (3 sections; taught in-person and online).</w:t>
      </w:r>
    </w:p>
    <w:p>
      <w:pPr>
        <w:numPr>
          <w:ilvl w:val="0"/>
          <w:numId w:val="1019"/>
        </w:numPr>
      </w:pPr>
      <w:r>
        <w:t xml:space="preserve">FCS 5311 - Statistical Data Analysis in Family and Consumer Sciences (6 sections; taught in- person, hybrid, and online).</w:t>
      </w:r>
    </w:p>
    <w:p>
      <w:pPr>
        <w:numPr>
          <w:ilvl w:val="0"/>
          <w:numId w:val="1019"/>
        </w:numPr>
      </w:pPr>
      <w:r>
        <w:t xml:space="preserve">FCD 5352 - Seminar – Health and the Life Course (1 section).</w:t>
      </w:r>
    </w:p>
    <w:p>
      <w:pPr>
        <w:pStyle w:val="FirstParagraph"/>
      </w:pPr>
      <w:r>
        <w:rPr>
          <w:iCs/>
          <w:i/>
        </w:rPr>
        <w:t xml:space="preserve">Arizona State University (2 courses; 4 sections)</w:t>
      </w:r>
    </w:p>
    <w:p>
      <w:pPr>
        <w:numPr>
          <w:ilvl w:val="0"/>
          <w:numId w:val="1020"/>
        </w:numPr>
      </w:pPr>
      <w:r>
        <w:t xml:space="preserve">SOC 390 - Social Statistics I (2 sections).</w:t>
      </w:r>
    </w:p>
    <w:p>
      <w:pPr>
        <w:numPr>
          <w:ilvl w:val="0"/>
          <w:numId w:val="1020"/>
        </w:numPr>
      </w:pPr>
      <w:r>
        <w:t xml:space="preserve">SOC 391 - Research Methods (2 sections; taught in-person and online).</w:t>
      </w:r>
    </w:p>
    <w:p>
      <w:pPr>
        <w:pStyle w:val="FirstParagraph"/>
      </w:pPr>
      <w:r>
        <w:rPr>
          <w:bCs/>
          <w:b/>
        </w:rPr>
        <w:t xml:space="preserve">Thesis Committees</w:t>
      </w:r>
    </w:p>
    <w:p>
      <w:pPr>
        <w:pStyle w:val="BodyText"/>
      </w:pPr>
      <w:r>
        <w:rPr>
          <w:iCs/>
          <w:i/>
        </w:rPr>
        <w:t xml:space="preserve">Committee Chair</w:t>
      </w:r>
    </w:p>
    <w:p>
      <w:pPr>
        <w:numPr>
          <w:ilvl w:val="0"/>
          <w:numId w:val="1021"/>
        </w:numPr>
        <w:pStyle w:val="Compact"/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Social Support and Depressive Outcomes in Bereaved Older Adults: An Analysis of the Health and Retirement Study</w:t>
      </w:r>
      <w:r>
        <w:t xml:space="preserve">”</w:t>
      </w:r>
      <w:r>
        <w:t xml:space="preserve">, Status: In-progress. (June 8, 2020 – May 14, 2021). Human Development and Family Sciences, School of Family and Consumer Sciences.</w:t>
      </w:r>
    </w:p>
    <w:p>
      <w:pPr>
        <w:pStyle w:val="FirstParagraph"/>
      </w:pPr>
      <w:r>
        <w:rPr>
          <w:iCs/>
          <w:i/>
        </w:rPr>
        <w:t xml:space="preserve">Committee Member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Parental Academic Socialization, Intergenerational Cultural Conflict, and Depressive Symptoms in Korean American Adolescents</w:t>
      </w:r>
      <w:r>
        <w:t xml:space="preserve">”</w:t>
      </w:r>
      <w:r>
        <w:t xml:space="preserve">, Status: In-progress (November 11, 2020 – May 14, 2021). Human Development and Family Sciences,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Coparenting Dyads Among Latinx Adolescent Parent Families</w:t>
      </w:r>
      <w:r>
        <w:t xml:space="preserve">”</w:t>
      </w:r>
      <w:r>
        <w:t xml:space="preserve">, Status: In-progress. (December 2, 2020 – May 14, 2021). Human Development and Family Sciences,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Hospitalization as Predictor of Internalizing Behavior among Children: An Application of Propensity Score Analysis</w:t>
      </w:r>
      <w:r>
        <w:t xml:space="preserve">”</w:t>
      </w:r>
      <w:r>
        <w:t xml:space="preserve">, Status: In-progress. (June 12, 2019 – May 1, 2020). Human Development and Family Sciences,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Adolescent Fathers Need Support too! Assessing how Grandmother Support Differs for Adolescent Fathers Versus Adolescent Mothers</w:t>
      </w:r>
      <w:r>
        <w:t xml:space="preserve">”</w:t>
      </w:r>
      <w:r>
        <w:t xml:space="preserve">, Status: Complete. (November 12, 2018 – May 1, 2019). Family and Child Development,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Characterizing the Calcium Sensing Receptor in the Progression of the Metastatic Phenotype of Prostate Cancer Cells</w:t>
      </w:r>
      <w:r>
        <w:t xml:space="preserve">”</w:t>
      </w:r>
      <w:r>
        <w:t xml:space="preserve">, Status: Completed. (December 8, 2017 – August 10, 2018). Nutrition and Foods,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Assessment of Diet Quality of Preschool-aged Children in San Marcos, Texas Based on the Healthy Eating Index-2010</w:t>
      </w:r>
      <w:r>
        <w:t xml:space="preserve">”</w:t>
      </w:r>
      <w:r>
        <w:t xml:space="preserve">, Status: Completed. (December 2015 – November 1, 2016). Nutrition and Foods, School of Family and Consumer Sciences.</w:t>
      </w:r>
    </w:p>
    <w:bookmarkEnd w:id="58"/>
    <w:bookmarkStart w:id="59" w:name="service"/>
    <w:p>
      <w:pPr>
        <w:pStyle w:val="Heading1"/>
      </w:pPr>
      <w:r>
        <w:rPr>
          <w:bCs/>
          <w:b/>
        </w:rPr>
        <w:t xml:space="preserve">Service</w:t>
      </w:r>
    </w:p>
    <w:p>
      <w:pPr>
        <w:pStyle w:val="FirstParagraph"/>
      </w:pPr>
      <w:r>
        <w:rPr>
          <w:bCs/>
          <w:b/>
        </w:rPr>
        <w:t xml:space="preserve">Professional</w:t>
      </w:r>
    </w:p>
    <w:p>
      <w:pPr>
        <w:pStyle w:val="BodyText"/>
      </w:pPr>
      <w:r>
        <w:rPr>
          <w:iCs/>
          <w:i/>
        </w:rPr>
        <w:t xml:space="preserve">Federal Grant Review Committee</w:t>
      </w:r>
    </w:p>
    <w:p>
      <w:pPr>
        <w:numPr>
          <w:ilvl w:val="0"/>
          <w:numId w:val="1023"/>
        </w:numPr>
        <w:pStyle w:val="Compact"/>
      </w:pPr>
      <w:r>
        <w:t xml:space="preserve">National Institutes of Health, Social Sciences and Population Studies B Study Section – SSPB (Early Career Reviewer, February 2022).</w:t>
      </w:r>
    </w:p>
    <w:p>
      <w:pPr>
        <w:pStyle w:val="FirstParagraph"/>
      </w:pPr>
      <w:r>
        <w:rPr>
          <w:iCs/>
          <w:i/>
        </w:rPr>
        <w:t xml:space="preserve">Editorial Review Board Member</w:t>
      </w:r>
    </w:p>
    <w:p>
      <w:pPr>
        <w:numPr>
          <w:ilvl w:val="0"/>
          <w:numId w:val="1024"/>
        </w:numPr>
        <w:pStyle w:val="Compact"/>
      </w:pPr>
      <w:r>
        <w:t xml:space="preserve">Journal of Nutrition in Gerontology and Geriatrics (September 2020 – Present).</w:t>
      </w:r>
    </w:p>
    <w:p>
      <w:pPr>
        <w:pStyle w:val="FirstParagraph"/>
      </w:pPr>
      <w:r>
        <w:rPr>
          <w:iCs/>
          <w:i/>
        </w:rPr>
        <w:t xml:space="preserve">Reviewer/Referee</w:t>
      </w:r>
    </w:p>
    <w:p>
      <w:pPr>
        <w:numPr>
          <w:ilvl w:val="0"/>
          <w:numId w:val="1025"/>
        </w:numPr>
      </w:pPr>
      <w:r>
        <w:t xml:space="preserve">American Journal of Epidemiology (2023).</w:t>
      </w:r>
    </w:p>
    <w:p>
      <w:pPr>
        <w:numPr>
          <w:ilvl w:val="0"/>
          <w:numId w:val="1025"/>
        </w:numPr>
      </w:pPr>
      <w:r>
        <w:t xml:space="preserve">Preventive Medicine (2023).</w:t>
      </w:r>
    </w:p>
    <w:p>
      <w:pPr>
        <w:numPr>
          <w:ilvl w:val="0"/>
          <w:numId w:val="1025"/>
        </w:numPr>
      </w:pPr>
      <w:r>
        <w:t xml:space="preserve">BMC Geriatrics (2021).</w:t>
      </w:r>
    </w:p>
    <w:p>
      <w:pPr>
        <w:numPr>
          <w:ilvl w:val="0"/>
          <w:numId w:val="1025"/>
        </w:numPr>
      </w:pPr>
      <w:r>
        <w:t xml:space="preserve">The Lancet Planetary Health (2021).</w:t>
      </w:r>
    </w:p>
    <w:p>
      <w:pPr>
        <w:numPr>
          <w:ilvl w:val="0"/>
          <w:numId w:val="1025"/>
        </w:numPr>
      </w:pPr>
      <w:r>
        <w:t xml:space="preserve">Journal of Nutrition in Gerontology and Geriatrics (2020-2023).</w:t>
      </w:r>
    </w:p>
    <w:p>
      <w:pPr>
        <w:numPr>
          <w:ilvl w:val="0"/>
          <w:numId w:val="1025"/>
        </w:numPr>
      </w:pPr>
      <w:r>
        <w:t xml:space="preserve">Nutritional Neuroscience (2020).</w:t>
      </w:r>
    </w:p>
    <w:p>
      <w:pPr>
        <w:numPr>
          <w:ilvl w:val="0"/>
          <w:numId w:val="1025"/>
        </w:numPr>
      </w:pPr>
      <w:r>
        <w:t xml:space="preserve">Journal of the American College of Nutrition (2019).</w:t>
      </w:r>
    </w:p>
    <w:p>
      <w:pPr>
        <w:numPr>
          <w:ilvl w:val="0"/>
          <w:numId w:val="1025"/>
        </w:numPr>
      </w:pPr>
      <w:r>
        <w:t xml:space="preserve">Social Science &amp; Medicine (2019).</w:t>
      </w:r>
    </w:p>
    <w:p>
      <w:pPr>
        <w:numPr>
          <w:ilvl w:val="0"/>
          <w:numId w:val="1025"/>
        </w:numPr>
      </w:pPr>
      <w:r>
        <w:t xml:space="preserve">Demography (2013, 2019).</w:t>
      </w:r>
    </w:p>
    <w:p>
      <w:pPr>
        <w:numPr>
          <w:ilvl w:val="0"/>
          <w:numId w:val="1025"/>
        </w:numPr>
      </w:pPr>
      <w:r>
        <w:t xml:space="preserve">American Journal of Public Health (2016, 2018).</w:t>
      </w:r>
    </w:p>
    <w:p>
      <w:pPr>
        <w:numPr>
          <w:ilvl w:val="0"/>
          <w:numId w:val="1025"/>
        </w:numPr>
      </w:pPr>
      <w:r>
        <w:t xml:space="preserve">Journal of Aging and Health (2016, 2018).</w:t>
      </w:r>
    </w:p>
    <w:p>
      <w:pPr>
        <w:numPr>
          <w:ilvl w:val="0"/>
          <w:numId w:val="1025"/>
        </w:numPr>
      </w:pPr>
      <w:r>
        <w:t xml:space="preserve">Journal of Gerontology: Social Sciences (2012).</w:t>
      </w:r>
    </w:p>
    <w:p>
      <w:pPr>
        <w:pStyle w:val="FirstParagraph"/>
      </w:pPr>
      <w:r>
        <w:rPr>
          <w:iCs/>
          <w:i/>
        </w:rPr>
        <w:t xml:space="preserve">Invited reviewer</w:t>
      </w:r>
    </w:p>
    <w:p>
      <w:pPr>
        <w:numPr>
          <w:ilvl w:val="0"/>
          <w:numId w:val="1026"/>
        </w:numPr>
        <w:pStyle w:val="Compact"/>
      </w:pPr>
      <w:r>
        <w:t xml:space="preserve">Egg Farmers of Canada, 2019 Grant Request for Proposals.</w:t>
      </w:r>
    </w:p>
    <w:p>
      <w:pPr>
        <w:pStyle w:val="FirstParagraph"/>
      </w:pPr>
      <w:r>
        <w:rPr>
          <w:bCs/>
          <w:b/>
        </w:rPr>
        <w:t xml:space="preserve">Organization Memberships</w:t>
      </w:r>
    </w:p>
    <w:p>
      <w:pPr>
        <w:numPr>
          <w:ilvl w:val="0"/>
          <w:numId w:val="1027"/>
        </w:numPr>
      </w:pPr>
      <w:r>
        <w:t xml:space="preserve">Gerontological Society of America (November 2017 – November 2018, October 2019 – Present).</w:t>
      </w:r>
    </w:p>
    <w:p>
      <w:pPr>
        <w:numPr>
          <w:ilvl w:val="0"/>
          <w:numId w:val="1027"/>
        </w:numPr>
      </w:pPr>
      <w:r>
        <w:t xml:space="preserve">American Society of Nutrition (March 2019 – July 2022).</w:t>
      </w:r>
    </w:p>
    <w:p>
      <w:pPr>
        <w:numPr>
          <w:ilvl w:val="0"/>
          <w:numId w:val="1027"/>
        </w:numPr>
      </w:pPr>
      <w:r>
        <w:t xml:space="preserve">Population Association of America (April 2009 – April 2011; April 2018 – April 2019).</w:t>
      </w:r>
    </w:p>
    <w:p>
      <w:pPr>
        <w:numPr>
          <w:ilvl w:val="0"/>
          <w:numId w:val="1027"/>
        </w:numPr>
      </w:pPr>
      <w:r>
        <w:t xml:space="preserve">American Public Health Association (November 2016 – November 2017).</w:t>
      </w:r>
    </w:p>
    <w:p>
      <w:pPr>
        <w:numPr>
          <w:ilvl w:val="0"/>
          <w:numId w:val="1027"/>
        </w:numPr>
      </w:pPr>
      <w:r>
        <w:t xml:space="preserve">American Sociological Association (August 2009 – August 2011).</w:t>
      </w:r>
    </w:p>
    <w:p>
      <w:pPr>
        <w:numPr>
          <w:ilvl w:val="0"/>
          <w:numId w:val="1027"/>
        </w:numPr>
      </w:pPr>
      <w:r>
        <w:t xml:space="preserve">Pacific Sociological Association (April 2005 – April 2009).</w:t>
      </w:r>
    </w:p>
    <w:p>
      <w:pPr>
        <w:pStyle w:val="FirstParagraph"/>
      </w:pPr>
      <w:r>
        <w:rPr>
          <w:bCs/>
          <w:b/>
        </w:rPr>
        <w:t xml:space="preserve">Community Service</w:t>
      </w:r>
    </w:p>
    <w:p>
      <w:pPr>
        <w:numPr>
          <w:ilvl w:val="0"/>
          <w:numId w:val="1028"/>
        </w:numPr>
        <w:pStyle w:val="Compact"/>
      </w:pPr>
      <w:r>
        <w:t xml:space="preserve">Meals on Wheels, delivery driver (August 2019 – July 2022).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://dx.doi.org/10.7309/jmtm.7.2.2" TargetMode="External" /><Relationship Type="http://schemas.openxmlformats.org/officeDocument/2006/relationships/hyperlink" Id="rId44" Target="https://" TargetMode="External" /><Relationship Type="http://schemas.openxmlformats.org/officeDocument/2006/relationships/hyperlink" Id="rId35" Target="https://doi.org/10.1007/s12571-019-00945-8" TargetMode="External" /><Relationship Type="http://schemas.openxmlformats.org/officeDocument/2006/relationships/hyperlink" Id="rId42" Target="https://doi.org/10.1007/s12603-017-0986-0" TargetMode="External" /><Relationship Type="http://schemas.openxmlformats.org/officeDocument/2006/relationships/hyperlink" Id="rId43" Target="https://doi.org/10.1007/s13524-016-0458-x" TargetMode="External" /><Relationship Type="http://schemas.openxmlformats.org/officeDocument/2006/relationships/hyperlink" Id="rId41" Target="https://doi.org/10.1016/j.buildenv.2017.11.007" TargetMode="External" /><Relationship Type="http://schemas.openxmlformats.org/officeDocument/2006/relationships/hyperlink" Id="rId46" Target="https://doi.org/10.1016/j.drugalcdep.2011.05.006" TargetMode="External" /><Relationship Type="http://schemas.openxmlformats.org/officeDocument/2006/relationships/hyperlink" Id="rId39" Target="https://doi.org/10.1016/j.jgo.2017.10.004" TargetMode="External" /><Relationship Type="http://schemas.openxmlformats.org/officeDocument/2006/relationships/hyperlink" Id="rId38" Target="https://doi.org/10.1016/j.ypmed.2018.07.001" TargetMode="External" /><Relationship Type="http://schemas.openxmlformats.org/officeDocument/2006/relationships/hyperlink" Id="rId29" Target="https://doi.org/10.1016/j.ypmed.2021.106721" TargetMode="External" /><Relationship Type="http://schemas.openxmlformats.org/officeDocument/2006/relationships/hyperlink" Id="rId24" Target="https://doi.org/10.1017/S0007114522001040" TargetMode="External" /><Relationship Type="http://schemas.openxmlformats.org/officeDocument/2006/relationships/hyperlink" Id="rId36" Target="https://doi.org/10.1017/S1368980019001496" TargetMode="External" /><Relationship Type="http://schemas.openxmlformats.org/officeDocument/2006/relationships/hyperlink" Id="rId31" Target="https://doi.org/10.1017/S1368980019005020" TargetMode="External" /><Relationship Type="http://schemas.openxmlformats.org/officeDocument/2006/relationships/hyperlink" Id="rId30" Target="https://doi.org/10.1017/S1368980020001287" TargetMode="External" /><Relationship Type="http://schemas.openxmlformats.org/officeDocument/2006/relationships/hyperlink" Id="rId37" Target="https://doi.org/10.1080/07315724.2019.1566035" TargetMode="External" /><Relationship Type="http://schemas.openxmlformats.org/officeDocument/2006/relationships/hyperlink" Id="rId25" Target="https://doi.org/10.1093/geronb/gbac070" TargetMode="External" /><Relationship Type="http://schemas.openxmlformats.org/officeDocument/2006/relationships/hyperlink" Id="rId27" Target="https://doi.org/10.1177%2F00914150211050877" TargetMode="External" /><Relationship Type="http://schemas.openxmlformats.org/officeDocument/2006/relationships/hyperlink" Id="rId32" Target="https://doi.org/10.1177%2F0733464820957151" TargetMode="External" /><Relationship Type="http://schemas.openxmlformats.org/officeDocument/2006/relationships/hyperlink" Id="rId26" Target="https://doi.org/10.1177%2F13674935221102707" TargetMode="External" /><Relationship Type="http://schemas.openxmlformats.org/officeDocument/2006/relationships/hyperlink" Id="rId28" Target="https://doi.org/10.1177/00914150211066551" TargetMode="External" /><Relationship Type="http://schemas.openxmlformats.org/officeDocument/2006/relationships/hyperlink" Id="rId48" Target="https://doi.org/10.1177/0164027510379347" TargetMode="External" /><Relationship Type="http://schemas.openxmlformats.org/officeDocument/2006/relationships/hyperlink" Id="rId23" Target="https://doi.org/10.1177/02654075231221832" TargetMode="External" /><Relationship Type="http://schemas.openxmlformats.org/officeDocument/2006/relationships/hyperlink" Id="rId33" Target="https://doi.org/10.1386/adch_00012_1" TargetMode="External" /><Relationship Type="http://schemas.openxmlformats.org/officeDocument/2006/relationships/hyperlink" Id="rId45" Target="https://doi.org/10.2105/AJPH.2012.300705" TargetMode="External" /><Relationship Type="http://schemas.openxmlformats.org/officeDocument/2006/relationships/hyperlink" Id="rId47" Target="https://doi.org/10.3109/10826084.2010.529629" TargetMode="External" /><Relationship Type="http://schemas.openxmlformats.org/officeDocument/2006/relationships/hyperlink" Id="rId56" Target="https://news.txstate.edu/research-and-innovation/2020/texas-state-study-shows-walnut-consumption-associated-with-better-cognitive-health.html" TargetMode="External" /><Relationship Type="http://schemas.openxmlformats.org/officeDocument/2006/relationships/hyperlink" Id="rId54" Target="https://oxfordjournals.altmetric.com/details/129352660/news" TargetMode="External" /><Relationship Type="http://schemas.openxmlformats.org/officeDocument/2006/relationships/hyperlink" Id="rId52" Target="https://pub.azdhs.gov/e-books/american-indians/az-american-indians-2012/files/assets/common/downloads/HSAM%202012.pdf" TargetMode="External" /><Relationship Type="http://schemas.openxmlformats.org/officeDocument/2006/relationships/hyperlink" Id="rId50" Target="https://pub.azdhs.gov/health-stats/report/aging/aia-report.pdf" TargetMode="External" /><Relationship Type="http://schemas.openxmlformats.org/officeDocument/2006/relationships/hyperlink" Id="rId53" Target="https://pub.azdhs.gov/health-stats/report/ahs/ahs2012/index.php" TargetMode="External" /><Relationship Type="http://schemas.openxmlformats.org/officeDocument/2006/relationships/hyperlink" Id="rId49" Target="https://pub.azdhs.gov/health-stats/report/ahs/ahs2013/index.php" TargetMode="External" /><Relationship Type="http://schemas.openxmlformats.org/officeDocument/2006/relationships/hyperlink" Id="rId51" Target="https://pub.azdhs.gov/health-stats/report/dhsag/dhsag11/ethnic11.pdf" TargetMode="External" /><Relationship Type="http://schemas.openxmlformats.org/officeDocument/2006/relationships/hyperlink" Id="rId34" Target="https://pubmed.ncbi.nlm.nih.gov/32229451/" TargetMode="External" /><Relationship Type="http://schemas.openxmlformats.org/officeDocument/2006/relationships/hyperlink" Id="rId55" Target="https://www.verywellhealth.com/walnut-consumption-supports-cognitive-function-507915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dx.doi.org/10.7309/jmtm.7.2.2" TargetMode="External" /><Relationship Type="http://schemas.openxmlformats.org/officeDocument/2006/relationships/hyperlink" Id="rId44" Target="https://" TargetMode="External" /><Relationship Type="http://schemas.openxmlformats.org/officeDocument/2006/relationships/hyperlink" Id="rId35" Target="https://doi.org/10.1007/s12571-019-00945-8" TargetMode="External" /><Relationship Type="http://schemas.openxmlformats.org/officeDocument/2006/relationships/hyperlink" Id="rId42" Target="https://doi.org/10.1007/s12603-017-0986-0" TargetMode="External" /><Relationship Type="http://schemas.openxmlformats.org/officeDocument/2006/relationships/hyperlink" Id="rId43" Target="https://doi.org/10.1007/s13524-016-0458-x" TargetMode="External" /><Relationship Type="http://schemas.openxmlformats.org/officeDocument/2006/relationships/hyperlink" Id="rId41" Target="https://doi.org/10.1016/j.buildenv.2017.11.007" TargetMode="External" /><Relationship Type="http://schemas.openxmlformats.org/officeDocument/2006/relationships/hyperlink" Id="rId46" Target="https://doi.org/10.1016/j.drugalcdep.2011.05.006" TargetMode="External" /><Relationship Type="http://schemas.openxmlformats.org/officeDocument/2006/relationships/hyperlink" Id="rId39" Target="https://doi.org/10.1016/j.jgo.2017.10.004" TargetMode="External" /><Relationship Type="http://schemas.openxmlformats.org/officeDocument/2006/relationships/hyperlink" Id="rId38" Target="https://doi.org/10.1016/j.ypmed.2018.07.001" TargetMode="External" /><Relationship Type="http://schemas.openxmlformats.org/officeDocument/2006/relationships/hyperlink" Id="rId29" Target="https://doi.org/10.1016/j.ypmed.2021.106721" TargetMode="External" /><Relationship Type="http://schemas.openxmlformats.org/officeDocument/2006/relationships/hyperlink" Id="rId24" Target="https://doi.org/10.1017/S0007114522001040" TargetMode="External" /><Relationship Type="http://schemas.openxmlformats.org/officeDocument/2006/relationships/hyperlink" Id="rId36" Target="https://doi.org/10.1017/S1368980019001496" TargetMode="External" /><Relationship Type="http://schemas.openxmlformats.org/officeDocument/2006/relationships/hyperlink" Id="rId31" Target="https://doi.org/10.1017/S1368980019005020" TargetMode="External" /><Relationship Type="http://schemas.openxmlformats.org/officeDocument/2006/relationships/hyperlink" Id="rId30" Target="https://doi.org/10.1017/S1368980020001287" TargetMode="External" /><Relationship Type="http://schemas.openxmlformats.org/officeDocument/2006/relationships/hyperlink" Id="rId37" Target="https://doi.org/10.1080/07315724.2019.1566035" TargetMode="External" /><Relationship Type="http://schemas.openxmlformats.org/officeDocument/2006/relationships/hyperlink" Id="rId25" Target="https://doi.org/10.1093/geronb/gbac070" TargetMode="External" /><Relationship Type="http://schemas.openxmlformats.org/officeDocument/2006/relationships/hyperlink" Id="rId27" Target="https://doi.org/10.1177%2F00914150211050877" TargetMode="External" /><Relationship Type="http://schemas.openxmlformats.org/officeDocument/2006/relationships/hyperlink" Id="rId32" Target="https://doi.org/10.1177%2F0733464820957151" TargetMode="External" /><Relationship Type="http://schemas.openxmlformats.org/officeDocument/2006/relationships/hyperlink" Id="rId26" Target="https://doi.org/10.1177%2F13674935221102707" TargetMode="External" /><Relationship Type="http://schemas.openxmlformats.org/officeDocument/2006/relationships/hyperlink" Id="rId28" Target="https://doi.org/10.1177/00914150211066551" TargetMode="External" /><Relationship Type="http://schemas.openxmlformats.org/officeDocument/2006/relationships/hyperlink" Id="rId48" Target="https://doi.org/10.1177/0164027510379347" TargetMode="External" /><Relationship Type="http://schemas.openxmlformats.org/officeDocument/2006/relationships/hyperlink" Id="rId23" Target="https://doi.org/10.1177/02654075231221832" TargetMode="External" /><Relationship Type="http://schemas.openxmlformats.org/officeDocument/2006/relationships/hyperlink" Id="rId33" Target="https://doi.org/10.1386/adch_00012_1" TargetMode="External" /><Relationship Type="http://schemas.openxmlformats.org/officeDocument/2006/relationships/hyperlink" Id="rId45" Target="https://doi.org/10.2105/AJPH.2012.300705" TargetMode="External" /><Relationship Type="http://schemas.openxmlformats.org/officeDocument/2006/relationships/hyperlink" Id="rId47" Target="https://doi.org/10.3109/10826084.2010.529629" TargetMode="External" /><Relationship Type="http://schemas.openxmlformats.org/officeDocument/2006/relationships/hyperlink" Id="rId56" Target="https://news.txstate.edu/research-and-innovation/2020/texas-state-study-shows-walnut-consumption-associated-with-better-cognitive-health.html" TargetMode="External" /><Relationship Type="http://schemas.openxmlformats.org/officeDocument/2006/relationships/hyperlink" Id="rId54" Target="https://oxfordjournals.altmetric.com/details/129352660/news" TargetMode="External" /><Relationship Type="http://schemas.openxmlformats.org/officeDocument/2006/relationships/hyperlink" Id="rId52" Target="https://pub.azdhs.gov/e-books/american-indians/az-american-indians-2012/files/assets/common/downloads/HSAM%202012.pdf" TargetMode="External" /><Relationship Type="http://schemas.openxmlformats.org/officeDocument/2006/relationships/hyperlink" Id="rId50" Target="https://pub.azdhs.gov/health-stats/report/aging/aia-report.pdf" TargetMode="External" /><Relationship Type="http://schemas.openxmlformats.org/officeDocument/2006/relationships/hyperlink" Id="rId53" Target="https://pub.azdhs.gov/health-stats/report/ahs/ahs2012/index.php" TargetMode="External" /><Relationship Type="http://schemas.openxmlformats.org/officeDocument/2006/relationships/hyperlink" Id="rId49" Target="https://pub.azdhs.gov/health-stats/report/ahs/ahs2013/index.php" TargetMode="External" /><Relationship Type="http://schemas.openxmlformats.org/officeDocument/2006/relationships/hyperlink" Id="rId51" Target="https://pub.azdhs.gov/health-stats/report/dhsag/dhsag11/ethnic11.pdf" TargetMode="External" /><Relationship Type="http://schemas.openxmlformats.org/officeDocument/2006/relationships/hyperlink" Id="rId34" Target="https://pubmed.ncbi.nlm.nih.gov/32229451/" TargetMode="External" /><Relationship Type="http://schemas.openxmlformats.org/officeDocument/2006/relationships/hyperlink" Id="rId55" Target="https://www.verywellhealth.com/walnut-consumption-supports-cognitive-function-50791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2024-01-12T22:07:39Z</dcterms:created>
  <dcterms:modified xsi:type="dcterms:W3CDTF">2024-01-12T22:07:39Z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family">
    <vt:lpwstr>mathptmx</vt:lpwstr>
  </property>
  <property fmtid="{D5CDD505-2E9C-101B-9397-08002B2CF9AE}" pid="3" name="output">
    <vt:lpwstr/>
  </property>
</Properties>
</file>