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03366"/>
          <w:sz w:val="52"/>
          <w:szCs w:val="52"/>
        </w:rPr>
        <w:t xml:space="preserve">PRISM</w:t>
      </w:r>
    </w:p>
    <w:p>
      <w:pPr>
        <w:spacing w:before="0" w:after="40"/>
      </w:pPr>
      <w:r>
        <w:rPr>
          <w:rFonts w:ascii="Arial" w:cs="Arial" w:eastAsia="Arial" w:hAnsi="Arial"/>
          <w:b w:val="false"/>
          <w:bCs w:val="false"/>
          <w:color w:val="6B7C8D"/>
          <w:sz w:val="26"/>
          <w:szCs w:val="26"/>
        </w:rPr>
        <w:t xml:space="preserve">Participation Routines &amp; Inclusive Supports Map</w:t>
      </w:r>
    </w:p>
    <w:p>
      <w:pPr>
        <w:spacing w:before="0" w:after="60"/>
      </w:pPr>
      <w:r>
        <w:rPr>
          <w:rFonts w:ascii="Arial" w:cs="Arial" w:eastAsia="Arial" w:hAnsi="Arial"/>
          <w:b/>
          <w:bCs/>
          <w:i/>
          <w:iCs/>
          <w:color w:val="C8960C"/>
          <w:sz w:val="22"/>
          <w:szCs w:val="22"/>
        </w:rPr>
        <w:t xml:space="preserve">Origin &amp; Intent Memo</w:t>
      </w:r>
    </w:p>
    <w:p>
      <w:pPr>
        <w:pBdr>
          <w:bottom w:val="single" w:color="C8960C" w:sz="6" w:space="1"/>
        </w:pBd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D0DAE4" w:sz="2"/>
              <w:left w:val="single" w:color="D0DAE4" w:sz="2"/>
              <w:bottom w:val="single" w:color="D0DAE4" w:sz="2"/>
              <w:right w:val="single" w:color="D0DAE4" w:sz="2"/>
            </w:tcBorders>
            <w:shd w:fill="E8EEF5" w:val="clear"/>
            <w:tcMar>
              <w:top w:type="dxa" w:w="80"/>
              <w:left w:type="dxa" w:w="120"/>
              <w:bottom w:type="dxa" w:w="80"/>
              <w:right w:type="dxa" w:w="120"/>
            </w:tcMar>
          </w:tcPr>
          <w:p>
            <w:r>
              <w:rPr>
                <w:rFonts w:ascii="Arial" w:cs="Arial" w:eastAsia="Arial" w:hAnsi="Arial"/>
                <w:b/>
                <w:bCs/>
                <w:color w:val="003366"/>
                <w:sz w:val="20"/>
                <w:szCs w:val="20"/>
              </w:rPr>
              <w:t xml:space="preserve">Version</w:t>
            </w:r>
          </w:p>
        </w:tc>
        <w:tc>
          <w:tcPr>
            <w:tcW w:type="dxa" w:w="6840"/>
            <w:tcBorders>
              <w:top w:val="single" w:color="D0DAE4" w:sz="2"/>
              <w:left w:val="single" w:color="D0DAE4" w:sz="2"/>
              <w:bottom w:val="single" w:color="D0DAE4" w:sz="2"/>
              <w:right w:val="single" w:color="D0DAE4" w:sz="2"/>
            </w:tcBorders>
            <w:shd w:fill="FFFFFF" w:val="clear"/>
            <w:tcMar>
              <w:top w:type="dxa" w:w="80"/>
              <w:left w:type="dxa" w:w="160"/>
              <w:bottom w:type="dxa" w:w="80"/>
              <w:right w:type="dxa" w:w="120"/>
            </w:tcMar>
          </w:tcPr>
          <w:p>
            <w:r>
              <w:rPr>
                <w:rFonts w:ascii="Arial" w:cs="Arial" w:eastAsia="Arial" w:hAnsi="Arial"/>
                <w:color w:val="1A2733"/>
                <w:sz w:val="20"/>
                <w:szCs w:val="20"/>
              </w:rPr>
              <w:t xml:space="preserve">PRISM v1.0 · February 2026</w:t>
            </w:r>
          </w:p>
        </w:tc>
      </w:tr>
      <w:tr>
        <w:tc>
          <w:tcPr>
            <w:tcW w:type="dxa" w:w="2520"/>
            <w:tcBorders>
              <w:top w:val="single" w:color="D0DAE4" w:sz="2"/>
              <w:left w:val="single" w:color="D0DAE4" w:sz="2"/>
              <w:bottom w:val="single" w:color="D0DAE4" w:sz="2"/>
              <w:right w:val="single" w:color="D0DAE4" w:sz="2"/>
            </w:tcBorders>
            <w:shd w:fill="E8EEF5" w:val="clear"/>
            <w:tcMar>
              <w:top w:type="dxa" w:w="80"/>
              <w:left w:type="dxa" w:w="120"/>
              <w:bottom w:type="dxa" w:w="80"/>
              <w:right w:type="dxa" w:w="120"/>
            </w:tcMar>
          </w:tcPr>
          <w:p>
            <w:r>
              <w:rPr>
                <w:rFonts w:ascii="Arial" w:cs="Arial" w:eastAsia="Arial" w:hAnsi="Arial"/>
                <w:b/>
                <w:bCs/>
                <w:color w:val="003366"/>
                <w:sz w:val="20"/>
                <w:szCs w:val="20"/>
              </w:rPr>
              <w:t xml:space="preserve">Developed for</w:t>
            </w:r>
          </w:p>
        </w:tc>
        <w:tc>
          <w:tcPr>
            <w:tcW w:type="dxa" w:w="6840"/>
            <w:tcBorders>
              <w:top w:val="single" w:color="D0DAE4" w:sz="2"/>
              <w:left w:val="single" w:color="D0DAE4" w:sz="2"/>
              <w:bottom w:val="single" w:color="D0DAE4" w:sz="2"/>
              <w:right w:val="single" w:color="D0DAE4" w:sz="2"/>
            </w:tcBorders>
            <w:shd w:fill="FFFFFF" w:val="clear"/>
            <w:tcMar>
              <w:top w:type="dxa" w:w="80"/>
              <w:left w:type="dxa" w:w="160"/>
              <w:bottom w:type="dxa" w:w="80"/>
              <w:right w:type="dxa" w:w="120"/>
            </w:tcMar>
          </w:tcPr>
          <w:p>
            <w:r>
              <w:rPr>
                <w:rFonts w:ascii="Arial" w:cs="Arial" w:eastAsia="Arial" w:hAnsi="Arial"/>
                <w:color w:val="1A2733"/>
                <w:sz w:val="20"/>
                <w:szCs w:val="20"/>
              </w:rPr>
              <w:t xml:space="preserve">FCUSD Special Education · Early Childhood Assessment Teams (ECAT)</w:t>
            </w:r>
          </w:p>
        </w:tc>
      </w:tr>
      <w:tr>
        <w:tc>
          <w:tcPr>
            <w:tcW w:type="dxa" w:w="2520"/>
            <w:tcBorders>
              <w:top w:val="single" w:color="D0DAE4" w:sz="2"/>
              <w:left w:val="single" w:color="D0DAE4" w:sz="2"/>
              <w:bottom w:val="single" w:color="D0DAE4" w:sz="2"/>
              <w:right w:val="single" w:color="D0DAE4" w:sz="2"/>
            </w:tcBorders>
            <w:shd w:fill="E8EEF5" w:val="clear"/>
            <w:tcMar>
              <w:top w:type="dxa" w:w="80"/>
              <w:left w:type="dxa" w:w="120"/>
              <w:bottom w:type="dxa" w:w="80"/>
              <w:right w:type="dxa" w:w="120"/>
            </w:tcMar>
          </w:tcPr>
          <w:p>
            <w:r>
              <w:rPr>
                <w:rFonts w:ascii="Arial" w:cs="Arial" w:eastAsia="Arial" w:hAnsi="Arial"/>
                <w:b/>
                <w:bCs/>
                <w:color w:val="003366"/>
                <w:sz w:val="20"/>
                <w:szCs w:val="20"/>
              </w:rPr>
              <w:t xml:space="preserve">Intended settings</w:t>
            </w:r>
          </w:p>
        </w:tc>
        <w:tc>
          <w:tcPr>
            <w:tcW w:type="dxa" w:w="6840"/>
            <w:tcBorders>
              <w:top w:val="single" w:color="D0DAE4" w:sz="2"/>
              <w:left w:val="single" w:color="D0DAE4" w:sz="2"/>
              <w:bottom w:val="single" w:color="D0DAE4" w:sz="2"/>
              <w:right w:val="single" w:color="D0DAE4" w:sz="2"/>
            </w:tcBorders>
            <w:shd w:fill="FFFFFF" w:val="clear"/>
            <w:tcMar>
              <w:top w:type="dxa" w:w="80"/>
              <w:left w:type="dxa" w:w="160"/>
              <w:bottom w:type="dxa" w:w="80"/>
              <w:right w:type="dxa" w:w="120"/>
            </w:tcMar>
          </w:tcPr>
          <w:p>
            <w:r>
              <w:rPr>
                <w:rFonts w:ascii="Arial" w:cs="Arial" w:eastAsia="Arial" w:hAnsi="Arial"/>
                <w:color w:val="1A2733"/>
                <w:sz w:val="20"/>
                <w:szCs w:val="20"/>
              </w:rPr>
              <w:t xml:space="preserve">Preschool, Transitional Kindergarten (P/TK), Kindergarten</w:t>
            </w:r>
          </w:p>
        </w:tc>
      </w:tr>
      <w:tr>
        <w:tc>
          <w:tcPr>
            <w:tcW w:type="dxa" w:w="2520"/>
            <w:tcBorders>
              <w:top w:val="single" w:color="D0DAE4" w:sz="2"/>
              <w:left w:val="single" w:color="D0DAE4" w:sz="2"/>
              <w:bottom w:val="single" w:color="D0DAE4" w:sz="2"/>
              <w:right w:val="single" w:color="D0DAE4" w:sz="2"/>
            </w:tcBorders>
            <w:shd w:fill="E8EEF5" w:val="clear"/>
            <w:tcMar>
              <w:top w:type="dxa" w:w="80"/>
              <w:left w:type="dxa" w:w="120"/>
              <w:bottom w:type="dxa" w:w="80"/>
              <w:right w:type="dxa" w:w="120"/>
            </w:tcMar>
          </w:tcPr>
          <w:p>
            <w:r>
              <w:rPr>
                <w:rFonts w:ascii="Arial" w:cs="Arial" w:eastAsia="Arial" w:hAnsi="Arial"/>
                <w:b/>
                <w:bCs/>
                <w:color w:val="003366"/>
                <w:sz w:val="20"/>
                <w:szCs w:val="20"/>
              </w:rPr>
              <w:t xml:space="preserve">Primary users</w:t>
            </w:r>
          </w:p>
        </w:tc>
        <w:tc>
          <w:tcPr>
            <w:tcW w:type="dxa" w:w="6840"/>
            <w:tcBorders>
              <w:top w:val="single" w:color="D0DAE4" w:sz="2"/>
              <w:left w:val="single" w:color="D0DAE4" w:sz="2"/>
              <w:bottom w:val="single" w:color="D0DAE4" w:sz="2"/>
              <w:right w:val="single" w:color="D0DAE4" w:sz="2"/>
            </w:tcBorders>
            <w:shd w:fill="FFFFFF" w:val="clear"/>
            <w:tcMar>
              <w:top w:type="dxa" w:w="80"/>
              <w:left w:type="dxa" w:w="160"/>
              <w:bottom w:type="dxa" w:w="80"/>
              <w:right w:type="dxa" w:w="120"/>
            </w:tcMar>
          </w:tcPr>
          <w:p>
            <w:r>
              <w:rPr>
                <w:rFonts w:ascii="Arial" w:cs="Arial" w:eastAsia="Arial" w:hAnsi="Arial"/>
                <w:color w:val="1A2733"/>
                <w:sz w:val="20"/>
                <w:szCs w:val="20"/>
              </w:rPr>
              <w:t xml:space="preserve">General education P/TK teachers; SPED teachers; SLPs; school psychologists</w:t>
            </w:r>
          </w:p>
        </w:tc>
      </w:tr>
      <w:tr>
        <w:tc>
          <w:tcPr>
            <w:tcW w:type="dxa" w:w="2520"/>
            <w:tcBorders>
              <w:top w:val="single" w:color="D0DAE4" w:sz="2"/>
              <w:left w:val="single" w:color="D0DAE4" w:sz="2"/>
              <w:bottom w:val="single" w:color="D0DAE4" w:sz="2"/>
              <w:right w:val="single" w:color="D0DAE4" w:sz="2"/>
            </w:tcBorders>
            <w:shd w:fill="E8EEF5" w:val="clear"/>
            <w:tcMar>
              <w:top w:type="dxa" w:w="80"/>
              <w:left w:type="dxa" w:w="120"/>
              <w:bottom w:type="dxa" w:w="80"/>
              <w:right w:type="dxa" w:w="120"/>
            </w:tcMar>
          </w:tcPr>
          <w:p>
            <w:r>
              <w:rPr>
                <w:rFonts w:ascii="Arial" w:cs="Arial" w:eastAsia="Arial" w:hAnsi="Arial"/>
                <w:b/>
                <w:bCs/>
                <w:color w:val="003366"/>
                <w:sz w:val="20"/>
                <w:szCs w:val="20"/>
              </w:rPr>
              <w:t xml:space="preserve">Aligned with</w:t>
            </w:r>
          </w:p>
        </w:tc>
        <w:tc>
          <w:tcPr>
            <w:tcW w:type="dxa" w:w="6840"/>
            <w:tcBorders>
              <w:top w:val="single" w:color="D0DAE4" w:sz="2"/>
              <w:left w:val="single" w:color="D0DAE4" w:sz="2"/>
              <w:bottom w:val="single" w:color="D0DAE4" w:sz="2"/>
              <w:right w:val="single" w:color="D0DAE4" w:sz="2"/>
            </w:tcBorders>
            <w:shd w:fill="FFFFFF" w:val="clear"/>
            <w:tcMar>
              <w:top w:type="dxa" w:w="80"/>
              <w:left w:type="dxa" w:w="160"/>
              <w:bottom w:type="dxa" w:w="80"/>
              <w:right w:type="dxa" w:w="120"/>
            </w:tcMar>
          </w:tcPr>
          <w:p>
            <w:r>
              <w:rPr>
                <w:rFonts w:ascii="Arial" w:cs="Arial" w:eastAsia="Arial" w:hAnsi="Arial"/>
                <w:color w:val="1A2733"/>
                <w:sz w:val="20"/>
                <w:szCs w:val="20"/>
              </w:rPr>
              <w:t xml:space="preserve">California PTKLF (2024) · DRDP · AEPS-3 · ECTA Preschool LRE Guidance</w:t>
            </w:r>
          </w:p>
        </w:tc>
      </w:tr>
    </w:tbl>
    <w:p>
      <w:pPr>
        <w:spacing w:before="0" w:after="240"/>
      </w:pPr>
      <w:r>
        <w:t xml:space="preserve"/>
      </w:r>
    </w:p>
    <w:p>
      <w:pPr>
        <w:pBdr>
          <w:bottom w:val="single" w:color="C8960C" w:sz="4" w:space="1"/>
        </w:pBdr>
        <w:spacing w:before="320" w:after="120"/>
      </w:pPr>
      <w:r>
        <w:rPr>
          <w:rFonts w:ascii="Arial" w:cs="Arial" w:eastAsia="Arial" w:hAnsi="Arial"/>
          <w:b/>
          <w:bCs/>
          <w:color w:val="003366"/>
          <w:sz w:val="26"/>
          <w:szCs w:val="26"/>
        </w:rPr>
        <w:t xml:space="preserve">1. The Problem PRISM Solves</w:t>
      </w:r>
    </w:p>
    <w:p>
      <w:pPr>
        <w:spacing w:before="0" w:after="140"/>
      </w:pPr>
      <w:r>
        <w:rPr>
          <w:rFonts w:ascii="Arial" w:cs="Arial" w:eastAsia="Arial" w:hAnsi="Arial"/>
          <w:color w:val="1A2733"/>
          <w:sz w:val="22"/>
          <w:szCs w:val="22"/>
        </w:rPr>
        <w:t xml:space="preserve">Early childhood special education teams face a persistent documentation mismatch. The tools most commonly used at initial evaluations—academic batteries, norm-referenced assessments, and structured test protocols—were designed for older children in academic settings. When applied to preschool and TK-age children, they capture performance in contrived conditions, not participation in real classroom life.</w:t>
      </w:r>
    </w:p>
    <w:p>
      <w:pPr>
        <w:spacing w:before="0" w:after="80"/>
      </w:pPr>
      <w:r>
        <w:t xml:space="preserve"/>
      </w:r>
    </w:p>
    <w:p>
      <w:pPr>
        <w:spacing w:before="0" w:after="140"/>
      </w:pPr>
      <w:r>
        <w:rPr>
          <w:rFonts w:ascii="Arial" w:cs="Arial" w:eastAsia="Arial" w:hAnsi="Arial"/>
          <w:color w:val="1A2733"/>
          <w:sz w:val="22"/>
          <w:szCs w:val="22"/>
        </w:rPr>
        <w:t xml:space="preserve">The result is IEP present levels that describe what a child cannot do in a testing room, rather than what conditions enable or constrain access in the classroom where they will actually receive services. Goals become non-functional. Specialist recommendations become contextually irrelevant. And the team loses the information that would most help: what does this child’s participation look like, and what makes it possible?</w:t>
      </w:r>
    </w:p>
    <w:p>
      <w:pPr>
        <w:spacing w:before="0" w:after="80"/>
      </w:pPr>
      <w:r>
        <w:t xml:space="preserve"/>
      </w:r>
    </w:p>
    <w:p>
      <w:pPr>
        <w:spacing w:before="0" w:after="140"/>
      </w:pPr>
      <w:r>
        <w:rPr>
          <w:rFonts w:ascii="Arial" w:cs="Arial" w:eastAsia="Arial" w:hAnsi="Arial"/>
          <w:color w:val="1A2733"/>
          <w:sz w:val="22"/>
          <w:szCs w:val="22"/>
        </w:rPr>
        <w:t xml:space="preserve">PRISM was developed to fill that gap. It is a structured participation mapping tool that helps P/TK teachers document what they already observe—systematically enough to protect the child across transitions, teams, and placements.</w:t>
      </w:r>
    </w:p>
    <w:p>
      <w:pPr>
        <w:spacing w:before="0" w:after="120"/>
      </w:pPr>
      <w:r>
        <w:t xml:space="preserve"/>
      </w:r>
    </w:p>
    <w:p>
      <w:pPr>
        <w:pBdr>
          <w:bottom w:val="single" w:color="C8960C" w:sz="4" w:space="1"/>
        </w:pBdr>
        <w:spacing w:before="320" w:after="120"/>
      </w:pPr>
      <w:r>
        <w:rPr>
          <w:rFonts w:ascii="Arial" w:cs="Arial" w:eastAsia="Arial" w:hAnsi="Arial"/>
          <w:b/>
          <w:bCs/>
          <w:color w:val="003366"/>
          <w:sz w:val="26"/>
          <w:szCs w:val="26"/>
        </w:rPr>
        <w:t xml:space="preserve">2. Why It Exists</w:t>
      </w:r>
    </w:p>
    <w:p>
      <w:pPr>
        <w:spacing w:before="0" w:after="140"/>
      </w:pPr>
      <w:r>
        <w:rPr>
          <w:rFonts w:ascii="Arial" w:cs="Arial" w:eastAsia="Arial" w:hAnsi="Arial"/>
          <w:color w:val="1A2733"/>
          <w:sz w:val="22"/>
          <w:szCs w:val="22"/>
        </w:rPr>
        <w:t xml:space="preserve">Three conditions created the need for PRISM:</w:t>
      </w:r>
    </w:p>
    <w:p>
      <w:pPr>
        <w:spacing w:before="0" w:after="80"/>
      </w:pPr>
      <w:r>
        <w:t xml:space="preserve"/>
      </w:r>
    </w:p>
    <w:p>
      <w:pPr>
        <w:pStyle w:val="ListParagraph"/>
        <w:numPr>
          <w:ilvl w:val="0"/>
          <w:numId w:val="2"/>
        </w:numPr>
        <w:spacing w:before="0" w:after="80"/>
        <w:ind w:left="720" w:hanging="360"/>
      </w:pPr>
      <w:r>
        <w:rPr>
          <w:rFonts w:ascii="Arial" w:cs="Arial" w:eastAsia="Arial" w:hAnsi="Arial"/>
          <w:color w:val="1A2733"/>
          <w:sz w:val="22"/>
          <w:szCs w:val="22"/>
        </w:rPr>
        <w:t xml:space="preserve">Tool-context mismatch in early childhood initials. Academic batteries designed for school-age populations are sometimes administered in preschool/TK settings despite being normed on older children. Results produce eligibility documentation that does not reflect actual classroom participation.</w:t>
      </w:r>
    </w:p>
    <w:p>
      <w:pPr>
        <w:pStyle w:val="ListParagraph"/>
        <w:numPr>
          <w:ilvl w:val="0"/>
          <w:numId w:val="2"/>
        </w:numPr>
        <w:spacing w:before="0" w:after="80"/>
        <w:ind w:left="720" w:hanging="360"/>
      </w:pPr>
      <w:r>
        <w:rPr>
          <w:rFonts w:ascii="Arial" w:cs="Arial" w:eastAsia="Arial" w:hAnsi="Arial"/>
          <w:color w:val="1A2733"/>
          <w:sz w:val="22"/>
          <w:szCs w:val="22"/>
        </w:rPr>
        <w:t xml:space="preserve">Absent ecological data. IEP teams frequently lack structured observation data from the child’s natural environment. Teacher input is often collected informally or not at all. Present levels reflect test performance, not classroom function.</w:t>
      </w:r>
    </w:p>
    <w:p>
      <w:pPr>
        <w:pStyle w:val="ListParagraph"/>
        <w:numPr>
          <w:ilvl w:val="0"/>
          <w:numId w:val="2"/>
        </w:numPr>
        <w:spacing w:before="0" w:after="80"/>
        <w:ind w:left="720" w:hanging="360"/>
      </w:pPr>
      <w:r>
        <w:rPr>
          <w:rFonts w:ascii="Arial" w:cs="Arial" w:eastAsia="Arial" w:hAnsi="Arial"/>
          <w:color w:val="1A2733"/>
          <w:sz w:val="22"/>
          <w:szCs w:val="22"/>
        </w:rPr>
        <w:t xml:space="preserve">Context-free goals. Without participation data, IEP goals describe skills in isolation rather than skills in context. Goals that cannot be embedded in natural routines are goals that will not generalize.</w:t>
      </w:r>
    </w:p>
    <w:p>
      <w:pPr>
        <w:spacing w:before="0" w:after="80"/>
      </w:pPr>
      <w:r>
        <w:t xml:space="preserve"/>
      </w:r>
    </w:p>
    <w:p>
      <w:pPr>
        <w:spacing w:before="0" w:after="140"/>
      </w:pPr>
      <w:r>
        <w:rPr>
          <w:rFonts w:ascii="Arial" w:cs="Arial" w:eastAsia="Arial" w:hAnsi="Arial"/>
          <w:color w:val="1A2733"/>
          <w:sz w:val="22"/>
          <w:szCs w:val="22"/>
        </w:rPr>
        <w:t xml:space="preserve">PRISM operationalizes the observation-to-summary logic described in Wolery, Brashers &amp; Neitzel (2002)—the Ecological Congruence Assessment—adapted for P/TK settings and structured around the three PTKLF foundation areas: Approaches to Learning (ATL), Social-Emotional Development (SED), and Self-Regulation (REG).</w:t>
      </w:r>
    </w:p>
    <w:p>
      <w:pPr>
        <w:spacing w:before="0" w:after="120"/>
      </w:pPr>
      <w:r>
        <w:t xml:space="preserve"/>
      </w:r>
    </w:p>
    <w:p>
      <w:pPr>
        <w:pBdr>
          <w:bottom w:val="single" w:color="C8960C" w:sz="4" w:space="1"/>
        </w:pBdr>
        <w:spacing w:before="320" w:after="120"/>
      </w:pPr>
      <w:r>
        <w:rPr>
          <w:rFonts w:ascii="Arial" w:cs="Arial" w:eastAsia="Arial" w:hAnsi="Arial"/>
          <w:b/>
          <w:bCs/>
          <w:color w:val="003366"/>
          <w:sz w:val="26"/>
          <w:szCs w:val="26"/>
        </w:rPr>
        <w:t xml:space="preserve">3. How It Differs from Academic Batteries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40"/>
        <w:gridCol w:w="4820"/>
      </w:tblGrid>
      <w:tr>
        <w:tc>
          <w:tcPr>
            <w:tcW w:type="dxa" w:w="4540"/>
            <w:tcBorders>
              <w:top w:val="single" w:color="003366" w:sz="4"/>
              <w:left w:val="none"/>
              <w:bottom w:val="single" w:color="D0DAE4" w:sz="2"/>
              <w:right w:val="none"/>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Academic Battery</w:t>
            </w:r>
          </w:p>
        </w:tc>
        <w:tc>
          <w:tcPr>
            <w:tcW w:type="dxa" w:w="4820"/>
            <w:tcBorders>
              <w:top w:val="single" w:color="003366" w:sz="4"/>
              <w:left w:val="none"/>
              <w:bottom w:val="single" w:color="D0DAE4" w:sz="2"/>
              <w:right w:val="none"/>
            </w:tcBorders>
            <w:shd w:fill="003366" w:val="clear"/>
            <w:tcMar>
              <w:top w:type="dxa" w:w="100"/>
              <w:left w:type="dxa" w:w="120"/>
              <w:bottom w:type="dxa" w:w="100"/>
              <w:right w:type="dxa" w:w="120"/>
            </w:tcMar>
          </w:tcPr>
          <w:p>
            <w:r>
              <w:rPr>
                <w:rFonts w:ascii="Arial" w:cs="Arial" w:eastAsia="Arial" w:hAnsi="Arial"/>
                <w:b/>
                <w:bCs/>
                <w:color w:val="FFFFFF"/>
                <w:sz w:val="20"/>
                <w:szCs w:val="20"/>
              </w:rPr>
              <w:t xml:space="preserve">PRISM</w:t>
            </w:r>
          </w:p>
        </w:tc>
      </w:tr>
      <w:tr>
        <w:tc>
          <w:tcPr>
            <w:tcW w:type="dxa" w:w="4540"/>
            <w:tcBorders>
              <w:top w:val="none"/>
              <w:left w:val="none"/>
              <w:bottom w:val="single" w:color="E8EEF5" w:sz="2"/>
              <w:right w:val="none"/>
            </w:tcBorders>
            <w:shd w:fill="FDF6E3" w:val="clear"/>
            <w:tcMar>
              <w:top w:type="dxa" w:w="80"/>
              <w:left w:type="dxa" w:w="120"/>
              <w:bottom w:type="dxa" w:w="80"/>
              <w:right w:type="dxa" w:w="120"/>
            </w:tcMar>
          </w:tcPr>
          <w:p>
            <w:r>
              <w:rPr>
                <w:rFonts w:ascii="Arial" w:cs="Arial" w:eastAsia="Arial" w:hAnsi="Arial"/>
                <w:color w:val="5A3D00"/>
                <w:sz w:val="20"/>
                <w:szCs w:val="20"/>
              </w:rPr>
              <w:t xml:space="preserve">Contrived testing context</w:t>
            </w:r>
          </w:p>
        </w:tc>
        <w:tc>
          <w:tcPr>
            <w:tcW w:type="dxa" w:w="4820"/>
            <w:tcBorders>
              <w:top w:val="none"/>
              <w:left w:val="none"/>
              <w:bottom w:val="single" w:color="E8EEF5" w:sz="2"/>
              <w:right w:val="none"/>
            </w:tcBorders>
            <w:shd w:fill="EDF7ED" w:val="clear"/>
            <w:tcMar>
              <w:top w:type="dxa" w:w="80"/>
              <w:left w:type="dxa" w:w="120"/>
              <w:bottom w:type="dxa" w:w="80"/>
              <w:right w:type="dxa" w:w="120"/>
            </w:tcMar>
          </w:tcPr>
          <w:p>
            <w:r>
              <w:rPr>
                <w:rFonts w:ascii="Arial" w:cs="Arial" w:eastAsia="Arial" w:hAnsi="Arial"/>
                <w:color w:val="1A3A1A"/>
                <w:sz w:val="20"/>
                <w:szCs w:val="20"/>
              </w:rPr>
              <w:t xml:space="preserve">Natural classroom routines</w:t>
            </w:r>
          </w:p>
        </w:tc>
      </w:tr>
      <w:tr>
        <w:tc>
          <w:tcPr>
            <w:tcW w:type="dxa" w:w="4540"/>
            <w:tcBorders>
              <w:top w:val="none"/>
              <w:left w:val="none"/>
              <w:bottom w:val="single" w:color="E8EEF5" w:sz="2"/>
              <w:right w:val="none"/>
            </w:tcBorders>
            <w:shd w:fill="FDF6E3" w:val="clear"/>
            <w:tcMar>
              <w:top w:type="dxa" w:w="80"/>
              <w:left w:type="dxa" w:w="120"/>
              <w:bottom w:type="dxa" w:w="80"/>
              <w:right w:type="dxa" w:w="120"/>
            </w:tcMar>
          </w:tcPr>
          <w:p>
            <w:r>
              <w:rPr>
                <w:rFonts w:ascii="Arial" w:cs="Arial" w:eastAsia="Arial" w:hAnsi="Arial"/>
                <w:color w:val="5A3D00"/>
                <w:sz w:val="20"/>
                <w:szCs w:val="20"/>
              </w:rPr>
              <w:t xml:space="preserve">Child performs tasks on demand</w:t>
            </w:r>
          </w:p>
        </w:tc>
        <w:tc>
          <w:tcPr>
            <w:tcW w:type="dxa" w:w="4820"/>
            <w:tcBorders>
              <w:top w:val="none"/>
              <w:left w:val="none"/>
              <w:bottom w:val="single" w:color="E8EEF5" w:sz="2"/>
              <w:right w:val="none"/>
            </w:tcBorders>
            <w:shd w:fill="EDF7ED" w:val="clear"/>
            <w:tcMar>
              <w:top w:type="dxa" w:w="80"/>
              <w:left w:type="dxa" w:w="120"/>
              <w:bottom w:type="dxa" w:w="80"/>
              <w:right w:type="dxa" w:w="120"/>
            </w:tcMar>
          </w:tcPr>
          <w:p>
            <w:r>
              <w:rPr>
                <w:rFonts w:ascii="Arial" w:cs="Arial" w:eastAsia="Arial" w:hAnsi="Arial"/>
                <w:color w:val="1A3A1A"/>
                <w:sz w:val="20"/>
                <w:szCs w:val="20"/>
              </w:rPr>
              <w:t xml:space="preserve">Teacher documents participation patterns</w:t>
            </w:r>
          </w:p>
        </w:tc>
      </w:tr>
      <w:tr>
        <w:tc>
          <w:tcPr>
            <w:tcW w:type="dxa" w:w="4540"/>
            <w:tcBorders>
              <w:top w:val="none"/>
              <w:left w:val="none"/>
              <w:bottom w:val="single" w:color="E8EEF5" w:sz="2"/>
              <w:right w:val="none"/>
            </w:tcBorders>
            <w:shd w:fill="FDF6E3" w:val="clear"/>
            <w:tcMar>
              <w:top w:type="dxa" w:w="80"/>
              <w:left w:type="dxa" w:w="120"/>
              <w:bottom w:type="dxa" w:w="80"/>
              <w:right w:type="dxa" w:w="120"/>
            </w:tcMar>
          </w:tcPr>
          <w:p>
            <w:r>
              <w:rPr>
                <w:rFonts w:ascii="Arial" w:cs="Arial" w:eastAsia="Arial" w:hAnsi="Arial"/>
                <w:color w:val="5A3D00"/>
                <w:sz w:val="20"/>
                <w:szCs w:val="20"/>
              </w:rPr>
              <w:t xml:space="preserve">Norm-referenced against age peers</w:t>
            </w:r>
          </w:p>
        </w:tc>
        <w:tc>
          <w:tcPr>
            <w:tcW w:type="dxa" w:w="4820"/>
            <w:tcBorders>
              <w:top w:val="none"/>
              <w:left w:val="none"/>
              <w:bottom w:val="single" w:color="E8EEF5" w:sz="2"/>
              <w:right w:val="none"/>
            </w:tcBorders>
            <w:shd w:fill="EDF7ED" w:val="clear"/>
            <w:tcMar>
              <w:top w:type="dxa" w:w="80"/>
              <w:left w:type="dxa" w:w="120"/>
              <w:bottom w:type="dxa" w:w="80"/>
              <w:right w:type="dxa" w:w="120"/>
            </w:tcMar>
          </w:tcPr>
          <w:p>
            <w:r>
              <w:rPr>
                <w:rFonts w:ascii="Arial" w:cs="Arial" w:eastAsia="Arial" w:hAnsi="Arial"/>
                <w:color w:val="1A3A1A"/>
                <w:sz w:val="20"/>
                <w:szCs w:val="20"/>
              </w:rPr>
              <w:t xml:space="preserve">Context-referenced against classroom conditions</w:t>
            </w:r>
          </w:p>
        </w:tc>
      </w:tr>
      <w:tr>
        <w:tc>
          <w:tcPr>
            <w:tcW w:type="dxa" w:w="4540"/>
            <w:tcBorders>
              <w:top w:val="none"/>
              <w:left w:val="none"/>
              <w:bottom w:val="single" w:color="E8EEF5" w:sz="2"/>
              <w:right w:val="none"/>
            </w:tcBorders>
            <w:shd w:fill="FDF6E3" w:val="clear"/>
            <w:tcMar>
              <w:top w:type="dxa" w:w="80"/>
              <w:left w:type="dxa" w:w="120"/>
              <w:bottom w:type="dxa" w:w="80"/>
              <w:right w:type="dxa" w:w="120"/>
            </w:tcMar>
          </w:tcPr>
          <w:p>
            <w:r>
              <w:rPr>
                <w:rFonts w:ascii="Arial" w:cs="Arial" w:eastAsia="Arial" w:hAnsi="Arial"/>
                <w:color w:val="5A3D00"/>
                <w:sz w:val="20"/>
                <w:szCs w:val="20"/>
              </w:rPr>
              <w:t xml:space="preserve">Produces standard scores</w:t>
            </w:r>
          </w:p>
        </w:tc>
        <w:tc>
          <w:tcPr>
            <w:tcW w:type="dxa" w:w="4820"/>
            <w:tcBorders>
              <w:top w:val="none"/>
              <w:left w:val="none"/>
              <w:bottom w:val="single" w:color="E8EEF5" w:sz="2"/>
              <w:right w:val="none"/>
            </w:tcBorders>
            <w:shd w:fill="EDF7ED" w:val="clear"/>
            <w:tcMar>
              <w:top w:type="dxa" w:w="80"/>
              <w:left w:type="dxa" w:w="120"/>
              <w:bottom w:type="dxa" w:w="80"/>
              <w:right w:type="dxa" w:w="120"/>
            </w:tcMar>
          </w:tcPr>
          <w:p>
            <w:r>
              <w:rPr>
                <w:rFonts w:ascii="Arial" w:cs="Arial" w:eastAsia="Arial" w:hAnsi="Arial"/>
                <w:color w:val="1A3A1A"/>
                <w:sz w:val="20"/>
                <w:szCs w:val="20"/>
              </w:rPr>
              <w:t xml:space="preserve">Produces structured participation narrative</w:t>
            </w:r>
          </w:p>
        </w:tc>
      </w:tr>
      <w:tr>
        <w:tc>
          <w:tcPr>
            <w:tcW w:type="dxa" w:w="4540"/>
            <w:tcBorders>
              <w:top w:val="none"/>
              <w:left w:val="none"/>
              <w:bottom w:val="single" w:color="E8EEF5" w:sz="2"/>
              <w:right w:val="none"/>
            </w:tcBorders>
            <w:shd w:fill="FDF6E3" w:val="clear"/>
            <w:tcMar>
              <w:top w:type="dxa" w:w="80"/>
              <w:left w:type="dxa" w:w="120"/>
              <w:bottom w:type="dxa" w:w="80"/>
              <w:right w:type="dxa" w:w="120"/>
            </w:tcMar>
          </w:tcPr>
          <w:p>
            <w:r>
              <w:rPr>
                <w:rFonts w:ascii="Arial" w:cs="Arial" w:eastAsia="Arial" w:hAnsi="Arial"/>
                <w:color w:val="5A3D00"/>
                <w:sz w:val="20"/>
                <w:szCs w:val="20"/>
              </w:rPr>
              <w:t xml:space="preserve">Describes performance in isolation</w:t>
            </w:r>
          </w:p>
        </w:tc>
        <w:tc>
          <w:tcPr>
            <w:tcW w:type="dxa" w:w="4820"/>
            <w:tcBorders>
              <w:top w:val="none"/>
              <w:left w:val="none"/>
              <w:bottom w:val="single" w:color="E8EEF5" w:sz="2"/>
              <w:right w:val="none"/>
            </w:tcBorders>
            <w:shd w:fill="EDF7ED" w:val="clear"/>
            <w:tcMar>
              <w:top w:type="dxa" w:w="80"/>
              <w:left w:type="dxa" w:w="120"/>
              <w:bottom w:type="dxa" w:w="80"/>
              <w:right w:type="dxa" w:w="120"/>
            </w:tcMar>
          </w:tcPr>
          <w:p>
            <w:r>
              <w:rPr>
                <w:rFonts w:ascii="Arial" w:cs="Arial" w:eastAsia="Arial" w:hAnsi="Arial"/>
                <w:color w:val="1A3A1A"/>
                <w:sz w:val="20"/>
                <w:szCs w:val="20"/>
              </w:rPr>
              <w:t xml:space="preserve">Describes access across contexts</w:t>
            </w:r>
          </w:p>
        </w:tc>
      </w:tr>
      <w:tr>
        <w:tc>
          <w:tcPr>
            <w:tcW w:type="dxa" w:w="4540"/>
            <w:tcBorders>
              <w:top w:val="none"/>
              <w:left w:val="none"/>
              <w:bottom w:val="single" w:color="E8EEF5" w:sz="2"/>
              <w:right w:val="none"/>
            </w:tcBorders>
            <w:shd w:fill="FDF6E3" w:val="clear"/>
            <w:tcMar>
              <w:top w:type="dxa" w:w="80"/>
              <w:left w:type="dxa" w:w="120"/>
              <w:bottom w:type="dxa" w:w="80"/>
              <w:right w:type="dxa" w:w="120"/>
            </w:tcMar>
          </w:tcPr>
          <w:p>
            <w:r>
              <w:rPr>
                <w:rFonts w:ascii="Arial" w:cs="Arial" w:eastAsia="Arial" w:hAnsi="Arial"/>
                <w:color w:val="5A3D00"/>
                <w:sz w:val="20"/>
                <w:szCs w:val="20"/>
              </w:rPr>
              <w:t xml:space="preserve">Locates difficulty in the child</w:t>
            </w:r>
          </w:p>
        </w:tc>
        <w:tc>
          <w:tcPr>
            <w:tcW w:type="dxa" w:w="4820"/>
            <w:tcBorders>
              <w:top w:val="none"/>
              <w:left w:val="none"/>
              <w:bottom w:val="single" w:color="E8EEF5" w:sz="2"/>
              <w:right w:val="none"/>
            </w:tcBorders>
            <w:shd w:fill="EDF7ED" w:val="clear"/>
            <w:tcMar>
              <w:top w:type="dxa" w:w="80"/>
              <w:left w:type="dxa" w:w="120"/>
              <w:bottom w:type="dxa" w:w="80"/>
              <w:right w:type="dxa" w:w="120"/>
            </w:tcMar>
          </w:tcPr>
          <w:p>
            <w:r>
              <w:rPr>
                <w:rFonts w:ascii="Arial" w:cs="Arial" w:eastAsia="Arial" w:hAnsi="Arial"/>
                <w:color w:val="1A3A1A"/>
                <w:sz w:val="20"/>
                <w:szCs w:val="20"/>
              </w:rPr>
              <w:t xml:space="preserve">Identifies environmental drivers of participation</w:t>
            </w:r>
          </w:p>
        </w:tc>
      </w:tr>
      <w:tr>
        <w:tc>
          <w:tcPr>
            <w:tcW w:type="dxa" w:w="4540"/>
            <w:tcBorders>
              <w:top w:val="none"/>
              <w:left w:val="none"/>
              <w:bottom w:val="single" w:color="E8EEF5" w:sz="2"/>
              <w:right w:val="none"/>
            </w:tcBorders>
            <w:shd w:fill="FDF6E3" w:val="clear"/>
            <w:tcMar>
              <w:top w:type="dxa" w:w="80"/>
              <w:left w:type="dxa" w:w="120"/>
              <w:bottom w:type="dxa" w:w="80"/>
              <w:right w:type="dxa" w:w="120"/>
            </w:tcMar>
          </w:tcPr>
          <w:p>
            <w:r>
              <w:rPr>
                <w:rFonts w:ascii="Arial" w:cs="Arial" w:eastAsia="Arial" w:hAnsi="Arial"/>
                <w:color w:val="5A3D00"/>
                <w:sz w:val="20"/>
                <w:szCs w:val="20"/>
              </w:rPr>
              <w:t xml:space="preserve">Input to eligibility determination</w:t>
            </w:r>
          </w:p>
        </w:tc>
        <w:tc>
          <w:tcPr>
            <w:tcW w:type="dxa" w:w="4820"/>
            <w:tcBorders>
              <w:top w:val="none"/>
              <w:left w:val="none"/>
              <w:bottom w:val="single" w:color="E8EEF5" w:sz="2"/>
              <w:right w:val="none"/>
            </w:tcBorders>
            <w:shd w:fill="EDF7ED" w:val="clear"/>
            <w:tcMar>
              <w:top w:type="dxa" w:w="80"/>
              <w:left w:type="dxa" w:w="120"/>
              <w:bottom w:type="dxa" w:w="80"/>
              <w:right w:type="dxa" w:w="120"/>
            </w:tcMar>
          </w:tcPr>
          <w:p>
            <w:r>
              <w:rPr>
                <w:rFonts w:ascii="Arial" w:cs="Arial" w:eastAsia="Arial" w:hAnsi="Arial"/>
                <w:color w:val="1A3A1A"/>
                <w:sz w:val="20"/>
                <w:szCs w:val="20"/>
              </w:rPr>
              <w:t xml:space="preserve">Input to IEP present levels and goal planning</w:t>
            </w:r>
          </w:p>
        </w:tc>
      </w:tr>
    </w:tbl>
    <w:p>
      <w:pPr>
        <w:spacing w:before="0" w:after="80"/>
      </w:pPr>
      <w:r>
        <w:t xml:space="preserve"/>
      </w:r>
    </w:p>
    <w:p>
      <w:pPr>
        <w:spacing w:before="0" w:after="140"/>
      </w:pPr>
      <w:r>
        <w:rPr>
          <w:rFonts w:ascii="Arial" w:cs="Arial" w:eastAsia="Arial" w:hAnsi="Arial"/>
          <w:b/>
          <w:bCs/>
          <w:color w:val="003366"/>
          <w:sz w:val="22"/>
          <w:szCs w:val="22"/>
        </w:rPr>
        <w:t xml:space="preserve">PRISM is not an assessment battery. </w:t>
      </w:r>
      <w:r>
        <w:rPr>
          <w:rFonts w:ascii="Arial" w:cs="Arial" w:eastAsia="Arial" w:hAnsi="Arial"/>
          <w:color w:val="1A2733"/>
          <w:sz w:val="22"/>
          <w:szCs w:val="22"/>
        </w:rPr>
        <w:t xml:space="preserve">It does not produce scores, percentiles, or eligibility determinations. It produces structured participation documentation that informs IEP planning and supports team decision-making about least restrictive environment.</w:t>
      </w:r>
    </w:p>
    <w:p>
      <w:pPr>
        <w:spacing w:before="0" w:after="120"/>
      </w:pPr>
      <w:r>
        <w:t xml:space="preserve"/>
      </w:r>
    </w:p>
    <w:p>
      <w:pPr>
        <w:pBdr>
          <w:bottom w:val="single" w:color="C8960C" w:sz="4" w:space="1"/>
        </w:pBdr>
        <w:spacing w:before="320" w:after="120"/>
      </w:pPr>
      <w:r>
        <w:rPr>
          <w:rFonts w:ascii="Arial" w:cs="Arial" w:eastAsia="Arial" w:hAnsi="Arial"/>
          <w:b/>
          <w:bCs/>
          <w:color w:val="003366"/>
          <w:sz w:val="26"/>
          <w:szCs w:val="26"/>
        </w:rPr>
        <w:t xml:space="preserve">4. Intended Use</w:t>
      </w:r>
    </w:p>
    <w:p>
      <w:pPr>
        <w:pStyle w:val="ListParagraph"/>
        <w:numPr>
          <w:ilvl w:val="0"/>
          <w:numId w:val="2"/>
        </w:numPr>
        <w:spacing w:before="0" w:after="80"/>
        <w:ind w:left="720" w:hanging="360"/>
      </w:pPr>
      <w:r>
        <w:rPr>
          <w:rFonts w:ascii="Arial" w:cs="Arial" w:eastAsia="Arial" w:hAnsi="Arial"/>
          <w:color w:val="1A2733"/>
          <w:sz w:val="22"/>
          <w:szCs w:val="22"/>
        </w:rPr>
        <w:t xml:space="preserve">Pre-IEP documentation of participation patterns for children referred or being evaluated in P/TK settings</w:t>
      </w:r>
    </w:p>
    <w:p>
      <w:pPr>
        <w:pStyle w:val="ListParagraph"/>
        <w:numPr>
          <w:ilvl w:val="0"/>
          <w:numId w:val="2"/>
        </w:numPr>
        <w:spacing w:before="0" w:after="80"/>
        <w:ind w:left="720" w:hanging="360"/>
      </w:pPr>
      <w:r>
        <w:rPr>
          <w:rFonts w:ascii="Arial" w:cs="Arial" w:eastAsia="Arial" w:hAnsi="Arial"/>
          <w:color w:val="1A2733"/>
          <w:sz w:val="22"/>
          <w:szCs w:val="22"/>
        </w:rPr>
        <w:t xml:space="preserve">Present Levels source documentation for Initial and Annual IEP meetings</w:t>
      </w:r>
    </w:p>
    <w:p>
      <w:pPr>
        <w:pStyle w:val="ListParagraph"/>
        <w:numPr>
          <w:ilvl w:val="0"/>
          <w:numId w:val="2"/>
        </w:numPr>
        <w:spacing w:before="0" w:after="80"/>
        <w:ind w:left="720" w:hanging="360"/>
      </w:pPr>
      <w:r>
        <w:rPr>
          <w:rFonts w:ascii="Arial" w:cs="Arial" w:eastAsia="Arial" w:hAnsi="Arial"/>
          <w:color w:val="1A2733"/>
          <w:sz w:val="22"/>
          <w:szCs w:val="22"/>
        </w:rPr>
        <w:t xml:space="preserve">Team communication tool: provides the SLP, school psychologist, and SPED teacher with structured ecological data from the teacher of record</w:t>
      </w:r>
    </w:p>
    <w:p>
      <w:pPr>
        <w:pStyle w:val="ListParagraph"/>
        <w:numPr>
          <w:ilvl w:val="0"/>
          <w:numId w:val="2"/>
        </w:numPr>
        <w:spacing w:before="0" w:after="80"/>
        <w:ind w:left="720" w:hanging="360"/>
      </w:pPr>
      <w:r>
        <w:rPr>
          <w:rFonts w:ascii="Arial" w:cs="Arial" w:eastAsia="Arial" w:hAnsi="Arial"/>
          <w:color w:val="1A2733"/>
          <w:sz w:val="22"/>
          <w:szCs w:val="22"/>
        </w:rPr>
        <w:t xml:space="preserve">Transition planning support: portable participation summary that travels with the child across placements and teams</w:t>
      </w:r>
    </w:p>
    <w:p>
      <w:pPr>
        <w:pStyle w:val="ListParagraph"/>
        <w:numPr>
          <w:ilvl w:val="0"/>
          <w:numId w:val="2"/>
        </w:numPr>
        <w:spacing w:before="0" w:after="80"/>
        <w:ind w:left="720" w:hanging="360"/>
      </w:pPr>
      <w:r>
        <w:rPr>
          <w:rFonts w:ascii="Arial" w:cs="Arial" w:eastAsia="Arial" w:hAnsi="Arial"/>
          <w:color w:val="1A2733"/>
          <w:sz w:val="22"/>
          <w:szCs w:val="22"/>
        </w:rPr>
        <w:t xml:space="preserve">Supplement to AEPS-3 administration: PRISM provides context data; AEPS-3 provides skill-strand data; together they describe what the child does and under what conditions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0DAE4" w:sz="4"/>
              <w:left w:val="single" w:color="D0DAE4" w:sz="4"/>
              <w:bottom w:val="single" w:color="D0DAE4" w:sz="4"/>
              <w:right w:val="single" w:color="D0DAE4" w:sz="4"/>
            </w:tcBorders>
            <w:shd w:fill="003366"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Note</w:t>
            </w:r>
          </w:p>
        </w:tc>
        <w:tc>
          <w:tcPr>
            <w:tcW w:type="dxa" w:w="7920"/>
            <w:tcBorders>
              <w:top w:val="single" w:color="D0DAE4" w:sz="4"/>
              <w:left w:val="single" w:color="D0DAE4" w:sz="4"/>
              <w:bottom w:val="single" w:color="D0DAE4" w:sz="4"/>
              <w:right w:val="single" w:color="D0DAE4" w:sz="4"/>
            </w:tcBorders>
            <w:shd w:fill="F8F9FB" w:val="clear"/>
            <w:tcMar>
              <w:top w:type="dxa" w:w="100"/>
              <w:left w:type="dxa" w:w="160"/>
              <w:bottom w:type="dxa" w:w="100"/>
              <w:right w:type="dxa" w:w="160"/>
            </w:tcMar>
          </w:tcPr>
          <w:p>
            <w:r>
              <w:rPr>
                <w:rFonts w:ascii="Arial" w:cs="Arial" w:eastAsia="Arial" w:hAnsi="Arial"/>
                <w:i/>
                <w:iCs/>
                <w:color w:val="1A3A5C"/>
                <w:sz w:val="21"/>
                <w:szCs w:val="21"/>
              </w:rPr>
              <w:t xml:space="preserve">PRISM is designed to be completed by the classroom teacher, with support from the SPED teacher or ECAT member as needed. It does not require specialized assessment training to complete.</w:t>
            </w:r>
          </w:p>
        </w:tc>
      </w:tr>
    </w:tbl>
    <w:p>
      <w:pPr>
        <w:spacing w:before="0" w:after="160"/>
      </w:pPr>
      <w:r>
        <w:t xml:space="preserve"/>
      </w:r>
    </w:p>
    <w:p>
      <w:pPr>
        <w:pBdr>
          <w:bottom w:val="single" w:color="C8960C" w:sz="4" w:space="1"/>
        </w:pBdr>
        <w:spacing w:before="320" w:after="120"/>
      </w:pPr>
      <w:r>
        <w:rPr>
          <w:rFonts w:ascii="Arial" w:cs="Arial" w:eastAsia="Arial" w:hAnsi="Arial"/>
          <w:b/>
          <w:bCs/>
          <w:color w:val="003366"/>
          <w:sz w:val="26"/>
          <w:szCs w:val="26"/>
        </w:rPr>
        <w:t xml:space="preserve">5. Non-Intended Use</w:t>
      </w:r>
    </w:p>
    <w:p>
      <w:pPr>
        <w:pStyle w:val="ListParagraph"/>
        <w:numPr>
          <w:ilvl w:val="0"/>
          <w:numId w:val="2"/>
        </w:numPr>
        <w:spacing w:before="0" w:after="80"/>
        <w:ind w:left="720" w:hanging="360"/>
      </w:pPr>
      <w:r>
        <w:rPr>
          <w:rFonts w:ascii="Arial" w:cs="Arial" w:eastAsia="Arial" w:hAnsi="Arial"/>
          <w:color w:val="1A2733"/>
          <w:sz w:val="22"/>
          <w:szCs w:val="22"/>
        </w:rPr>
        <w:t xml:space="preserve">PRISM should not be used as a standalone eligibility instrument. It does not produce eligibility determinations and is not designed to replace formal assessment.</w:t>
      </w:r>
    </w:p>
    <w:p>
      <w:pPr>
        <w:pStyle w:val="ListParagraph"/>
        <w:numPr>
          <w:ilvl w:val="0"/>
          <w:numId w:val="2"/>
        </w:numPr>
        <w:spacing w:before="0" w:after="80"/>
        <w:ind w:left="720" w:hanging="360"/>
      </w:pPr>
      <w:r>
        <w:rPr>
          <w:rFonts w:ascii="Arial" w:cs="Arial" w:eastAsia="Arial" w:hAnsi="Arial"/>
          <w:color w:val="1A2733"/>
          <w:sz w:val="22"/>
          <w:szCs w:val="22"/>
        </w:rPr>
        <w:t xml:space="preserve">PRISM should not be used to document academic skill mastery, developmental milestones, or norm-referenced performance.</w:t>
      </w:r>
    </w:p>
    <w:p>
      <w:pPr>
        <w:pStyle w:val="ListParagraph"/>
        <w:numPr>
          <w:ilvl w:val="0"/>
          <w:numId w:val="2"/>
        </w:numPr>
        <w:spacing w:before="0" w:after="80"/>
        <w:ind w:left="720" w:hanging="360"/>
      </w:pPr>
      <w:r>
        <w:rPr>
          <w:rFonts w:ascii="Arial" w:cs="Arial" w:eastAsia="Arial" w:hAnsi="Arial"/>
          <w:color w:val="1A2733"/>
          <w:sz w:val="22"/>
          <w:szCs w:val="22"/>
        </w:rPr>
        <w:t xml:space="preserve">PRISM should not be administered in a contrived or pull-out context. Its validity depends on observation in natural classroom routines.</w:t>
      </w:r>
    </w:p>
    <w:p>
      <w:pPr>
        <w:pStyle w:val="ListParagraph"/>
        <w:numPr>
          <w:ilvl w:val="0"/>
          <w:numId w:val="2"/>
        </w:numPr>
        <w:spacing w:before="0" w:after="80"/>
        <w:ind w:left="720" w:hanging="360"/>
      </w:pPr>
      <w:r>
        <w:rPr>
          <w:rFonts w:ascii="Arial" w:cs="Arial" w:eastAsia="Arial" w:hAnsi="Arial"/>
          <w:color w:val="1A2733"/>
          <w:sz w:val="22"/>
          <w:szCs w:val="22"/>
        </w:rPr>
        <w:t xml:space="preserve">PRISM should not be used as a behavior intervention tool or functional behavior assessment substitute.</w:t>
      </w:r>
    </w:p>
    <w:p>
      <w:pPr>
        <w:pStyle w:val="ListParagraph"/>
        <w:numPr>
          <w:ilvl w:val="0"/>
          <w:numId w:val="2"/>
        </w:numPr>
        <w:spacing w:before="0" w:after="80"/>
        <w:ind w:left="720" w:hanging="360"/>
      </w:pPr>
      <w:r>
        <w:rPr>
          <w:rFonts w:ascii="Arial" w:cs="Arial" w:eastAsia="Arial" w:hAnsi="Arial"/>
          <w:color w:val="1A2733"/>
          <w:sz w:val="22"/>
          <w:szCs w:val="22"/>
        </w:rPr>
        <w:t xml:space="preserve">PRISM output should not be presented as a clinical assessment finding. It is teacher-reported, context-referenced observational documentation.</w:t>
      </w:r>
    </w:p>
    <w:p>
      <w:pPr>
        <w:spacing w:before="0" w:after="120"/>
      </w:pPr>
      <w:r>
        <w:t xml:space="preserve"/>
      </w:r>
    </w:p>
    <w:p>
      <w:pPr>
        <w:pBdr>
          <w:bottom w:val="single" w:color="C8960C" w:sz="4" w:space="1"/>
        </w:pBdr>
        <w:spacing w:before="320" w:after="120"/>
      </w:pPr>
      <w:r>
        <w:rPr>
          <w:rFonts w:ascii="Arial" w:cs="Arial" w:eastAsia="Arial" w:hAnsi="Arial"/>
          <w:b/>
          <w:bCs/>
          <w:color w:val="003366"/>
          <w:sz w:val="26"/>
          <w:szCs w:val="26"/>
        </w:rPr>
        <w:t xml:space="preserve">6. Framework Alignment</w:t>
      </w:r>
    </w:p>
    <w:p>
      <w:pPr>
        <w:spacing w:before="0" w:after="80"/>
      </w:pPr>
      <w:r>
        <w:t xml:space="preserve"/>
      </w:r>
    </w:p>
    <w:p>
      <w:pPr>
        <w:spacing w:before="240" w:after="80"/>
      </w:pPr>
      <w:r>
        <w:rPr>
          <w:rFonts w:ascii="Arial" w:cs="Arial" w:eastAsia="Arial" w:hAnsi="Arial"/>
          <w:b/>
          <w:bCs/>
          <w:color w:val="003366"/>
          <w:sz w:val="22"/>
          <w:szCs w:val="22"/>
        </w:rPr>
        <w:t xml:space="preserve">California Preschool/Transitional Kindergarten Learning Foundations (PTKLF, 2024)</w:t>
      </w:r>
    </w:p>
    <w:p>
      <w:pPr>
        <w:spacing w:before="0" w:after="140"/>
      </w:pPr>
      <w:r>
        <w:rPr>
          <w:rFonts w:ascii="Arial" w:cs="Arial" w:eastAsia="Arial" w:hAnsi="Arial"/>
          <w:color w:val="1A2733"/>
          <w:sz w:val="22"/>
          <w:szCs w:val="22"/>
        </w:rPr>
        <w:t xml:space="preserve">PRISM is organized around the three PTKLF Social-Emotional Learning and Approaches to Learning foundation areas: ATL, SED, and REG. The PTKLF frames development as participation across natural contexts, shaped by environment and relationships. PRISM operationalizes that framing by asking teachers to document participation by context rather than by skill or deficit.</w:t>
      </w:r>
    </w:p>
    <w:p>
      <w:pPr>
        <w:spacing w:before="0" w:after="80"/>
      </w:pPr>
      <w:r>
        <w:t xml:space="preserve"/>
      </w:r>
    </w:p>
    <w:p>
      <w:pPr>
        <w:spacing w:before="240" w:after="80"/>
      </w:pPr>
      <w:r>
        <w:rPr>
          <w:rFonts w:ascii="Arial" w:cs="Arial" w:eastAsia="Arial" w:hAnsi="Arial"/>
          <w:b/>
          <w:bCs/>
          <w:color w:val="003366"/>
          <w:sz w:val="22"/>
          <w:szCs w:val="22"/>
        </w:rPr>
        <w:t xml:space="preserve">Desired Results Developmental Profile (DRDP · CDE/WestEd)</w:t>
      </w:r>
    </w:p>
    <w:p>
      <w:pPr>
        <w:spacing w:before="0" w:after="140"/>
      </w:pPr>
      <w:r>
        <w:rPr>
          <w:rFonts w:ascii="Arial" w:cs="Arial" w:eastAsia="Arial" w:hAnsi="Arial"/>
          <w:color w:val="1A2733"/>
          <w:sz w:val="22"/>
          <w:szCs w:val="22"/>
        </w:rPr>
        <w:t xml:space="preserve">DRDP measures align with the same foundation domains and share the PTKLF's emphasis on observation in natural settings across familiar partners. PRISM context documentation is compatible with DRDP rating rationale and can support teacher confidence in DRDP administration by providing structured observational notes tied to specific routines.</w:t>
      </w:r>
    </w:p>
    <w:p>
      <w:pPr>
        <w:spacing w:before="0" w:after="80"/>
      </w:pPr>
      <w:r>
        <w:t xml:space="preserve"/>
      </w:r>
    </w:p>
    <w:p>
      <w:pPr>
        <w:spacing w:before="240" w:after="80"/>
      </w:pPr>
      <w:r>
        <w:rPr>
          <w:rFonts w:ascii="Arial" w:cs="Arial" w:eastAsia="Arial" w:hAnsi="Arial"/>
          <w:b/>
          <w:bCs/>
          <w:color w:val="003366"/>
          <w:sz w:val="22"/>
          <w:szCs w:val="22"/>
        </w:rPr>
        <w:t xml:space="preserve">AEPS-3 (Assessment, Evaluation, and Programming System for Infants and Children)</w:t>
      </w:r>
    </w:p>
    <w:p>
      <w:pPr>
        <w:spacing w:before="0" w:after="140"/>
      </w:pPr>
      <w:r>
        <w:rPr>
          <w:rFonts w:ascii="Arial" w:cs="Arial" w:eastAsia="Arial" w:hAnsi="Arial"/>
          <w:color w:val="1A2733"/>
          <w:sz w:val="22"/>
          <w:szCs w:val="22"/>
        </w:rPr>
        <w:t xml:space="preserve">AEPS-3 is the family of criterion-referenced tools designed for administration in natural routines, across familiar partners, and over time. PRISM and AEPS-3 are complementary: AEPS-3 documents functional skill strands; PRISM documents the classroom ecology in which those skills do or do not emerge. Teams using both tools have the full picture needed to write functional, context-grounded IEP goals.</w:t>
      </w:r>
    </w:p>
    <w:p>
      <w:pPr>
        <w:spacing w:before="0" w:after="80"/>
      </w:pPr>
      <w:r>
        <w:t xml:space="preserve"/>
      </w:r>
    </w:p>
    <w:p>
      <w:pPr>
        <w:spacing w:before="240" w:after="80"/>
      </w:pPr>
      <w:r>
        <w:rPr>
          <w:rFonts w:ascii="Arial" w:cs="Arial" w:eastAsia="Arial" w:hAnsi="Arial"/>
          <w:b/>
          <w:bCs/>
          <w:color w:val="003366"/>
          <w:sz w:val="22"/>
          <w:szCs w:val="22"/>
        </w:rPr>
        <w:t xml:space="preserve">ECTA Center · Preschool LRE Decision-Making Guidance</w:t>
      </w:r>
    </w:p>
    <w:p>
      <w:pPr>
        <w:spacing w:before="0" w:after="140"/>
      </w:pPr>
      <w:r>
        <w:rPr>
          <w:rFonts w:ascii="Arial" w:cs="Arial" w:eastAsia="Arial" w:hAnsi="Arial"/>
          <w:color w:val="1A2733"/>
          <w:sz w:val="22"/>
          <w:szCs w:val="22"/>
        </w:rPr>
        <w:t xml:space="preserve">The ECTA Center's Guiding Questions for Discussing Services in the LRE and Preschool LRE Reference Points provide the federal analog for the placement reasoning PRISM supports. PRISM's context contrast structure—documenting what participation looks like under universal vs. individualized supports—directly maps to the ECTA LRE reasoning framework: does this child require specialized instruction to access what peers access naturally, or do universal supports already provide what is needed?</w:t>
      </w:r>
    </w:p>
    <w:p>
      <w:pPr>
        <w:spacing w:before="0" w:after="160"/>
      </w:pPr>
      <w:r>
        <w:t xml:space="preserve"/>
      </w:r>
    </w:p>
    <w:p>
      <w:pPr>
        <w:pBdr>
          <w:bottom w:val="single" w:color="C8960C" w:sz="6" w:space="1"/>
        </w:pBdr>
        <w:spacing w:before="0" w:after="160"/>
      </w:pPr>
      <w:r>
        <w:t xml:space="preserve"/>
      </w:r>
    </w:p>
    <w:p>
      <w:pPr>
        <w:spacing w:before="80" w:after="0"/>
      </w:pPr>
      <w:r>
        <w:rPr>
          <w:rFonts w:ascii="Arial" w:cs="Arial" w:eastAsia="Arial" w:hAnsi="Arial"/>
          <w:color w:val="6B7C8D"/>
          <w:sz w:val="18"/>
          <w:szCs w:val="18"/>
        </w:rPr>
        <w:t xml:space="preserve">PRISM v1.0 · February 2026 · FCUSD Special Education · Early Childhood Assessment Team (ECAT)</w:t>
      </w:r>
    </w:p>
    <w:p>
      <w:pPr>
        <w:spacing w:before="40" w:after="0"/>
      </w:pPr>
      <w:r>
        <w:rPr>
          <w:rFonts w:ascii="Arial" w:cs="Arial" w:eastAsia="Arial" w:hAnsi="Arial"/>
          <w:i/>
          <w:iCs/>
          <w:color w:val="6B7C8D"/>
          <w:sz w:val="18"/>
          <w:szCs w:val="18"/>
        </w:rPr>
        <w:t xml:space="preserve">This memo documents original design intent. Modifications to PRISM should be versioned and re-documented to preserve alignment integrity.</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AE4" w:sz="2" w:space="1"/>
      </w:pBdr>
      <w:tabs>
        <w:tab w:val="right" w:pos="9360"/>
      </w:tabs>
      <w:spacing w:before="80"/>
    </w:pPr>
    <w:r>
      <w:rPr>
        <w:rFonts w:ascii="Arial" w:cs="Arial" w:eastAsia="Arial" w:hAnsi="Arial"/>
        <w:color w:val="6B7C8D"/>
        <w:sz w:val="16"/>
        <w:szCs w:val="16"/>
      </w:rPr>
      <w:t xml:space="preserve">FCUSD Special Education · Early Childhood Assessment Team (ECAT)</w:t>
    </w:r>
    <w:r>
      <w:rPr>
        <w:sz w:val="16"/>
        <w:szCs w:val="16"/>
      </w:rPr>
      <w:t xml:space="preserve">	</w:t>
    </w:r>
    <w:r>
      <w:rPr>
        <w:rFonts w:ascii="Arial" w:cs="Arial" w:eastAsia="Arial" w:hAnsi="Arial"/>
        <w:i/>
        <w:iCs/>
        <w:color w:val="6B7C8D"/>
        <w:sz w:val="16"/>
        <w:szCs w:val="16"/>
      </w:rPr>
      <w:t xml:space="preserve">Origin &amp; Intent Memo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60C" w:sz="4" w:space="1"/>
      </w:pBdr>
      <w:tabs>
        <w:tab w:val="right" w:pos="9360"/>
      </w:tabs>
      <w:spacing w:after="0"/>
    </w:pPr>
    <w:r>
      <w:rPr>
        <w:rFonts w:ascii="Arial" w:cs="Arial" w:eastAsia="Arial" w:hAnsi="Arial"/>
        <w:b/>
        <w:bCs/>
        <w:color w:val="003366"/>
        <w:sz w:val="20"/>
        <w:szCs w:val="20"/>
      </w:rPr>
      <w:t xml:space="preserve">PRISM</w:t>
    </w:r>
    <w:r>
      <w:rPr>
        <w:rFonts w:ascii="Arial" w:cs="Arial" w:eastAsia="Arial" w:hAnsi="Arial"/>
        <w:color w:val="6B7C8D"/>
        <w:sz w:val="18"/>
        <w:szCs w:val="18"/>
      </w:rPr>
      <w:t xml:space="preserve">  —  Participation Routines &amp; Inclusive Supports Map</w:t>
    </w:r>
    <w:r>
      <w:rPr>
        <w:sz w:val="18"/>
        <w:szCs w:val="18"/>
      </w:rPr>
      <w:t xml:space="preserve">	</w:t>
    </w:r>
    <w:r>
      <w:rPr>
        <w:rFonts w:ascii="Arial" w:cs="Arial" w:eastAsia="Arial" w:hAnsi="Arial"/>
        <w:i/>
        <w:iCs/>
        <w:color w:val="6B7C8D"/>
        <w:sz w:val="18"/>
        <w:szCs w:val="18"/>
      </w:rPr>
      <w:t xml:space="preserve">v1.0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2026-02-26T23:05:11.327Z</dcterms:created>
  <dcterms:modified xsi:type="dcterms:W3CDTF">2026-02-26T23:05:11.328Z</dcterms:modified>
</cp:coreProperties>
</file>

<file path=docProps/custom.xml><?xml version="1.0" encoding="utf-8"?>
<Properties xmlns="http://schemas.openxmlformats.org/officeDocument/2006/custom-properties" xmlns:vt="http://schemas.openxmlformats.org/officeDocument/2006/docPropsVTypes"/>
</file>