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1"/>
        </w:numPr>
        <w:spacing w:after="0" w:afterAutospacing="0"/>
        <w:rPr>
          <w:u w:val="none"/>
        </w:rPr>
      </w:pPr>
      <w:bookmarkStart w:colFirst="0" w:colLast="0" w:name="_12blxih4m3c7" w:id="0"/>
      <w:bookmarkEnd w:id="0"/>
      <w:r w:rsidDel="00000000" w:rsidR="00000000" w:rsidRPr="00000000">
        <w:rPr>
          <w:rtl w:val="0"/>
        </w:rPr>
        <w:t xml:space="preserve">Power system design.</w:t>
      </w:r>
    </w:p>
    <w:p w:rsidR="00000000" w:rsidDel="00000000" w:rsidP="00000000" w:rsidRDefault="00000000" w:rsidRPr="00000000" w14:paraId="00000002">
      <w:pPr>
        <w:pStyle w:val="Heading2"/>
        <w:numPr>
          <w:ilvl w:val="1"/>
          <w:numId w:val="1"/>
        </w:numPr>
        <w:spacing w:before="0" w:beforeAutospacing="0"/>
      </w:pPr>
      <w:bookmarkStart w:colFirst="0" w:colLast="0" w:name="_2cs8nzvxifpu" w:id="1"/>
      <w:bookmarkEnd w:id="1"/>
      <w:r w:rsidDel="00000000" w:rsidR="00000000" w:rsidRPr="00000000">
        <w:rPr>
          <w:rtl w:val="0"/>
        </w:rPr>
        <w:t xml:space="preserve">General architecture.</w:t>
      </w:r>
    </w:p>
    <w:p w:rsidR="00000000" w:rsidDel="00000000" w:rsidP="00000000" w:rsidRDefault="00000000" w:rsidRPr="00000000" w14:paraId="00000003">
      <w:pPr>
        <w:jc w:val="both"/>
        <w:rPr/>
      </w:pPr>
      <w:r w:rsidDel="00000000" w:rsidR="00000000" w:rsidRPr="00000000">
        <w:rPr>
          <w:rtl w:val="0"/>
        </w:rPr>
        <w:t xml:space="preserve">EX1 power system was designed with the objective to minimize the overall size and weight required to provide with sufficient power to all rover systems and subsystems while guaranteeing that peaks of power demand could be met and that individual components were properly protected from potential power surges. To accomplish this, power is provided exclusively through two </w:t>
      </w:r>
      <w:r w:rsidDel="00000000" w:rsidR="00000000" w:rsidRPr="00000000">
        <w:rPr>
          <w:b w:val="1"/>
          <w:rtl w:val="0"/>
        </w:rPr>
        <w:t xml:space="preserve">18V 6000mAh LiFe batteries</w:t>
      </w:r>
      <w:r w:rsidDel="00000000" w:rsidR="00000000" w:rsidRPr="00000000">
        <w:rPr>
          <w:rtl w:val="0"/>
        </w:rPr>
        <w:t xml:space="preserve"> weighing 650 gr each. LiFe batteries were chosen over LiPo batteries due to their overcharge and </w:t>
      </w:r>
      <w:r w:rsidDel="00000000" w:rsidR="00000000" w:rsidRPr="00000000">
        <w:rPr>
          <w:rtl w:val="0"/>
        </w:rPr>
        <w:t xml:space="preserve">overdischarge</w:t>
      </w:r>
      <w:r w:rsidDel="00000000" w:rsidR="00000000" w:rsidRPr="00000000">
        <w:rPr>
          <w:rtl w:val="0"/>
        </w:rPr>
        <w:t xml:space="preserve"> protection. These batteries are mounted onto the top chassis panel. Five different power lines are required to provide all rover systems with their required voltages: 5 V, 12 V, 14.5 V, 24 V., and 36 V.</w:t>
      </w:r>
    </w:p>
    <w:p w:rsidR="00000000" w:rsidDel="00000000" w:rsidP="00000000" w:rsidRDefault="00000000" w:rsidRPr="00000000" w14:paraId="00000004">
      <w:pPr>
        <w:jc w:val="both"/>
        <w:rPr/>
      </w:pPr>
      <w:r w:rsidDel="00000000" w:rsidR="00000000" w:rsidRPr="00000000">
        <w:rPr>
          <w:rtl w:val="0"/>
        </w:rPr>
        <w:t xml:space="preserve"> </w:t>
      </w:r>
    </w:p>
    <w:p w:rsidR="00000000" w:rsidDel="00000000" w:rsidP="00000000" w:rsidRDefault="00000000" w:rsidRPr="00000000" w14:paraId="00000005">
      <w:pPr>
        <w:ind w:firstLine="720"/>
        <w:jc w:val="both"/>
        <w:rPr/>
      </w:pPr>
      <w:r w:rsidDel="00000000" w:rsidR="00000000" w:rsidRPr="00000000">
        <w:rPr>
          <w:rtl w:val="0"/>
        </w:rPr>
        <w:t xml:space="preserve">In the absence of power generation devices, such as PV solar panels, EX1 power system comprises primarily two battery units and the </w:t>
      </w:r>
      <w:r w:rsidDel="00000000" w:rsidR="00000000" w:rsidRPr="00000000">
        <w:rPr>
          <w:b w:val="1"/>
          <w:rtl w:val="0"/>
        </w:rPr>
        <w:t xml:space="preserve">Power Conditioning and Distribution Electronics (PCDE) module</w:t>
      </w:r>
      <w:r w:rsidDel="00000000" w:rsidR="00000000" w:rsidRPr="00000000">
        <w:rPr>
          <w:rtl w:val="0"/>
        </w:rPr>
        <w:t xml:space="preserve">;</w:t>
      </w:r>
      <w:r w:rsidDel="00000000" w:rsidR="00000000" w:rsidRPr="00000000">
        <w:rPr>
          <w:rtl w:val="0"/>
        </w:rPr>
        <w:t xml:space="preserve"> i.e., a set of two PCBs that work together to convert input power into required output power and redistribute this to the different components in the system. The two PCBs that comprised the PCDE are called the </w:t>
      </w:r>
      <w:r w:rsidDel="00000000" w:rsidR="00000000" w:rsidRPr="00000000">
        <w:rPr>
          <w:b w:val="1"/>
          <w:rtl w:val="0"/>
        </w:rPr>
        <w:t xml:space="preserve">Power Supply Unit (PSU)</w:t>
      </w:r>
      <w:r w:rsidDel="00000000" w:rsidR="00000000" w:rsidRPr="00000000">
        <w:rPr>
          <w:rtl w:val="0"/>
        </w:rPr>
        <w:t xml:space="preserve"> and the </w:t>
      </w:r>
      <w:r w:rsidDel="00000000" w:rsidR="00000000" w:rsidRPr="00000000">
        <w:rPr>
          <w:b w:val="1"/>
          <w:rtl w:val="0"/>
        </w:rPr>
        <w:t xml:space="preserve">Power Distribution Unit (PDU)</w:t>
      </w:r>
      <w:r w:rsidDel="00000000" w:rsidR="00000000" w:rsidRPr="00000000">
        <w:rPr>
          <w:rtl w:val="0"/>
        </w:rPr>
        <w:t xml:space="preserve">, both of which are described in the following sections. </w:t>
      </w:r>
    </w:p>
    <w:p w:rsidR="00000000" w:rsidDel="00000000" w:rsidP="00000000" w:rsidRDefault="00000000" w:rsidRPr="00000000" w14:paraId="00000006">
      <w:pPr>
        <w:ind w:firstLine="720"/>
        <w:jc w:val="both"/>
        <w:rPr/>
      </w:pPr>
      <w:r w:rsidDel="00000000" w:rsidR="00000000" w:rsidRPr="00000000">
        <w:rPr>
          <w:rtl w:val="0"/>
        </w:rPr>
      </w:r>
    </w:p>
    <w:p w:rsidR="00000000" w:rsidDel="00000000" w:rsidP="00000000" w:rsidRDefault="00000000" w:rsidRPr="00000000" w14:paraId="00000007">
      <w:pPr>
        <w:ind w:firstLine="720"/>
        <w:jc w:val="both"/>
        <w:rPr/>
      </w:pPr>
      <w:r w:rsidDel="00000000" w:rsidR="00000000" w:rsidRPr="00000000">
        <w:rPr>
          <w:rtl w:val="0"/>
        </w:rPr>
        <w:t xml:space="preserve">In order to protect the different subsystems against power surges a series of 10 A fuses were allocated throughout the high-power lines. To make sure power output is always controlled by the operator, an Emergency Off (EMO) switch and a set of toggle switches were incorporated into the design (for more details, refer to Section 5.2 and Fig. 8-1.).  For details on the procedure to power up the rover, refer to Section 8.1. </w:t>
      </w:r>
    </w:p>
    <w:p w:rsidR="00000000" w:rsidDel="00000000" w:rsidP="00000000" w:rsidRDefault="00000000" w:rsidRPr="00000000" w14:paraId="00000008">
      <w:pPr>
        <w:ind w:firstLine="720"/>
        <w:jc w:val="both"/>
        <w:rPr/>
      </w:pPr>
      <w:r w:rsidDel="00000000" w:rsidR="00000000" w:rsidRPr="00000000">
        <w:rPr>
          <w:rtl w:val="0"/>
        </w:rPr>
      </w:r>
    </w:p>
    <w:p w:rsidR="00000000" w:rsidDel="00000000" w:rsidP="00000000" w:rsidRDefault="00000000" w:rsidRPr="00000000" w14:paraId="00000009">
      <w:pPr>
        <w:ind w:firstLine="720"/>
        <w:jc w:val="both"/>
        <w:rPr/>
      </w:pPr>
      <w:r w:rsidDel="00000000" w:rsidR="00000000" w:rsidRPr="00000000">
        <w:rPr>
          <w:rtl w:val="0"/>
        </w:rPr>
        <w:t xml:space="preserve">The general power system architecture is depicted in Fig. 5-1. </w:t>
      </w:r>
    </w:p>
    <w:p w:rsidR="00000000" w:rsidDel="00000000" w:rsidP="00000000" w:rsidRDefault="00000000" w:rsidRPr="00000000" w14:paraId="0000000A">
      <w:pPr>
        <w:ind w:firstLine="720"/>
        <w:jc w:val="both"/>
        <w:rPr/>
      </w:pPr>
      <w:r w:rsidDel="00000000" w:rsidR="00000000" w:rsidRPr="00000000">
        <w:rPr>
          <w:rtl w:val="0"/>
        </w:rPr>
      </w:r>
    </w:p>
    <w:p w:rsidR="00000000" w:rsidDel="00000000" w:rsidP="00000000" w:rsidRDefault="00000000" w:rsidRPr="00000000" w14:paraId="0000000B">
      <w:pPr>
        <w:ind w:left="0" w:firstLine="0"/>
        <w:jc w:val="both"/>
        <w:rPr>
          <w:i w:val="1"/>
        </w:rPr>
      </w:pPr>
      <w:r w:rsidDel="00000000" w:rsidR="00000000" w:rsidRPr="00000000">
        <w:rPr>
          <w:i w:val="1"/>
          <w:rtl w:val="0"/>
        </w:rPr>
        <w:t xml:space="preserve">Note: A simpler design for the PSU was proposed due to some manufacturing- and logistics-related issues experienced during the development of the initial PSU design. The current version in use does not incorporate specifically designed (external) power protection systems. The current design of the PSU should be regarded as a functional prototype designed and built by people with limited experience in power systems. Future students are encouraged to reassess the design of the power system to increase its robustness and reliability. </w:t>
      </w:r>
    </w:p>
    <w:p w:rsidR="00000000" w:rsidDel="00000000" w:rsidP="00000000" w:rsidRDefault="00000000" w:rsidRPr="00000000" w14:paraId="0000000C">
      <w:pPr>
        <w:ind w:firstLine="720"/>
        <w:jc w:val="both"/>
        <w:rPr/>
      </w:pPr>
      <w:r w:rsidDel="00000000" w:rsidR="00000000" w:rsidRPr="00000000">
        <w:rPr>
          <w:rtl w:val="0"/>
        </w:rPr>
      </w:r>
    </w:p>
    <w:p w:rsidR="00000000" w:rsidDel="00000000" w:rsidP="00000000" w:rsidRDefault="00000000" w:rsidRPr="00000000" w14:paraId="0000000D">
      <w:pPr>
        <w:ind w:firstLine="720"/>
        <w:jc w:val="both"/>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jc w:val="center"/>
        <w:rPr/>
      </w:pPr>
      <w:r w:rsidDel="00000000" w:rsidR="00000000" w:rsidRPr="00000000">
        <w:rPr/>
        <w:drawing>
          <wp:inline distB="114300" distT="114300" distL="114300" distR="114300">
            <wp:extent cx="7553745" cy="4167187"/>
            <wp:effectExtent b="1693279" l="-1693278" r="-1693278" t="1693279"/>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rot="16200000">
                      <a:off x="0" y="0"/>
                      <a:ext cx="7553745" cy="416718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pPr>
      <w:r w:rsidDel="00000000" w:rsidR="00000000" w:rsidRPr="00000000">
        <w:rPr>
          <w:b w:val="1"/>
          <w:i w:val="1"/>
          <w:sz w:val="18"/>
          <w:szCs w:val="18"/>
          <w:rtl w:val="0"/>
        </w:rPr>
        <w:t xml:space="preserve">Fig. 5-1</w:t>
      </w:r>
      <w:r w:rsidDel="00000000" w:rsidR="00000000" w:rsidRPr="00000000">
        <w:rPr>
          <w:i w:val="1"/>
          <w:sz w:val="18"/>
          <w:szCs w:val="18"/>
          <w:rtl w:val="0"/>
        </w:rPr>
        <w:t xml:space="preserve">. EX1 power system architecture.</w:t>
      </w:r>
      <w:r w:rsidDel="00000000" w:rsidR="00000000" w:rsidRPr="00000000">
        <w:rPr>
          <w:rtl w:val="0"/>
        </w:rPr>
      </w:r>
    </w:p>
    <w:p w:rsidR="00000000" w:rsidDel="00000000" w:rsidP="00000000" w:rsidRDefault="00000000" w:rsidRPr="00000000" w14:paraId="00000012">
      <w:pPr>
        <w:pStyle w:val="Heading2"/>
        <w:numPr>
          <w:ilvl w:val="1"/>
          <w:numId w:val="1"/>
        </w:numPr>
        <w:rPr>
          <w:sz w:val="32"/>
          <w:szCs w:val="32"/>
        </w:rPr>
      </w:pPr>
      <w:bookmarkStart w:colFirst="0" w:colLast="0" w:name="_rszwuif9ydsf" w:id="2"/>
      <w:bookmarkEnd w:id="2"/>
      <w:r w:rsidDel="00000000" w:rsidR="00000000" w:rsidRPr="00000000">
        <w:rPr>
          <w:rtl w:val="0"/>
        </w:rPr>
        <w:t xml:space="preserve">Power Supply Unit (PSU)</w:t>
      </w:r>
    </w:p>
    <w:p w:rsidR="00000000" w:rsidDel="00000000" w:rsidP="00000000" w:rsidRDefault="00000000" w:rsidRPr="00000000" w14:paraId="00000013">
      <w:pPr>
        <w:jc w:val="both"/>
        <w:rPr/>
      </w:pPr>
      <w:r w:rsidDel="00000000" w:rsidR="00000000" w:rsidRPr="00000000">
        <w:rPr>
          <w:rtl w:val="0"/>
        </w:rPr>
        <w:t xml:space="preserve">The Power Supply Unit (PSU) is a simple prototyping board in which main power inputs and outputs are allocated. In order to simplify the design, off-the-shelf DC-DC converters were used. In particular, the 24 and 14.5 V conversion was accomplished by means of two programmable </w:t>
      </w:r>
      <w:r w:rsidDel="00000000" w:rsidR="00000000" w:rsidRPr="00000000">
        <w:rPr>
          <w:b w:val="1"/>
          <w:rtl w:val="0"/>
        </w:rPr>
        <w:t xml:space="preserve">Mini-box DCDC-USB Intelligent buck-boost converters</w:t>
      </w:r>
      <w:r w:rsidDel="00000000" w:rsidR="00000000" w:rsidRPr="00000000">
        <w:rPr>
          <w:rtl w:val="0"/>
        </w:rPr>
        <w:t xml:space="preserve">. General characteristics of these two modules are provided in Table 5-1. In the case of the 5 and 12 V conversion, a </w:t>
      </w:r>
      <w:r w:rsidDel="00000000" w:rsidR="00000000" w:rsidRPr="00000000">
        <w:rPr>
          <w:b w:val="1"/>
          <w:rtl w:val="0"/>
        </w:rPr>
        <w:t xml:space="preserve">Cosel MGFS302412 and a Cosel MGFS302405 DC-DC power conversion modules</w:t>
      </w:r>
      <w:r w:rsidDel="00000000" w:rsidR="00000000" w:rsidRPr="00000000">
        <w:rPr>
          <w:rtl w:val="0"/>
        </w:rPr>
        <w:t xml:space="preserve"> were used. These two modules were previously mounted on ElDorado 2 rover. Refer to Table 5-2 and Table 5-3 for general specifications. Further details can be found in </w:t>
      </w:r>
      <w:r w:rsidDel="00000000" w:rsidR="00000000" w:rsidRPr="00000000">
        <w:rPr>
          <w:i w:val="1"/>
          <w:rtl w:val="0"/>
        </w:rPr>
        <w:t xml:space="preserve">Appendix C - Datasheets</w:t>
      </w:r>
      <w:r w:rsidDel="00000000" w:rsidR="00000000" w:rsidRPr="00000000">
        <w:rPr>
          <w:rtl w:val="0"/>
        </w:rPr>
        <w:t xml:space="preserve">. A schematic of the PSU is presented in Fig. 5-2. </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rPr/>
      </w:pPr>
      <w:r w:rsidDel="00000000" w:rsidR="00000000" w:rsidRPr="00000000">
        <w:rPr>
          <w:b w:val="1"/>
          <w:i w:val="1"/>
          <w:sz w:val="18"/>
          <w:szCs w:val="18"/>
          <w:rtl w:val="0"/>
        </w:rPr>
        <w:t xml:space="preserve">Table 5-1</w:t>
      </w:r>
      <w:r w:rsidDel="00000000" w:rsidR="00000000" w:rsidRPr="00000000">
        <w:rPr>
          <w:i w:val="1"/>
          <w:sz w:val="18"/>
          <w:szCs w:val="18"/>
          <w:rtl w:val="0"/>
        </w:rPr>
        <w:t xml:space="preserve">. Mini-box DCDC-USB converter specifications. </w:t>
      </w:r>
      <w:r w:rsidDel="00000000" w:rsidR="00000000" w:rsidRPr="00000000">
        <w:rPr>
          <w:rtl w:val="0"/>
        </w:rPr>
      </w:r>
    </w:p>
    <w:tbl>
      <w:tblPr>
        <w:tblStyle w:val="Table1"/>
        <w:tblW w:w="3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920"/>
        <w:tblGridChange w:id="0">
          <w:tblGrid>
            <w:gridCol w:w="1770"/>
            <w:gridCol w:w="1920"/>
          </w:tblGrid>
        </w:tblGridChange>
      </w:tblGrid>
      <w:t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20"/>
                <w:szCs w:val="20"/>
              </w:rPr>
            </w:pPr>
            <w:r w:rsidDel="00000000" w:rsidR="00000000" w:rsidRPr="00000000">
              <w:rPr>
                <w:sz w:val="20"/>
                <w:szCs w:val="20"/>
                <w:rtl w:val="0"/>
              </w:rPr>
              <w:t xml:space="preserve">Characteristics</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0"/>
                <w:szCs w:val="20"/>
              </w:rPr>
            </w:pPr>
            <w:r w:rsidDel="00000000" w:rsidR="00000000" w:rsidRPr="00000000">
              <w:rPr>
                <w:sz w:val="20"/>
                <w:szCs w:val="20"/>
                <w:rtl w:val="0"/>
              </w:rPr>
              <w:t xml:space="preserve">Value</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sz w:val="20"/>
                <w:szCs w:val="20"/>
              </w:rPr>
            </w:pPr>
            <w:r w:rsidDel="00000000" w:rsidR="00000000" w:rsidRPr="00000000">
              <w:rPr>
                <w:sz w:val="20"/>
                <w:szCs w:val="20"/>
                <w:rtl w:val="0"/>
              </w:rPr>
              <w:t xml:space="preserve">Power</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0"/>
                <w:szCs w:val="20"/>
              </w:rPr>
            </w:pPr>
            <w:r w:rsidDel="00000000" w:rsidR="00000000" w:rsidRPr="00000000">
              <w:rPr>
                <w:sz w:val="20"/>
                <w:szCs w:val="20"/>
                <w:rtl w:val="0"/>
              </w:rPr>
              <w:t xml:space="preserve">100 W</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sz w:val="20"/>
                <w:szCs w:val="20"/>
              </w:rPr>
            </w:pPr>
            <w:r w:rsidDel="00000000" w:rsidR="00000000" w:rsidRPr="00000000">
              <w:rPr>
                <w:sz w:val="20"/>
                <w:szCs w:val="20"/>
                <w:rtl w:val="0"/>
              </w:rPr>
              <w:t xml:space="preserve">Input range</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0"/>
                <w:szCs w:val="20"/>
              </w:rPr>
            </w:pPr>
            <w:r w:rsidDel="00000000" w:rsidR="00000000" w:rsidRPr="00000000">
              <w:rPr>
                <w:sz w:val="20"/>
                <w:szCs w:val="20"/>
                <w:rtl w:val="0"/>
              </w:rPr>
              <w:t xml:space="preserve">6-34 V</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0"/>
                <w:szCs w:val="20"/>
              </w:rPr>
            </w:pPr>
            <w:r w:rsidDel="00000000" w:rsidR="00000000" w:rsidRPr="00000000">
              <w:rPr>
                <w:sz w:val="20"/>
                <w:szCs w:val="20"/>
                <w:rtl w:val="0"/>
              </w:rPr>
              <w:t xml:space="preserve">Output range</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0"/>
                <w:szCs w:val="20"/>
              </w:rPr>
            </w:pPr>
            <w:r w:rsidDel="00000000" w:rsidR="00000000" w:rsidRPr="00000000">
              <w:rPr>
                <w:sz w:val="20"/>
                <w:szCs w:val="20"/>
                <w:rtl w:val="0"/>
              </w:rPr>
              <w:t xml:space="preserve">5-24 V</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20"/>
                <w:szCs w:val="20"/>
              </w:rPr>
            </w:pPr>
            <w:r w:rsidDel="00000000" w:rsidR="00000000" w:rsidRPr="00000000">
              <w:rPr>
                <w:sz w:val="20"/>
                <w:szCs w:val="20"/>
                <w:rtl w:val="0"/>
              </w:rPr>
              <w:t xml:space="preserve">Max. current</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20"/>
                <w:szCs w:val="20"/>
              </w:rPr>
            </w:pPr>
            <w:r w:rsidDel="00000000" w:rsidR="00000000" w:rsidRPr="00000000">
              <w:rPr>
                <w:sz w:val="20"/>
                <w:szCs w:val="20"/>
                <w:rtl w:val="0"/>
              </w:rPr>
              <w:t xml:space="preserve">10 A</w:t>
            </w:r>
          </w:p>
        </w:tc>
      </w:tr>
    </w:tbl>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rPr/>
      </w:pPr>
      <w:r w:rsidDel="00000000" w:rsidR="00000000" w:rsidRPr="00000000">
        <w:rPr>
          <w:b w:val="1"/>
          <w:i w:val="1"/>
          <w:sz w:val="18"/>
          <w:szCs w:val="18"/>
          <w:rtl w:val="0"/>
        </w:rPr>
        <w:t xml:space="preserve">Table 5-2</w:t>
      </w:r>
      <w:r w:rsidDel="00000000" w:rsidR="00000000" w:rsidRPr="00000000">
        <w:rPr>
          <w:i w:val="1"/>
          <w:sz w:val="18"/>
          <w:szCs w:val="18"/>
          <w:rtl w:val="0"/>
        </w:rPr>
        <w:t xml:space="preserve">. Cosel MGFS302412 DC-DC converter specifications. </w:t>
      </w:r>
      <w:r w:rsidDel="00000000" w:rsidR="00000000" w:rsidRPr="00000000">
        <w:rPr>
          <w:rtl w:val="0"/>
        </w:rPr>
      </w:r>
    </w:p>
    <w:tbl>
      <w:tblPr>
        <w:tblStyle w:val="Table2"/>
        <w:tblW w:w="3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920"/>
        <w:tblGridChange w:id="0">
          <w:tblGrid>
            <w:gridCol w:w="1770"/>
            <w:gridCol w:w="1920"/>
          </w:tblGrid>
        </w:tblGridChange>
      </w:tblGrid>
      <w:t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20"/>
                <w:szCs w:val="20"/>
              </w:rPr>
            </w:pPr>
            <w:r w:rsidDel="00000000" w:rsidR="00000000" w:rsidRPr="00000000">
              <w:rPr>
                <w:sz w:val="20"/>
                <w:szCs w:val="20"/>
                <w:rtl w:val="0"/>
              </w:rPr>
              <w:t xml:space="preserve">Characteristics</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0"/>
                <w:szCs w:val="20"/>
              </w:rPr>
            </w:pPr>
            <w:r w:rsidDel="00000000" w:rsidR="00000000" w:rsidRPr="00000000">
              <w:rPr>
                <w:sz w:val="20"/>
                <w:szCs w:val="20"/>
                <w:rtl w:val="0"/>
              </w:rPr>
              <w:t xml:space="preserve">Value</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20"/>
                <w:szCs w:val="20"/>
              </w:rPr>
            </w:pPr>
            <w:r w:rsidDel="00000000" w:rsidR="00000000" w:rsidRPr="00000000">
              <w:rPr>
                <w:sz w:val="20"/>
                <w:szCs w:val="20"/>
                <w:rtl w:val="0"/>
              </w:rPr>
              <w:t xml:space="preserve">Power</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sz w:val="20"/>
                <w:szCs w:val="20"/>
              </w:rPr>
            </w:pPr>
            <w:r w:rsidDel="00000000" w:rsidR="00000000" w:rsidRPr="00000000">
              <w:rPr>
                <w:sz w:val="20"/>
                <w:szCs w:val="20"/>
                <w:rtl w:val="0"/>
              </w:rPr>
              <w:t xml:space="preserve">30 W</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sz w:val="20"/>
                <w:szCs w:val="20"/>
              </w:rPr>
            </w:pPr>
            <w:r w:rsidDel="00000000" w:rsidR="00000000" w:rsidRPr="00000000">
              <w:rPr>
                <w:sz w:val="20"/>
                <w:szCs w:val="20"/>
                <w:rtl w:val="0"/>
              </w:rPr>
              <w:t xml:space="preserve">Input range</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20"/>
                <w:szCs w:val="20"/>
              </w:rPr>
            </w:pPr>
            <w:r w:rsidDel="00000000" w:rsidR="00000000" w:rsidRPr="00000000">
              <w:rPr>
                <w:sz w:val="20"/>
                <w:szCs w:val="20"/>
                <w:rtl w:val="0"/>
              </w:rPr>
              <w:t xml:space="preserve">9-36 V</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sz w:val="20"/>
                <w:szCs w:val="20"/>
              </w:rPr>
            </w:pPr>
            <w:r w:rsidDel="00000000" w:rsidR="00000000" w:rsidRPr="00000000">
              <w:rPr>
                <w:sz w:val="20"/>
                <w:szCs w:val="20"/>
                <w:rtl w:val="0"/>
              </w:rPr>
              <w:t xml:space="preserve">Default output</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0"/>
                <w:szCs w:val="20"/>
              </w:rPr>
            </w:pPr>
            <w:r w:rsidDel="00000000" w:rsidR="00000000" w:rsidRPr="00000000">
              <w:rPr>
                <w:sz w:val="20"/>
                <w:szCs w:val="20"/>
                <w:rtl w:val="0"/>
              </w:rPr>
              <w:t xml:space="preserve">12 V</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0"/>
                <w:szCs w:val="20"/>
              </w:rPr>
            </w:pPr>
            <w:r w:rsidDel="00000000" w:rsidR="00000000" w:rsidRPr="00000000">
              <w:rPr>
                <w:sz w:val="20"/>
                <w:szCs w:val="20"/>
                <w:rtl w:val="0"/>
              </w:rPr>
              <w:t xml:space="preserve">Max. current</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0"/>
                <w:szCs w:val="20"/>
              </w:rPr>
            </w:pPr>
            <w:r w:rsidDel="00000000" w:rsidR="00000000" w:rsidRPr="00000000">
              <w:rPr>
                <w:sz w:val="20"/>
                <w:szCs w:val="20"/>
                <w:rtl w:val="0"/>
              </w:rPr>
              <w:t xml:space="preserve">2.5 A</w:t>
            </w:r>
          </w:p>
        </w:tc>
      </w:tr>
    </w:tbl>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b w:val="1"/>
          <w:i w:val="1"/>
          <w:sz w:val="18"/>
          <w:szCs w:val="18"/>
          <w:rtl w:val="0"/>
        </w:rPr>
        <w:t xml:space="preserve">Table 5-3</w:t>
      </w:r>
      <w:r w:rsidDel="00000000" w:rsidR="00000000" w:rsidRPr="00000000">
        <w:rPr>
          <w:i w:val="1"/>
          <w:sz w:val="18"/>
          <w:szCs w:val="18"/>
          <w:rtl w:val="0"/>
        </w:rPr>
        <w:t xml:space="preserve">. Cosel MGFS302405 DC-DC converter specifications. </w:t>
      </w:r>
      <w:r w:rsidDel="00000000" w:rsidR="00000000" w:rsidRPr="00000000">
        <w:rPr>
          <w:rtl w:val="0"/>
        </w:rPr>
      </w:r>
    </w:p>
    <w:tbl>
      <w:tblPr>
        <w:tblStyle w:val="Table3"/>
        <w:tblW w:w="3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920"/>
        <w:tblGridChange w:id="0">
          <w:tblGrid>
            <w:gridCol w:w="1770"/>
            <w:gridCol w:w="1920"/>
          </w:tblGrid>
        </w:tblGridChange>
      </w:tblGrid>
      <w:t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20"/>
                <w:szCs w:val="20"/>
              </w:rPr>
            </w:pPr>
            <w:r w:rsidDel="00000000" w:rsidR="00000000" w:rsidRPr="00000000">
              <w:rPr>
                <w:sz w:val="20"/>
                <w:szCs w:val="20"/>
                <w:rtl w:val="0"/>
              </w:rPr>
              <w:t xml:space="preserve">Characteristics</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sz w:val="20"/>
                <w:szCs w:val="20"/>
              </w:rPr>
            </w:pPr>
            <w:r w:rsidDel="00000000" w:rsidR="00000000" w:rsidRPr="00000000">
              <w:rPr>
                <w:sz w:val="20"/>
                <w:szCs w:val="20"/>
                <w:rtl w:val="0"/>
              </w:rPr>
              <w:t xml:space="preserve">Value</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0"/>
                <w:szCs w:val="20"/>
              </w:rPr>
            </w:pPr>
            <w:r w:rsidDel="00000000" w:rsidR="00000000" w:rsidRPr="00000000">
              <w:rPr>
                <w:sz w:val="20"/>
                <w:szCs w:val="20"/>
                <w:rtl w:val="0"/>
              </w:rPr>
              <w:t xml:space="preserve">Power</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sz w:val="20"/>
                <w:szCs w:val="20"/>
              </w:rPr>
            </w:pPr>
            <w:r w:rsidDel="00000000" w:rsidR="00000000" w:rsidRPr="00000000">
              <w:rPr>
                <w:sz w:val="20"/>
                <w:szCs w:val="20"/>
                <w:rtl w:val="0"/>
              </w:rPr>
              <w:t xml:space="preserve">30 W</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20"/>
                <w:szCs w:val="20"/>
              </w:rPr>
            </w:pPr>
            <w:r w:rsidDel="00000000" w:rsidR="00000000" w:rsidRPr="00000000">
              <w:rPr>
                <w:sz w:val="20"/>
                <w:szCs w:val="20"/>
                <w:rtl w:val="0"/>
              </w:rPr>
              <w:t xml:space="preserve">Input range</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sz w:val="20"/>
                <w:szCs w:val="20"/>
              </w:rPr>
            </w:pPr>
            <w:r w:rsidDel="00000000" w:rsidR="00000000" w:rsidRPr="00000000">
              <w:rPr>
                <w:sz w:val="20"/>
                <w:szCs w:val="20"/>
                <w:rtl w:val="0"/>
              </w:rPr>
              <w:t xml:space="preserve">9-36 V</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sz w:val="20"/>
                <w:szCs w:val="20"/>
              </w:rPr>
            </w:pPr>
            <w:r w:rsidDel="00000000" w:rsidR="00000000" w:rsidRPr="00000000">
              <w:rPr>
                <w:sz w:val="20"/>
                <w:szCs w:val="20"/>
                <w:rtl w:val="0"/>
              </w:rPr>
              <w:t xml:space="preserve">Default output</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sz w:val="20"/>
                <w:szCs w:val="20"/>
              </w:rPr>
            </w:pPr>
            <w:r w:rsidDel="00000000" w:rsidR="00000000" w:rsidRPr="00000000">
              <w:rPr>
                <w:sz w:val="20"/>
                <w:szCs w:val="20"/>
                <w:rtl w:val="0"/>
              </w:rPr>
              <w:t xml:space="preserve">5 V</w:t>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20"/>
                <w:szCs w:val="20"/>
              </w:rPr>
            </w:pPr>
            <w:r w:rsidDel="00000000" w:rsidR="00000000" w:rsidRPr="00000000">
              <w:rPr>
                <w:sz w:val="20"/>
                <w:szCs w:val="20"/>
                <w:rtl w:val="0"/>
              </w:rPr>
              <w:t xml:space="preserve">Max. current</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sz w:val="20"/>
                <w:szCs w:val="20"/>
              </w:rPr>
            </w:pPr>
            <w:r w:rsidDel="00000000" w:rsidR="00000000" w:rsidRPr="00000000">
              <w:rPr>
                <w:sz w:val="20"/>
                <w:szCs w:val="20"/>
                <w:rtl w:val="0"/>
              </w:rPr>
              <w:t xml:space="preserve">6 A</w:t>
            </w:r>
          </w:p>
        </w:tc>
      </w:tr>
    </w:tbl>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drawing>
          <wp:inline distB="114300" distT="114300" distL="114300" distR="114300">
            <wp:extent cx="5943600" cy="69723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i w:val="1"/>
          <w:sz w:val="18"/>
          <w:szCs w:val="18"/>
        </w:rPr>
      </w:pPr>
      <w:r w:rsidDel="00000000" w:rsidR="00000000" w:rsidRPr="00000000">
        <w:rPr>
          <w:b w:val="1"/>
          <w:i w:val="1"/>
          <w:sz w:val="18"/>
          <w:szCs w:val="18"/>
          <w:rtl w:val="0"/>
        </w:rPr>
        <w:t xml:space="preserve">Fig. 5-2.</w:t>
      </w:r>
      <w:r w:rsidDel="00000000" w:rsidR="00000000" w:rsidRPr="00000000">
        <w:rPr>
          <w:i w:val="1"/>
          <w:sz w:val="18"/>
          <w:szCs w:val="18"/>
          <w:rtl w:val="0"/>
        </w:rPr>
        <w:t xml:space="preserve"> Power Supply Unit (PSU).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numPr>
          <w:ilvl w:val="1"/>
          <w:numId w:val="1"/>
        </w:numPr>
        <w:rPr>
          <w:sz w:val="32"/>
          <w:szCs w:val="32"/>
        </w:rPr>
      </w:pPr>
      <w:bookmarkStart w:colFirst="0" w:colLast="0" w:name="_w7ptw7cebg6z" w:id="3"/>
      <w:bookmarkEnd w:id="3"/>
      <w:r w:rsidDel="00000000" w:rsidR="00000000" w:rsidRPr="00000000">
        <w:rPr>
          <w:rtl w:val="0"/>
        </w:rPr>
        <w:t xml:space="preserve">Power Distribution Unit (PDU)</w:t>
      </w:r>
    </w:p>
    <w:p w:rsidR="00000000" w:rsidDel="00000000" w:rsidP="00000000" w:rsidRDefault="00000000" w:rsidRPr="00000000" w14:paraId="0000003D">
      <w:pPr>
        <w:jc w:val="both"/>
        <w:rPr/>
      </w:pPr>
      <w:r w:rsidDel="00000000" w:rsidR="00000000" w:rsidRPr="00000000">
        <w:rPr>
          <w:rtl w:val="0"/>
        </w:rPr>
        <w:t xml:space="preserve">The Power Distribution Unit (PDU) consists of a rather simple PCB, the objective of which is to reroute the power outputs from the PSU to the different components in the system. The final PDU design can be seen in Fig. 5-3.</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drawing>
          <wp:inline distB="114300" distT="114300" distL="114300" distR="114300">
            <wp:extent cx="3623889" cy="2166938"/>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623889" cy="2166938"/>
                    </a:xfrm>
                    <a:prstGeom prst="rect"/>
                    <a:ln/>
                  </pic:spPr>
                </pic:pic>
              </a:graphicData>
            </a:graphic>
          </wp:inline>
        </w:drawing>
      </w:r>
      <w:r w:rsidDel="00000000" w:rsidR="00000000" w:rsidRPr="00000000">
        <w:rPr/>
        <w:drawing>
          <wp:inline distB="114300" distT="114300" distL="114300" distR="114300">
            <wp:extent cx="1717124" cy="2157413"/>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717124"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i w:val="1"/>
          <w:sz w:val="18"/>
          <w:szCs w:val="18"/>
        </w:rPr>
      </w:pPr>
      <w:r w:rsidDel="00000000" w:rsidR="00000000" w:rsidRPr="00000000">
        <w:rPr>
          <w:b w:val="1"/>
          <w:i w:val="1"/>
          <w:sz w:val="18"/>
          <w:szCs w:val="18"/>
          <w:rtl w:val="0"/>
        </w:rPr>
        <w:t xml:space="preserve">Fig. 5-3.</w:t>
      </w:r>
      <w:r w:rsidDel="00000000" w:rsidR="00000000" w:rsidRPr="00000000">
        <w:rPr>
          <w:i w:val="1"/>
          <w:sz w:val="18"/>
          <w:szCs w:val="18"/>
          <w:rtl w:val="0"/>
        </w:rPr>
        <w:t xml:space="preserve"> Power Distribution Unit (PDU) 3D and top views.  </w:t>
      </w:r>
      <w:r w:rsidDel="00000000" w:rsidR="00000000" w:rsidRPr="00000000">
        <w:rPr>
          <w:rtl w:val="0"/>
        </w:rPr>
      </w:r>
    </w:p>
    <w:p w:rsidR="00000000" w:rsidDel="00000000" w:rsidP="00000000" w:rsidRDefault="00000000" w:rsidRPr="00000000" w14:paraId="00000041">
      <w:pPr>
        <w:rPr>
          <w:rFonts w:ascii="Roboto" w:cs="Roboto" w:eastAsia="Roboto" w:hAnsi="Roboto"/>
        </w:rPr>
      </w:pPr>
      <w:r w:rsidDel="00000000" w:rsidR="00000000" w:rsidRPr="00000000">
        <w:rPr>
          <w:rtl w:val="0"/>
        </w:rPr>
      </w:r>
    </w:p>
    <w:sectPr>
      <w:headerReference r:id="rId10" w:type="default"/>
      <w:footerReference r:id="rId1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jc w:val="right"/>
      <w:rPr/>
    </w:pPr>
    <w:r w:rsidDel="00000000" w:rsidR="00000000" w:rsidRPr="00000000">
      <w:rPr>
        <w:rtl w:val="0"/>
      </w:rPr>
      <w:t xml:space="preserve">    </w:t>
      <w:tab/>
      <w:tab/>
      <w:tab/>
      <w:tab/>
      <w:tab/>
      <w:tab/>
      <w:t xml:space="preserve">Explorer 1 - User Manual </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-142874</wp:posOffset>
          </wp:positionV>
          <wp:extent cx="1290638" cy="401234"/>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90638" cy="401234"/>
                  </a:xfrm>
                  <a:prstGeom prst="rect"/>
                  <a:ln/>
                </pic:spPr>
              </pic:pic>
            </a:graphicData>
          </a:graphic>
        </wp:anchor>
      </w:drawing>
    </w:r>
  </w:p>
  <w:p w:rsidR="00000000" w:rsidDel="00000000" w:rsidP="00000000" w:rsidRDefault="00000000" w:rsidRPr="00000000" w14:paraId="00000043">
    <w:pPr>
      <w:jc w:val="right"/>
      <w:rPr/>
    </w:pPr>
    <w:r w:rsidDel="00000000" w:rsidR="00000000" w:rsidRPr="00000000">
      <w:rPr>
        <w:rtl w:val="0"/>
      </w:rPr>
      <w:t xml:space="preserve">Issue 1 Rev. 0</w:t>
    </w:r>
  </w:p>
  <w:p w:rsidR="00000000" w:rsidDel="00000000" w:rsidP="00000000" w:rsidRDefault="00000000" w:rsidRPr="00000000" w14:paraId="00000044">
    <w:pPr>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sz w:val="40"/>
      <w:szCs w:val="40"/>
    </w:rPr>
  </w:style>
  <w:style w:type="paragraph" w:styleId="Heading2">
    <w:name w:val="heading 2"/>
    <w:basedOn w:val="Normal"/>
    <w:next w:val="Normal"/>
    <w:pPr>
      <w:keepNext w:val="1"/>
      <w:keepLines w:val="1"/>
      <w:spacing w:after="120" w:before="360" w:lineRule="auto"/>
      <w:ind w:left="1080" w:hanging="360"/>
    </w:pPr>
    <w:rPr>
      <w:sz w:val="32"/>
      <w:szCs w:val="32"/>
    </w:rPr>
  </w:style>
  <w:style w:type="paragraph" w:styleId="Heading3">
    <w:name w:val="heading 3"/>
    <w:basedOn w:val="Normal"/>
    <w:next w:val="Normal"/>
    <w:pPr>
      <w:keepNext w:val="1"/>
      <w:keepLines w:val="1"/>
      <w:spacing w:after="80" w:before="320" w:lineRule="auto"/>
      <w:ind w:left="1800" w:hanging="360"/>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