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b/>
          <w:bCs/>
          <w:sz w:val="36"/>
          <w:szCs w:val="36"/>
        </w:rPr>
        <w:t xml:space="preserve">AECO — Caso clínico: suspeita de leishmaniose visceral</w:t>
      </w:r>
    </w:p>
    <w:p>
      <w:r>
        <w:rPr>
          <w:color w:val="555555"/>
          <w:sz w:val="22"/>
          <w:szCs w:val="22"/>
        </w:rPr>
        <w:t xml:space="preserve">Ana Clara Oliveira</w:t>
      </w:r>
    </w:p>
    <w:p>
      <w:r>
        <w:rPr>
          <w:i/>
          <w:iCs/>
          <w:color w:val="777777"/>
          <w:sz w:val="20"/>
          <w:szCs w:val="20"/>
        </w:rPr>
        <w:t xml:space="preserve">Parasitologia Clínica — 1ª etapa 2026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Apresentação do caso</w:t>
      </w:r>
    </w:p>
    <w:p>
      <w:pPr>
        <w:jc w:val="both"/>
      </w:pPr>
      <w:r>
        <w:rPr>
          <w:sz w:val="22"/>
          <w:szCs w:val="22"/>
        </w:rPr>
        <w:t xml:space="preserve">Paciente do sexo masculino, 7 anos, procedente de zona periurbana de Belo Horizonte/MG, encaminhado à UBS com história de febre intermitente há três semanas, palidez progressiva e aumento do volume abdominal.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No exame físico: estado geral regular, hepatoesplenomegalia evidente (fígado a 4 cm do RCD, baço a 5 cm do RCE), mucosas hipocoradas +++/4+.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Exames laboratoriais iniciais mostram anemia normocítica/normocrômica (Hb 7,8 g/dL), leucopenia (3.200/mm³) com linfocitose relativa, plaquetopenia (95.000/mm³) e elevação de transaminases.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Hipóteses diagnósticas</w:t>
      </w:r>
    </w:p>
    <w:p>
      <w:pPr>
        <w:jc w:val="both"/>
      </w:pPr>
      <w:r>
        <w:rPr>
          <w:sz w:val="22"/>
          <w:szCs w:val="22"/>
        </w:rPr>
        <w:t xml:space="preserve">O conjunto tríade febre prolongada + hepatoesplenomegalia + pancitopenia, somado à procedência de área endêmica, impõe como hipótese principal a leishmaniose visceral. Diagnósticos diferenciais incluem linfomas, infecções crônicas (tuberculose disseminada, endocardite bacteriana subaguda) e hemopatias.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Conduta proposta</w:t>
      </w:r>
    </w:p>
    <w:p>
      <w:pPr>
        <w:jc w:val="both"/>
      </w:pPr>
      <w:r>
        <w:rPr>
          <w:sz w:val="22"/>
          <w:szCs w:val="22"/>
        </w:rPr>
        <w:t xml:space="preserve">Solicitação de teste rápido rK39 (ELISA imunocromatográfico) e confirmação com parasitológico de medula óssea se houver disponibilidade. Em paralelo, iniciar estabilização hemodinâmica e avaliação nutricional.</w:t>
      </w:r>
    </w:p>
    <w:p>
      <w:r>
        <w:t xml:space="preserve"/>
      </w:r>
    </w:p>
    <w:p>
      <w:pPr>
        <w:jc w:val="both"/>
      </w:pPr>
      <w:r>
        <w:rPr>
          <w:sz w:val="22"/>
          <w:szCs w:val="22"/>
        </w:rPr>
        <w:t xml:space="preserve">Confirmado o diagnóstico, priorizar anfotericina B lipossomal pela idade do paciente (menor de 18 anos, perfil de segurança superior). Acompanhamento ambulatorial após alta com controle hematológico seriado.</w:t>
      </w:r>
    </w:p>
    <w:p>
      <w:r>
        <w:t xml:space="preserve"/>
      </w:r>
    </w:p>
    <w:p>
      <w:pPr>
        <w:pStyle w:val="Heading2"/>
      </w:pPr>
      <w:r>
        <w:rPr>
          <w:b/>
          <w:bCs/>
          <w:sz w:val="26"/>
          <w:szCs w:val="26"/>
        </w:rPr>
        <w:t xml:space="preserve">Referência utilizada</w:t>
      </w:r>
    </w:p>
    <w:p>
      <w:pPr>
        <w:jc w:val="both"/>
      </w:pPr>
      <w:r>
        <w:rPr>
          <w:sz w:val="22"/>
          <w:szCs w:val="22"/>
        </w:rPr>
        <w:t xml:space="preserve">MINISTÉRIO DA SAÚDE. Guia de vigilância em saúde: leishmaniose visceral. Brasília, 2023.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2026-04-20T15:39:57.675Z</dcterms:created>
  <dcterms:modified xsi:type="dcterms:W3CDTF">2026-04-20T15:39:57.675Z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