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F88" w:rsidRDefault="00FA4887" w:rsidP="000A5753">
      <w:pPr>
        <w:pStyle w:val="Heading3"/>
      </w:pPr>
      <w:bookmarkStart w:id="0" w:name="_GoBack"/>
      <w:bookmarkEnd w:id="0"/>
      <w:r>
        <w:t>Use and misuse of a common growth metric: guidance for appropriately calculating and reporting specific growth rate</w:t>
      </w:r>
    </w:p>
    <w:p w:rsidR="00407F88" w:rsidRDefault="00FA4887">
      <w:pPr>
        <w:pStyle w:val="Heading5"/>
      </w:pPr>
      <w:bookmarkStart w:id="1" w:name="derek-p.-crane"/>
      <w:r>
        <w:t>Derek P. Crane</w:t>
      </w:r>
      <w:bookmarkEnd w:id="1"/>
    </w:p>
    <w:p w:rsidR="00407F88" w:rsidRDefault="00FA4887">
      <w:pPr>
        <w:pStyle w:val="Heading6"/>
      </w:pPr>
      <w:bookmarkStart w:id="2" w:name="X969b9f1ea3b02f0fe1c569ec521bb8288ea051f"/>
      <w:r>
        <w:t xml:space="preserve">Department of Biology, Coastal Carolina University, 107 Chanticleer Drive East, Conway, South Carolina, USA 29526; email: </w:t>
      </w:r>
      <w:hyperlink r:id="rId7">
        <w:r>
          <w:rPr>
            <w:rStyle w:val="Hyperlink"/>
          </w:rPr>
          <w:t>dcrane@coastal.edu</w:t>
        </w:r>
      </w:hyperlink>
      <w:r>
        <w:t>; phone: (843) 349-4065</w:t>
      </w:r>
      <w:bookmarkEnd w:id="2"/>
    </w:p>
    <w:p w:rsidR="00407F88" w:rsidRDefault="00FA4887">
      <w:pPr>
        <w:pStyle w:val="Heading5"/>
      </w:pPr>
      <w:bookmarkStart w:id="3" w:name="derek-h.-ogle"/>
      <w:r>
        <w:t>Derek H. Ogle</w:t>
      </w:r>
      <w:bookmarkEnd w:id="3"/>
    </w:p>
    <w:p w:rsidR="00407F88" w:rsidRDefault="00FA4887">
      <w:pPr>
        <w:pStyle w:val="Heading6"/>
      </w:pPr>
      <w:bookmarkStart w:id="4" w:name="X6943ca197306abc34af69b4efad73aa5d8f784c"/>
      <w:r>
        <w:t>Department of Mathmatical Sciences and Department of Natural Resources, Northland College</w:t>
      </w:r>
      <w:bookmarkEnd w:id="4"/>
    </w:p>
    <w:p w:rsidR="00407F88" w:rsidRDefault="00FA4887">
      <w:pPr>
        <w:pStyle w:val="Heading5"/>
      </w:pPr>
      <w:bookmarkStart w:id="5" w:name="daniel-e.-shoup"/>
      <w:r>
        <w:t>Daniel E. Shoup</w:t>
      </w:r>
      <w:bookmarkEnd w:id="5"/>
    </w:p>
    <w:p w:rsidR="00407F88" w:rsidRDefault="00FA4887">
      <w:pPr>
        <w:pStyle w:val="Heading6"/>
      </w:pPr>
      <w:bookmarkStart w:id="6" w:name="X54ce459698b9aa9d104c78342fb998b8b11f7a7"/>
      <w:r>
        <w:t>Department of Natural Resource Ecology and Management, Oklahoma State University</w:t>
      </w:r>
      <w:bookmarkEnd w:id="6"/>
    </w:p>
    <w:p w:rsidR="00407F88" w:rsidRDefault="00FA4887">
      <w:pPr>
        <w:pStyle w:val="Heading7"/>
      </w:pPr>
      <w:bookmarkStart w:id="7" w:name="X05d96c1e635a56f76a208335bd1757078005881"/>
      <w:r>
        <w:t>Running title: Use of specific growth rate equation</w:t>
      </w:r>
      <w:bookmarkEnd w:id="7"/>
    </w:p>
    <w:p w:rsidR="00407F88" w:rsidRDefault="00407F88">
      <w:pPr>
        <w:pStyle w:val="Heading9"/>
      </w:pPr>
      <w:bookmarkStart w:id="8" w:name="section"/>
      <w:bookmarkEnd w:id="8"/>
    </w:p>
    <w:p w:rsidR="00407F88" w:rsidRPr="000A5753" w:rsidRDefault="00FA4887" w:rsidP="000A5753">
      <w:pPr>
        <w:pStyle w:val="Heading3"/>
      </w:pPr>
      <w:bookmarkStart w:id="9" w:name="abstract"/>
      <w:r w:rsidRPr="000A5753">
        <w:t>Abstract</w:t>
      </w:r>
      <w:bookmarkEnd w:id="9"/>
    </w:p>
    <w:p w:rsidR="00407F88" w:rsidRDefault="00FA4887" w:rsidP="000A5753">
      <w:pPr>
        <w:pStyle w:val="Heading8"/>
      </w:pPr>
      <w:bookmarkStart w:id="10" w:name="will-be-more-here"/>
      <w:r>
        <w:t>WILL BE MORE HERE</w:t>
      </w:r>
      <w:bookmarkEnd w:id="10"/>
    </w:p>
    <w:p w:rsidR="00407F88" w:rsidRDefault="00FA4887">
      <w:pPr>
        <w:pStyle w:val="Heading7"/>
      </w:pPr>
      <w:bookmarkStart w:id="11" w:name="Xf24717371298b4da9b154ae2a4e69631569ff09"/>
      <w:r>
        <w:t>Keywords: aquaculture, fisheries sciences, specific growth rate</w:t>
      </w:r>
      <w:bookmarkEnd w:id="11"/>
    </w:p>
    <w:p w:rsidR="00407F88" w:rsidRDefault="00407F88">
      <w:pPr>
        <w:pStyle w:val="Heading9"/>
      </w:pPr>
      <w:bookmarkStart w:id="12" w:name="section-1"/>
      <w:bookmarkEnd w:id="12"/>
    </w:p>
    <w:p w:rsidR="00407F88" w:rsidRPr="00D0279F" w:rsidRDefault="00FA4887" w:rsidP="00D0279F">
      <w:pPr>
        <w:pStyle w:val="Heading1"/>
      </w:pPr>
      <w:bookmarkStart w:id="13" w:name="introduction"/>
      <w:r w:rsidRPr="00D0279F">
        <w:t>Introduction</w:t>
      </w:r>
      <w:bookmarkEnd w:id="13"/>
    </w:p>
    <w:p w:rsidR="00407F88" w:rsidRDefault="00FA4887">
      <w:pPr>
        <w:pStyle w:val="FirstParagraph"/>
      </w:pPr>
      <w:r>
        <w:t>Growth is one of the most commonly calculated vital rates in aquaculture and fisheries management. Growth is often related to the other vital rates, survival (Garvey et al., 1998; Olson, 1996; Post and Evans, 1989) and fecundity (Danylchuk and Fox, 1994; Michaletz, 1998), and is a critical component determining yield from a fishery (Ricker, 1975). Fish growth is of great interest to production aquaculture and commercial fisheries management because of its importance to yield, and to sportfish management because if its impact on population size structure. Growth is the net result of energy intake and expenditure and, as such, is usually influenced by environmental conditions such as prey availability (Crane and Einhouse, 2016; Hoxmeier et al., 2006; Michaletz, 2014), predation risk (Shoup et al., 2003; Westerberg et al., 2004), turbidity (Shoup and Lane, 2015; Tomcko and Pierce, 2001), temperature (Michaletz, 2014; Weber et al., 2015), and water chemistry (Shoup et al., 2007; Tomcko and Pierce, 2001). Growth can be expressed in many ways (e.g., relative growth, instantaneous growth, size-specific growth), but all growth metrics requires knowledge of the size of fish at two or more points in time, either from direct or indirect (e.g., back calculation, modeling mean length at age, etc.) measurements (Shoup and Michaletz, 2017). The time interval between size measurements can range from days to decades depending on the species and question of interest.</w:t>
      </w:r>
    </w:p>
    <w:p w:rsidR="00407F88" w:rsidRDefault="00FA4887">
      <w:pPr>
        <w:pStyle w:val="BodyText"/>
      </w:pPr>
      <w:r>
        <w:t>It is often assumed that weight of fish, especially small fish, increases exponentially over short periods of time (e.g., hours, days, weeks, or a few years). With this assumption, the instantaneous growth rate (</w:t>
      </w:r>
      <m:oMath>
        <m:r>
          <w:rPr>
            <w:rFonts w:ascii="Cambria Math" w:hAnsi="Cambria Math"/>
          </w:rPr>
          <m:t>g</m:t>
        </m:r>
      </m:oMath>
      <w:r>
        <w:t>) is defined as</w:t>
      </w:r>
    </w:p>
    <w:p w:rsidR="00407F88" w:rsidRDefault="00FA4887">
      <w:pPr>
        <w:pStyle w:val="BodyText"/>
      </w:pPr>
      <w:bookmarkStart w:id="14" w:name="eq:g"/>
      <m:oMathPara>
        <m:oMathParaPr>
          <m:jc m:val="center"/>
        </m:oMathParaPr>
        <m:oMath>
          <m:r>
            <w:rPr>
              <w:rFonts w:ascii="Cambria Math" w:hAnsi="Cambria Math"/>
            </w:rPr>
            <m:t>g=</m:t>
          </m:r>
          <m:f>
            <m:fPr>
              <m:ctrlPr>
                <w:rPr>
                  <w:rFonts w:ascii="Cambria Math" w:hAnsi="Cambria Math"/>
                </w:rPr>
              </m:ctrlPr>
            </m:fPr>
            <m:num>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  (1)</m:t>
          </m:r>
        </m:oMath>
      </m:oMathPara>
      <w:bookmarkEnd w:id="14"/>
    </w:p>
    <w:p w:rsidR="00407F88" w:rsidRDefault="00FA4887">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are fish weights at times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respectively. Instantaneous growth rates are difficult to interpret because the units for </w:t>
      </w:r>
      <m:oMath>
        <m:r>
          <w:rPr>
            <w:rFonts w:ascii="Cambria Math" w:hAnsi="Cambria Math"/>
          </w:rPr>
          <m:t>g</m:t>
        </m:r>
      </m:oMath>
      <w:r>
        <w:t xml:space="preserve"> are log weight units per unit time (Elliott and Hurley, 1995). For this reason, </w:t>
      </w:r>
      <m:oMath>
        <m:r>
          <w:rPr>
            <w:rFonts w:ascii="Cambria Math" w:hAnsi="Cambria Math"/>
          </w:rPr>
          <m:t>g</m:t>
        </m:r>
      </m:oMath>
      <w:r>
        <w:t xml:space="preserve"> may be converted to a specific growth rate (SGR) with</w:t>
      </w:r>
    </w:p>
    <w:p w:rsidR="00407F88" w:rsidRDefault="00FA4887">
      <w:pPr>
        <w:pStyle w:val="BodyText"/>
      </w:pPr>
      <w:bookmarkStart w:id="15" w:name="eq:SGRcorrect"/>
      <m:oMathPara>
        <m:oMathParaPr>
          <m:jc m:val="center"/>
        </m:oMathParaPr>
        <m:oMath>
          <m:r>
            <m:rPr>
              <m:sty m:val="p"/>
            </m:rPr>
            <w:rPr>
              <w:rFonts w:ascii="Cambria Math" w:hAnsi="Cambria Math"/>
            </w:rPr>
            <m:t>SGR</m:t>
          </m:r>
          <m:r>
            <w:rPr>
              <w:rFonts w:ascii="Cambria Math" w:hAnsi="Cambria Math"/>
            </w:rPr>
            <m:t>=100⋅(</m:t>
          </m:r>
          <m:sSup>
            <m:sSupPr>
              <m:ctrlPr>
                <w:rPr>
                  <w:rFonts w:ascii="Cambria Math" w:hAnsi="Cambria Math"/>
                </w:rPr>
              </m:ctrlPr>
            </m:sSupPr>
            <m:e>
              <m:r>
                <m:rPr>
                  <m:sty m:val="p"/>
                </m:rPr>
                <w:rPr>
                  <w:rFonts w:ascii="Cambria Math" w:hAnsi="Cambria Math"/>
                </w:rPr>
                <m:t>e</m:t>
              </m:r>
            </m:e>
            <m:sup>
              <m:r>
                <w:rPr>
                  <w:rFonts w:ascii="Cambria Math" w:hAnsi="Cambria Math"/>
                </w:rPr>
                <m:t>g</m:t>
              </m:r>
            </m:sup>
          </m:sSup>
          <m:r>
            <w:rPr>
              <w:rFonts w:ascii="Cambria Math" w:hAnsi="Cambria Math"/>
            </w:rPr>
            <m:t>-1)  (2)</m:t>
          </m:r>
        </m:oMath>
      </m:oMathPara>
      <w:bookmarkEnd w:id="15"/>
    </w:p>
    <w:p w:rsidR="00407F88" w:rsidRDefault="00FA4887">
      <w:pPr>
        <w:pStyle w:val="FirstParagraph"/>
      </w:pPr>
      <w:r>
        <w:t>which has units of percent per time unit (of weight). However, several widely used texts (Busacker et al., 1990; Moyle and Cech, 2004; Shoup and Michaletz, 2017; Wootton, 1990), and highly cited reviews on growth of fishes and research publications (Hopkins, 1992; Cook et al., 2000; Lugert et al., 2016) have defined the SGR as</w:t>
      </w:r>
    </w:p>
    <w:bookmarkStart w:id="16" w:name="eq:SGRtypical"/>
    <w:p w:rsidR="00407F88" w:rsidRDefault="00DE28F5">
      <w:pPr>
        <w:pStyle w:val="BodyText"/>
      </w:pPr>
      <m:oMathPara>
        <m:oMathParaPr>
          <m:jc m:val="center"/>
        </m:oMathParaPr>
        <m:oMath>
          <m:sSup>
            <m:sSupPr>
              <m:ctrlPr>
                <w:rPr>
                  <w:rFonts w:ascii="Cambria Math" w:hAnsi="Cambria Math"/>
                </w:rPr>
              </m:ctrlPr>
            </m:sSupPr>
            <m:e>
              <m:r>
                <m:rPr>
                  <m:sty m:val="p"/>
                </m:rPr>
                <w:rPr>
                  <w:rFonts w:ascii="Cambria Math" w:hAnsi="Cambria Math"/>
                </w:rPr>
                <m:t>SGR</m:t>
              </m:r>
            </m:e>
            <m:sup>
              <m:r>
                <w:rPr>
                  <w:rFonts w:ascii="Cambria Math" w:hAnsi="Cambria Math"/>
                </w:rPr>
                <m:t>*</m:t>
              </m:r>
            </m:sup>
          </m:sSup>
          <m:r>
            <w:rPr>
              <w:rFonts w:ascii="Cambria Math" w:hAnsi="Cambria Math"/>
            </w:rPr>
            <m:t>=100⋅g  (3)</m:t>
          </m:r>
        </m:oMath>
      </m:oMathPara>
      <w:bookmarkEnd w:id="16"/>
    </w:p>
    <w:p w:rsidR="00407F88" w:rsidRDefault="00FA4887">
      <w:pPr>
        <w:pStyle w:val="FirstParagraph"/>
      </w:pPr>
      <w:r>
        <w:t>and incorrectly claimed that this had the same units as the SGR in eq. 2.</w:t>
      </w:r>
    </w:p>
    <w:p w:rsidR="00407F88" w:rsidRDefault="00FA4887">
      <w:pPr>
        <w:pStyle w:val="BodyText"/>
      </w:pPr>
      <w:r>
        <w:t>Most criticism of SGR has focused on whether or not an exponential model is an appropriate model to describe fish growth (thoroughly reviewed in Dumas et al. (2010) and Lugert et al. (2016)), which we will not address here. Our objectives here are to (1) demonstrate through a review of the fisheries literature that the incorrect equation of eq. 3 is commonly used instead of the correct equation of eq. 2 and (2) illustrate how using eq. 3 instead of eq. 2 can lead to errors in interpretation.</w:t>
      </w:r>
    </w:p>
    <w:p w:rsidR="00407F88" w:rsidRDefault="00FA4887" w:rsidP="00D0279F">
      <w:pPr>
        <w:pStyle w:val="Heading1"/>
      </w:pPr>
      <w:bookmarkStart w:id="17" w:name="literature-review"/>
      <w:r>
        <w:t>Literature review</w:t>
      </w:r>
      <w:bookmarkEnd w:id="17"/>
    </w:p>
    <w:p w:rsidR="00407F88" w:rsidRPr="00D0279F" w:rsidRDefault="00FA4887" w:rsidP="00D0279F">
      <w:pPr>
        <w:pStyle w:val="Heading2"/>
      </w:pPr>
      <w:bookmarkStart w:id="18" w:name="paper-selection-and-data-extraction"/>
      <w:r w:rsidRPr="00D0279F">
        <w:t>Paper selection and data extraction</w:t>
      </w:r>
      <w:bookmarkEnd w:id="18"/>
    </w:p>
    <w:p w:rsidR="00407F88" w:rsidRDefault="00FA4887">
      <w:pPr>
        <w:pStyle w:val="FirstParagraph"/>
      </w:pPr>
      <w:r>
        <w:t xml:space="preserve">We reviewed the fisheries literature to determine the extent to which SGR is used, the rate at which the typical SGR (equation 1) and the correct SGR (equation 2) equations are used, and other characteristics related to the use of SGR (described below). To estimate the overall use of SGR, we recorded the number of results </w:t>
      </w:r>
      <w:r>
        <w:lastRenderedPageBreak/>
        <w:t>returned by GoogleScholar</w:t>
      </w:r>
      <m:oMath>
        <m:sSup>
          <m:sSupPr>
            <m:ctrlPr>
              <w:rPr>
                <w:rFonts w:ascii="Cambria Math" w:hAnsi="Cambria Math"/>
              </w:rPr>
            </m:ctrlPr>
          </m:sSupPr>
          <m:e>
            <m:r>
              <w:rPr>
                <w:rFonts w:ascii="Cambria Math" w:hAnsi="Cambria Math"/>
              </w:rPr>
              <m:t>​</m:t>
            </m:r>
          </m:e>
          <m:sup>
            <m:r>
              <m:rPr>
                <m:sty m:val="p"/>
              </m:rPr>
              <w:rPr>
                <w:rFonts w:ascii="Cambria Math" w:hAnsi="Cambria Math"/>
              </w:rPr>
              <m:t>TM</m:t>
            </m:r>
          </m:sup>
        </m:sSup>
      </m:oMath>
      <w:r>
        <w:t xml:space="preserve"> (hereafter, GS) using the search criteria ‘”specific growth rate” AND fish’ for each year from 2009 to 2018. We then obtained a sample of approximately 1000 results each year from this search using PublishOrPerish</w:t>
      </w:r>
      <m:oMath>
        <m:sSup>
          <m:sSupPr>
            <m:ctrlPr>
              <w:rPr>
                <w:rFonts w:ascii="Cambria Math" w:hAnsi="Cambria Math"/>
              </w:rPr>
            </m:ctrlPr>
          </m:sSupPr>
          <m:e>
            <m:r>
              <w:rPr>
                <w:rFonts w:ascii="Cambria Math" w:hAnsi="Cambria Math"/>
              </w:rPr>
              <m:t>​</m:t>
            </m:r>
          </m:e>
          <m:sup>
            <m:r>
              <m:rPr>
                <m:sty m:val="p"/>
              </m:rPr>
              <w:rPr>
                <w:rFonts w:ascii="Cambria Math" w:hAnsi="Cambria Math"/>
              </w:rPr>
              <m:t>TM</m:t>
            </m:r>
          </m:sup>
        </m:sSup>
      </m:oMath>
      <w:r>
        <w:t xml:space="preserve"> (Harzing, 2007). To reduce any ranking bias related to the GS search algorithm, we randomized the results from each year and then examined as many results as needed to obtain a sample of 30 results per year that met the following criteria: a result must be a journal article (i.e., a “paper”), be electronically accessible to us via the internet or our library subscriptions, be written in English, be peer-reviewed, not be a synthetic review, specifically mention “specific growth rate” or “SGR” and have SGR be a substantive portion of the paper, be about fish (shellfish were excluded), provide the specific SGR equation, and not use the mass-specific SGR (Ostrovsky, 1995; Sigourney et al., 2008). We recorded the reasons why a paper was not included in our sample and the number of papers that we examined each year to reach 30 included papers. For papers included in our sample we recorded whether the correct, typical, or some other equation was used for the SGR; the reference (if any) provided for the SGR equation used; whether lengths or weights were used in the SGR; units reported for the SGR; and whether the SGR was used primarily in the context of an aquaculture or ecological study. For papers where either the correct or typical equation was not used, we recorded whether it appeared that the authors used the typical equation but presented it with typographical errors (e.g., missing or mismatched parentheses), did not multiply by 100 (i.e., presented as a proportion rather than a percentage), or did not use logarithms, or they appeared to use some other equation that was not at all similar to the typical SGR equation.</w:t>
      </w:r>
    </w:p>
    <w:p w:rsidR="00407F88" w:rsidRDefault="00FA4887" w:rsidP="00D0279F">
      <w:pPr>
        <w:pStyle w:val="Heading2"/>
      </w:pPr>
      <w:bookmarkStart w:id="19" w:name="statistical-analyses"/>
      <w:r>
        <w:t>Statistical analyses</w:t>
      </w:r>
      <w:bookmarkEnd w:id="19"/>
    </w:p>
    <w:p w:rsidR="00407F88" w:rsidRDefault="00FA4887">
      <w:pPr>
        <w:pStyle w:val="FirstParagraph"/>
      </w:pPr>
      <w:r>
        <w:t xml:space="preserve">We estimated the proportion of papers per year that did not meet our inclusion criterion with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-30</m:t>
            </m:r>
          </m:num>
          <m:den>
            <m:sSub>
              <m:sSubPr>
                <m:ctrlPr>
                  <w:rPr>
                    <w:rFonts w:ascii="Cambria Math" w:hAnsi="Cambria Math"/>
                  </w:rPr>
                </m:ctrlPr>
              </m:sSubPr>
              <m:e>
                <m:r>
                  <w:rPr>
                    <w:rFonts w:ascii="Cambria Math" w:hAnsi="Cambria Math"/>
                  </w:rPr>
                  <m:t>n</m:t>
                </m:r>
              </m:e>
              <m:sub>
                <m:r>
                  <w:rPr>
                    <w:rFonts w:ascii="Cambria Math" w:hAnsi="Cambria Math"/>
                  </w:rPr>
                  <m:t>i</m:t>
                </m:r>
              </m:sub>
            </m:sSub>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number of papers we examined in year </w:t>
      </w:r>
      <m:oMath>
        <m:r>
          <w:rPr>
            <w:rFonts w:ascii="Cambria Math" w:hAnsi="Cambria Math"/>
          </w:rPr>
          <m:t>i</m:t>
        </m:r>
      </m:oMath>
      <w:r>
        <w:t xml:space="preserve">. We then estimated the total number of papers returned by GS that would have met our inclusion criterion with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number of results returned by GS. We used simple linear regression models to examine linear trends in either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or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oMath>
      <w:r>
        <w:t xml:space="preserve"> from 2009 to 2018. Confidence intervals for percentages computed from binomial results (e.g., whether the paper had an aquaculture or ecological context) were computed with the method of Wilson (1927) as suggested by Agresti and Coull (1998), whereas those computed from multinomial results (e.g., type of equation used) used the method of May and Johnson (2000). All statistical analyses were conducted in the R environment (R Core Team, 2019) and using binom.wilson() of the epitools package (Aragon, 2017) and multinomialCi() from the multinomialCI package (Villacorta, 2012). Significance was determined when </w:t>
      </w:r>
      <m:oMath>
        <m:r>
          <w:rPr>
            <w:rFonts w:ascii="Cambria Math" w:hAnsi="Cambria Math"/>
          </w:rPr>
          <m:t>p</m:t>
        </m:r>
      </m:oMath>
      <w:r>
        <w:t>&lt;0.05 and 95% confidence was used when presenting confidence intervals (CI).</w:t>
      </w:r>
    </w:p>
    <w:p w:rsidR="00407F88" w:rsidRDefault="00FA4887" w:rsidP="00D0279F">
      <w:pPr>
        <w:pStyle w:val="Heading2"/>
      </w:pPr>
      <w:bookmarkStart w:id="20" w:name="Xd7a1b3d5e752a84b537c344c250ed23b7b16926"/>
      <w:r>
        <w:t>Rate of SGR usage in fisheries literature</w:t>
      </w:r>
      <w:bookmarkEnd w:id="20"/>
    </w:p>
    <w:p w:rsidR="00407F88" w:rsidRDefault="00FA4887">
      <w:pPr>
        <w:pStyle w:val="FirstParagraph"/>
      </w:pPr>
      <w:r>
        <w:t>The total number of articles returned by GS that met our search criteria increased significantly (</w:t>
      </w:r>
      <m:oMath>
        <m:r>
          <w:rPr>
            <w:rFonts w:ascii="Cambria Math" w:hAnsi="Cambria Math"/>
          </w:rPr>
          <m:t>p=0.0002</m:t>
        </m:r>
      </m:oMath>
      <w:r>
        <w:t>) from 1830 articles in 2009 to 3170 articles in 2018, an average increase of 142 (CI:92-193) articles per year (Figure 1). Between 38.8% (in 2016) and 68.1% (in 2009) of GoogleScholar results per year did not meet our inclusion criterion. The primary reason for not being included was because the article did not meet our seach criterion of being about fish (54.8% of excluded articles) or about SGR (8.8%). An additional 12.0% were excluded because the article did no present the SGR equation. The total number of articles that would have met our inclusion criteria increased significantly (</w:t>
      </w:r>
      <m:oMath>
        <m:r>
          <w:rPr>
            <w:rFonts w:ascii="Cambria Math" w:hAnsi="Cambria Math"/>
          </w:rPr>
          <m:t>p=0.0002</m:t>
        </m:r>
      </m:oMath>
      <w:r>
        <w:t>) from 584 in 2009 to 1865 in 2018, an average increase of 132 (CI:84-181) articles per year (Figure 1).</w:t>
      </w:r>
    </w:p>
    <w:p w:rsidR="00407F88" w:rsidRDefault="00FA4887">
      <w:pPr>
        <w:pStyle w:val="BodyText"/>
      </w:pPr>
      <w:r>
        <w:rPr>
          <w:noProof/>
        </w:rPr>
        <w:lastRenderedPageBreak/>
        <w:drawing>
          <wp:inline distT="0" distB="0" distL="0" distR="0">
            <wp:extent cx="3696101"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ane_etal_SGR_v1_files/figure-docx/SearchHitGraphs-1.png"/>
                    <pic:cNvPicPr>
                      <a:picLocks noChangeAspect="1" noChangeArrowheads="1"/>
                    </pic:cNvPicPr>
                  </pic:nvPicPr>
                  <pic:blipFill>
                    <a:blip r:embed="rId8"/>
                    <a:stretch>
                      <a:fillRect/>
                    </a:stretch>
                  </pic:blipFill>
                  <pic:spPr bwMode="auto">
                    <a:xfrm>
                      <a:off x="0" y="0"/>
                      <a:ext cx="3696101" cy="3234088"/>
                    </a:xfrm>
                    <a:prstGeom prst="rect">
                      <a:avLst/>
                    </a:prstGeom>
                    <a:noFill/>
                    <a:ln w="9525">
                      <a:noFill/>
                      <a:headEnd/>
                      <a:tailEnd/>
                    </a:ln>
                  </pic:spPr>
                </pic:pic>
              </a:graphicData>
            </a:graphic>
          </wp:inline>
        </w:drawing>
      </w:r>
    </w:p>
    <w:p w:rsidR="00407F88" w:rsidRDefault="00FA4887">
      <w:pPr>
        <w:pStyle w:val="BodyText"/>
      </w:pPr>
      <w:r>
        <w:t>Figure 1: Number of articles returned from a GoogleScholar search using ‘specific growth rate’ AND fish and the estimated number of articles that met our inclusion criteria by year from 2009-2018.</w:t>
      </w:r>
    </w:p>
    <w:p w:rsidR="00407F88" w:rsidRDefault="00FA4887" w:rsidP="00D0279F">
      <w:pPr>
        <w:pStyle w:val="Heading2"/>
      </w:pPr>
      <w:bookmarkStart w:id="21" w:name="characteristics-of-sgr-usage"/>
      <w:r>
        <w:t>Characteristics of SGR usage</w:t>
      </w:r>
      <w:bookmarkEnd w:id="21"/>
    </w:p>
    <w:p w:rsidR="00407F88" w:rsidRDefault="00FA4887">
      <w:pPr>
        <w:pStyle w:val="FirstParagraph"/>
      </w:pPr>
      <w:r>
        <w:t>The vast majority of papers that used SGR were related to aquaculture (92.6%; CI: 89.1-95.1%) as compared to general fish ecology, and used weight (96.0%; CI: 93.1-97.7%) rather than length as the measure of size. Only 10 of the 300 papers (3.3%; CI: 1.8-6.0%) that we examined from 2009 to 2018 used the correct equation for SGR, all of which used the correct units of %/day. Six of the 10 papers that used the correct equation for SGR provided a reference for the equation, with five citing Houde and Schekter (1981) and one citing Ricker (1975). The typical SGR equation was used in 85.7% (CI: 81.2-89.2%) of the papers. Additional papers appeared to attempt to use the typical equation, but 4.7% (CI: 2.8-7.7%) presented the equation with a likely typographical error, 2.3% (CI: 1.1-4.7%) did not multiply by 100, and 1.7% (CI: 0.7-3.8%) did not use logarithms. Of the 290 papers that did not use the correct SGR equation, 19.7% (CI: 15.5-24.6%) either did not present units for the SGR or different units appeared throughout the paper. Of the 233 papers that did not use the correction SGR equation and provided consistent units for the SGR, 71.7% (CI: 65.6-77.1%) used %/day and 17.2% (CI: 12.9-22.5%) used %, with the remaining 11.2% (CI: 7.7-15.8%) using a variety of incorrect units.</w:t>
      </w:r>
    </w:p>
    <w:p w:rsidR="00407F88" w:rsidRDefault="00FA4887" w:rsidP="00D0279F">
      <w:pPr>
        <w:pStyle w:val="Heading1"/>
      </w:pPr>
      <w:bookmarkStart w:id="22" w:name="correct-versus-common-sgr-equation"/>
      <w:r>
        <w:t>Correct versus common SGR equation</w:t>
      </w:r>
      <w:bookmarkEnd w:id="22"/>
    </w:p>
    <w:p w:rsidR="00407F88" w:rsidRDefault="00FA4887" w:rsidP="000A5753">
      <w:pPr>
        <w:pStyle w:val="Heading8"/>
      </w:pPr>
      <w:bookmarkStart w:id="23" w:name="will-be-more-here-1"/>
      <w:r>
        <w:t>WILL BE MORE HERE</w:t>
      </w:r>
      <w:bookmarkEnd w:id="23"/>
    </w:p>
    <w:p w:rsidR="00407F88" w:rsidRDefault="00FA4887">
      <w:pPr>
        <w:pStyle w:val="FirstParagraph"/>
      </w:pPr>
      <w:r>
        <w:t xml:space="preserve">We argue that the SGR equation is incorrectly formulated, and therefore incorrectly reported as a percent change in daily growth. Because the SGR equation actually represents instantaneous growth, the units are log weight per unit time (Elliott &amp; Hurley 1995) not percent weight per unit time. However, it has become convention in the aquaculture and fisheries literature to multiply the instantaneous growth rate by 100 and report the value as a percentage change in weight per unit time. Although this method for reporting specific growth rate is included in several widely used texts (Busacker et al. 1990; Wooten 1990, Moyle &amp; Cech 2004; </w:t>
      </w:r>
      <w:r>
        <w:lastRenderedPageBreak/>
        <w:t>Shoup and Michaletz 2017), and highly cited reviews on growth of fishes and research publications (e.g., Hopkins 1992; Cook et al. 2000; Lugert et al. 2014), it is only an approximation of percent change in weight and is negatively biased (Hopkins 1992). The conventional SGR equation (eq. 1) uses an instantaneous rate to approximate a finite rate (% weight/day). Therefore, error is affected by both the total change in body size (numerator) and duration of the study (denominator). For a given size fish, the difference between the instantaneous and true exponential growth rate decreases as t increases because the estimate of the slope of the secant line is based on smaller and smaller intervals (i.e., the linear secant line better approximates the curved exponential line as the interval between two points decreases). Similarly, for a given duration of study (t), greater changes in weight will result in increased bias of growth rates compared the true exponential growth rate.</w:t>
      </w:r>
    </w:p>
    <w:p w:rsidR="00407F88" w:rsidRDefault="00FA4887" w:rsidP="000A5753">
      <w:pPr>
        <w:pStyle w:val="Heading8"/>
      </w:pPr>
      <w:bookmarkStart w:id="24" w:name="will-be-more-here-2"/>
      <w:r>
        <w:t>WILL BE MORE HERE</w:t>
      </w:r>
      <w:bookmarkEnd w:id="24"/>
    </w:p>
    <w:p w:rsidR="00407F88" w:rsidRDefault="00FA4887" w:rsidP="00D0279F">
      <w:pPr>
        <w:pStyle w:val="Heading1"/>
      </w:pPr>
      <w:bookmarkStart w:id="25" w:name="conclusions-and-recommendations"/>
      <w:r>
        <w:t>Conclusions and recommendations</w:t>
      </w:r>
      <w:bookmarkEnd w:id="25"/>
    </w:p>
    <w:p w:rsidR="00407F88" w:rsidRDefault="00FA4887" w:rsidP="000A5753">
      <w:pPr>
        <w:pStyle w:val="Heading8"/>
      </w:pPr>
      <w:bookmarkStart w:id="26" w:name="will-be-more-here-3"/>
      <w:r>
        <w:t>WILL BE MORE HERE</w:t>
      </w:r>
      <w:bookmarkEnd w:id="26"/>
    </w:p>
    <w:p w:rsidR="00407F88" w:rsidRDefault="00FA4887" w:rsidP="000A5753">
      <w:pPr>
        <w:pStyle w:val="Heading3"/>
      </w:pPr>
      <w:bookmarkStart w:id="27" w:name="conflict-of-interest"/>
      <w:r>
        <w:t>Conflict of interest</w:t>
      </w:r>
      <w:bookmarkEnd w:id="27"/>
    </w:p>
    <w:p w:rsidR="00407F88" w:rsidRDefault="00FA4887">
      <w:pPr>
        <w:pStyle w:val="FirstParagraph"/>
      </w:pPr>
      <w:r>
        <w:t>Authors declare they have no conflict of interest.</w:t>
      </w:r>
    </w:p>
    <w:p w:rsidR="00407F88" w:rsidRDefault="00FA4887" w:rsidP="000A5753">
      <w:pPr>
        <w:pStyle w:val="Heading3"/>
      </w:pPr>
      <w:bookmarkStart w:id="28" w:name="acknowledgments"/>
      <w:r>
        <w:t>Acknowledgments</w:t>
      </w:r>
      <w:bookmarkEnd w:id="28"/>
    </w:p>
    <w:p w:rsidR="00407F88" w:rsidRDefault="00FA4887" w:rsidP="000A5753">
      <w:pPr>
        <w:pStyle w:val="Heading8"/>
      </w:pPr>
      <w:bookmarkStart w:id="29" w:name="will-be-more-here-4"/>
      <w:r>
        <w:t>WILL BE MORE HERE</w:t>
      </w:r>
      <w:bookmarkEnd w:id="29"/>
    </w:p>
    <w:p w:rsidR="00407F88" w:rsidRDefault="00FA4887" w:rsidP="000A5753">
      <w:pPr>
        <w:pStyle w:val="Heading3"/>
      </w:pPr>
      <w:bookmarkStart w:id="30" w:name="references"/>
      <w:r>
        <w:t>References</w:t>
      </w:r>
      <w:bookmarkEnd w:id="30"/>
    </w:p>
    <w:p w:rsidR="00407F88" w:rsidRDefault="00FA4887">
      <w:pPr>
        <w:pStyle w:val="Bibliography"/>
      </w:pPr>
      <w:bookmarkStart w:id="31" w:name="ref-agrestiApproximateBetterExact1998"/>
      <w:bookmarkStart w:id="32" w:name="refs"/>
      <w:r>
        <w:t xml:space="preserve">Agresti, A., Coull, B.A., 1998. Approximate is better than “exact” for interval estimation of binomial proportions. The American Statistician 52, 119–126. </w:t>
      </w:r>
      <w:hyperlink r:id="rId9">
        <w:r>
          <w:rPr>
            <w:rStyle w:val="Hyperlink"/>
          </w:rPr>
          <w:t>https://doi.org/10.1080/00031305.1998.10480550</w:t>
        </w:r>
      </w:hyperlink>
    </w:p>
    <w:p w:rsidR="00407F88" w:rsidRDefault="00FA4887">
      <w:pPr>
        <w:pStyle w:val="Bibliography"/>
      </w:pPr>
      <w:bookmarkStart w:id="33" w:name="ref-aragonEpitoolsEpidemiologyTools2017"/>
      <w:bookmarkEnd w:id="31"/>
      <w:r>
        <w:t>Aragon, T.J., 2017. Epitools: Epidemiology tools. R package v0.5-10.</w:t>
      </w:r>
    </w:p>
    <w:p w:rsidR="00407F88" w:rsidRDefault="00FA4887">
      <w:pPr>
        <w:pStyle w:val="Bibliography"/>
      </w:pPr>
      <w:bookmarkStart w:id="34" w:name="ref-busackerGrowth1990"/>
      <w:bookmarkEnd w:id="33"/>
      <w:r>
        <w:t>Busacker, G.P., Adelman, I.R., Goolish, E.M., 1990. Growth, in: Schreck, C. B. And P. B. Moyle. Methods for Fish Biology. American Fisheries Society, Bethesda, Maryland, pp. 363–387.</w:t>
      </w:r>
    </w:p>
    <w:p w:rsidR="00407F88" w:rsidRDefault="00FA4887">
      <w:pPr>
        <w:pStyle w:val="Bibliography"/>
      </w:pPr>
      <w:bookmarkStart w:id="35" w:name="ref-craneChangesGrowthDiet2016"/>
      <w:bookmarkEnd w:id="34"/>
      <w:r>
        <w:t xml:space="preserve">Crane, D.P., Einhouse, D.W., 2016. Changes in growth and diet of smallmouth bass following invasion of Lake Erie by the round goby. Journal of Great Lakes Research 42, 405–412. </w:t>
      </w:r>
      <w:hyperlink r:id="rId10">
        <w:r>
          <w:rPr>
            <w:rStyle w:val="Hyperlink"/>
          </w:rPr>
          <w:t>https://doi.org/10.1016/j.jglr.2015.12.005</w:t>
        </w:r>
      </w:hyperlink>
    </w:p>
    <w:p w:rsidR="00407F88" w:rsidRDefault="00FA4887">
      <w:pPr>
        <w:pStyle w:val="Bibliography"/>
      </w:pPr>
      <w:bookmarkStart w:id="36" w:name="X283291a190a9fbdb03a8506e17d1a40923aecc4"/>
      <w:bookmarkEnd w:id="35"/>
      <w:r>
        <w:t xml:space="preserve">Danylchuk, A.J., Fox, M.G., 1994. Age and size-dependent variation in the seasonal timing and probability of reproduction among mature female pumpkinseed, </w:t>
      </w:r>
      <w:r>
        <w:rPr>
          <w:i/>
        </w:rPr>
        <w:t>Lepomis</w:t>
      </w:r>
      <w:r>
        <w:t xml:space="preserve"> </w:t>
      </w:r>
      <w:r>
        <w:rPr>
          <w:i/>
        </w:rPr>
        <w:t>Gibbosus</w:t>
      </w:r>
      <w:r>
        <w:t xml:space="preserve">. Environmental Biology of Fishes 39, 119–127. </w:t>
      </w:r>
      <w:hyperlink r:id="rId11">
        <w:r>
          <w:rPr>
            <w:rStyle w:val="Hyperlink"/>
          </w:rPr>
          <w:t>https://doi.org/10.1007/BF00004929</w:t>
        </w:r>
      </w:hyperlink>
    </w:p>
    <w:p w:rsidR="00407F88" w:rsidRDefault="00FA4887">
      <w:pPr>
        <w:pStyle w:val="Bibliography"/>
      </w:pPr>
      <w:bookmarkStart w:id="37" w:name="ref-dumasModellingGrowthBody2010"/>
      <w:bookmarkEnd w:id="36"/>
      <w:r>
        <w:t xml:space="preserve">Dumas, A., France, J., Bureau, D., 2010. Modelling growth and body composition in fish nutrition: Where have we been and where are we going? Aquaculture Research 41, 161–181. </w:t>
      </w:r>
      <w:hyperlink r:id="rId12">
        <w:r>
          <w:rPr>
            <w:rStyle w:val="Hyperlink"/>
          </w:rPr>
          <w:t>https://doi.org/10.1111/j.1365-2109.2009.02323.x</w:t>
        </w:r>
      </w:hyperlink>
    </w:p>
    <w:p w:rsidR="00407F88" w:rsidRDefault="00FA4887">
      <w:pPr>
        <w:pStyle w:val="Bibliography"/>
      </w:pPr>
      <w:bookmarkStart w:id="38" w:name="X4d7c705552846be6f98ee522337b9dfd29aad57"/>
      <w:bookmarkEnd w:id="37"/>
      <w:r>
        <w:lastRenderedPageBreak/>
        <w:t xml:space="preserve">Elliott, J.M., Hurley, M.A., 1995. The functional relationship between body size and growth rate in fish. Functional Ecology 9, 625–627. </w:t>
      </w:r>
      <w:hyperlink r:id="rId13">
        <w:r>
          <w:rPr>
            <w:rStyle w:val="Hyperlink"/>
          </w:rPr>
          <w:t>https://doi.org/10.2307/2390153</w:t>
        </w:r>
      </w:hyperlink>
    </w:p>
    <w:p w:rsidR="00407F88" w:rsidRDefault="00FA4887">
      <w:pPr>
        <w:pStyle w:val="Bibliography"/>
      </w:pPr>
      <w:bookmarkStart w:id="39" w:name="ref-garveyOverwinterGrowthSurvival1998"/>
      <w:bookmarkEnd w:id="38"/>
      <w:r>
        <w:t>Garvey, J.E., Wright, R.A., Stein, R.A., 1998. Overwinter growth and survival of age-0 largemouth bass (</w:t>
      </w:r>
      <w:r>
        <w:rPr>
          <w:i/>
        </w:rPr>
        <w:t>Micropterus</w:t>
      </w:r>
      <w:r>
        <w:t xml:space="preserve"> </w:t>
      </w:r>
      <w:r>
        <w:rPr>
          <w:i/>
        </w:rPr>
        <w:t>Salmoides</w:t>
      </w:r>
      <w:r>
        <w:t>): Revisiting the role of body size 55, 11.</w:t>
      </w:r>
    </w:p>
    <w:p w:rsidR="00407F88" w:rsidRDefault="00FA4887">
      <w:pPr>
        <w:pStyle w:val="Bibliography"/>
      </w:pPr>
      <w:bookmarkStart w:id="40" w:name="ref-harzingPublishPerish2007"/>
      <w:bookmarkEnd w:id="39"/>
      <w:r>
        <w:t>Harzing, A.W., 2007. Publish or Perish. Available from https://harzing.com/resources/publish-or-perish.</w:t>
      </w:r>
    </w:p>
    <w:p w:rsidR="00407F88" w:rsidRDefault="00FA4887">
      <w:pPr>
        <w:pStyle w:val="Bibliography"/>
      </w:pPr>
      <w:bookmarkStart w:id="41" w:name="ref-hopkinsReportingFishGrowth1992"/>
      <w:bookmarkEnd w:id="40"/>
      <w:r>
        <w:t xml:space="preserve">Hopkins, K.D., 1992. Reporting fish growth: A review of the basics. Journal of the World Aquaculture Society 23, 173–179. </w:t>
      </w:r>
      <w:hyperlink r:id="rId14">
        <w:r>
          <w:rPr>
            <w:rStyle w:val="Hyperlink"/>
          </w:rPr>
          <w:t>https://doi.org/10.1111/j.1749-7345.1992.tb00766.x</w:t>
        </w:r>
      </w:hyperlink>
    </w:p>
    <w:p w:rsidR="00407F88" w:rsidRDefault="00FA4887">
      <w:pPr>
        <w:pStyle w:val="Bibliography"/>
      </w:pPr>
      <w:bookmarkStart w:id="42" w:name="ref-houdeGrowthRateRations1981"/>
      <w:bookmarkEnd w:id="41"/>
      <w:r>
        <w:t>Houde, E.D., Schekter, R.C., 1981. Growth rate, rations and cohort consumption of marine fish larvae in relation to prey concentration. Rapports et procès-verbaux des réunions/Conseil permanent international pour l’exploration de la mer 178, 441–453.</w:t>
      </w:r>
    </w:p>
    <w:p w:rsidR="00407F88" w:rsidRDefault="00FA4887">
      <w:pPr>
        <w:pStyle w:val="Bibliography"/>
      </w:pPr>
      <w:bookmarkStart w:id="43" w:name="ref-hoxmeierGrowthSurvivalAge02006"/>
      <w:bookmarkEnd w:id="42"/>
      <w:r>
        <w:t>Hoxmeier, R.J.H., Wahl, D.H., Brooks, R.C., Heidinger, R.C., 2006. Growth and survival of age-0 walleye (</w:t>
      </w:r>
      <w:r>
        <w:rPr>
          <w:i/>
        </w:rPr>
        <w:t>Sander</w:t>
      </w:r>
      <w:r>
        <w:t xml:space="preserve"> </w:t>
      </w:r>
      <w:r>
        <w:rPr>
          <w:i/>
        </w:rPr>
        <w:t>Vitreus</w:t>
      </w:r>
      <w:r>
        <w:t xml:space="preserve">): Interactions among walleye size, prey availability, predation, and abiotic factors. Canadian Journal of Fisheries &amp; Aquatic Sciences 63, 2173–2182. </w:t>
      </w:r>
      <w:hyperlink r:id="rId15">
        <w:r>
          <w:rPr>
            <w:rStyle w:val="Hyperlink"/>
          </w:rPr>
          <w:t>https://doi.org/10.1139/F06-087</w:t>
        </w:r>
      </w:hyperlink>
    </w:p>
    <w:p w:rsidR="00407F88" w:rsidRDefault="00FA4887">
      <w:pPr>
        <w:pStyle w:val="Bibliography"/>
      </w:pPr>
      <w:bookmarkStart w:id="44" w:name="ref-lugertReviewFishGrowth2016"/>
      <w:bookmarkEnd w:id="43"/>
      <w:r>
        <w:t xml:space="preserve">Lugert, V., Thaller, G., Tetens, J., Schulz, C., Krieter, J., 2016. A review on fish growth calculation: Multiple functions in fish production and their specific application. Reviews in Aquaculture 8, 30–42. </w:t>
      </w:r>
      <w:hyperlink r:id="rId16">
        <w:r>
          <w:rPr>
            <w:rStyle w:val="Hyperlink"/>
          </w:rPr>
          <w:t>https://doi.org/10.1111/raq.12071</w:t>
        </w:r>
      </w:hyperlink>
    </w:p>
    <w:p w:rsidR="00407F88" w:rsidRDefault="00FA4887">
      <w:pPr>
        <w:pStyle w:val="Bibliography"/>
      </w:pPr>
      <w:bookmarkStart w:id="45" w:name="Xbb88827dc4d901c226b00e04b19aa5c91794754"/>
      <w:bookmarkEnd w:id="44"/>
      <w:r>
        <w:t xml:space="preserve">May, W.L., Johnson, W.D., 2000. Constructing two-sided simultaneous confidence intervals for multinomial proportions for small counts in a large number of cells. Journal of Statistical Software 5(6). </w:t>
      </w:r>
      <w:hyperlink r:id="rId17">
        <w:r>
          <w:rPr>
            <w:rStyle w:val="Hyperlink"/>
          </w:rPr>
          <w:t>https://doi.org/10.18637/jss.v005.i06</w:t>
        </w:r>
      </w:hyperlink>
    </w:p>
    <w:p w:rsidR="00407F88" w:rsidRDefault="00FA4887">
      <w:pPr>
        <w:pStyle w:val="Bibliography"/>
      </w:pPr>
      <w:bookmarkStart w:id="46" w:name="Xb14097df2804eb050e0b84fdf1ddf0c526a6ded"/>
      <w:bookmarkEnd w:id="45"/>
      <w:r>
        <w:t xml:space="preserve">Michaletz, P.H., 2014. Temperature, plankton and conspecific density influence dynamics of age-0 gizzard shad: Implications for a gape-limited piscivore. Ecology of Freshwater Fish 23, 322–335. </w:t>
      </w:r>
      <w:hyperlink r:id="rId18">
        <w:r>
          <w:rPr>
            <w:rStyle w:val="Hyperlink"/>
          </w:rPr>
          <w:t>https://doi.org/10.1111/eff.12083</w:t>
        </w:r>
      </w:hyperlink>
    </w:p>
    <w:p w:rsidR="00407F88" w:rsidRDefault="00FA4887">
      <w:pPr>
        <w:pStyle w:val="Bibliography"/>
      </w:pPr>
      <w:bookmarkStart w:id="47" w:name="ref-michaletzEffectBodySize1998"/>
      <w:bookmarkEnd w:id="46"/>
      <w:r>
        <w:t xml:space="preserve">Michaletz, P.H., 1998. Effect of body size on fecundity, the gonadosomatic index, egg size, and timing of spawning of gizzard shad. Journal of Freshwater Ecology 13, 307–315. </w:t>
      </w:r>
      <w:hyperlink r:id="rId19">
        <w:r>
          <w:rPr>
            <w:rStyle w:val="Hyperlink"/>
          </w:rPr>
          <w:t>https://doi.org/10.1080/02705060.1998.9663623</w:t>
        </w:r>
      </w:hyperlink>
    </w:p>
    <w:p w:rsidR="00407F88" w:rsidRDefault="00FA4887">
      <w:pPr>
        <w:pStyle w:val="Bibliography"/>
      </w:pPr>
      <w:bookmarkStart w:id="48" w:name="X57971c2bf7d7eb9d2391a48d1efbf7036f48b6d"/>
      <w:bookmarkEnd w:id="47"/>
      <w:r>
        <w:t>Moyle, P.B., Cech, J.J., Jr., 2004. Fishes: An Introduction to Ichthyoloy, 5th ed. Prentice Hall, Upper Saddle River, NJ.</w:t>
      </w:r>
    </w:p>
    <w:p w:rsidR="00407F88" w:rsidRDefault="00FA4887">
      <w:pPr>
        <w:pStyle w:val="Bibliography"/>
      </w:pPr>
      <w:bookmarkStart w:id="49" w:name="Xb13488152daa5976ce98a1d1f718520f0d92130"/>
      <w:bookmarkEnd w:id="48"/>
      <w:r>
        <w:t xml:space="preserve">Olson, M.H., 1996. Predator-prey interactions in size-structured fish communities: Implications of prey growth. Oecologia 108, 757–763. </w:t>
      </w:r>
      <w:hyperlink r:id="rId20">
        <w:r>
          <w:rPr>
            <w:rStyle w:val="Hyperlink"/>
          </w:rPr>
          <w:t>https://doi.org/10.1007/BF00329052</w:t>
        </w:r>
      </w:hyperlink>
    </w:p>
    <w:p w:rsidR="00407F88" w:rsidRDefault="00FA4887">
      <w:pPr>
        <w:pStyle w:val="Bibliography"/>
      </w:pPr>
      <w:bookmarkStart w:id="50" w:name="ref-ostrovskyParabolicPatternAnimal1995"/>
      <w:bookmarkEnd w:id="49"/>
      <w:r>
        <w:t xml:space="preserve">Ostrovsky, I., 1995. The parabolic pattern of animal growth: Determination of equation parameters and their temperature dependencies. Freshwater Biology 33, 357–371. </w:t>
      </w:r>
      <w:hyperlink r:id="rId21">
        <w:r>
          <w:rPr>
            <w:rStyle w:val="Hyperlink"/>
          </w:rPr>
          <w:t>https://doi.org/10.1111/j.1365-2427.1995.tb00398.x</w:t>
        </w:r>
      </w:hyperlink>
    </w:p>
    <w:p w:rsidR="00407F88" w:rsidRDefault="00FA4887">
      <w:pPr>
        <w:pStyle w:val="Bibliography"/>
      </w:pPr>
      <w:bookmarkStart w:id="51" w:name="Xc1da738bbfa0f1b43f0d433a18aa8b599c7d060"/>
      <w:bookmarkEnd w:id="50"/>
      <w:r>
        <w:t>Post, J.R., Evans, D.O., 1989. Size-dependent overwinter mortality of young-of-the-year yellow perch (</w:t>
      </w:r>
      <w:r>
        <w:rPr>
          <w:i/>
        </w:rPr>
        <w:t>Perca</w:t>
      </w:r>
      <w:r>
        <w:t xml:space="preserve"> </w:t>
      </w:r>
      <w:r>
        <w:rPr>
          <w:i/>
        </w:rPr>
        <w:t>Flavescens</w:t>
      </w:r>
      <w:r>
        <w:t xml:space="preserve">): Laboratory, in situ enclosure, and field experiments. Canadian Journal of Fisheries and Aquatic Sciences 46, 1958–1968. </w:t>
      </w:r>
      <w:hyperlink r:id="rId22">
        <w:r>
          <w:rPr>
            <w:rStyle w:val="Hyperlink"/>
          </w:rPr>
          <w:t>https://doi.org/10.1139/f89-246</w:t>
        </w:r>
      </w:hyperlink>
    </w:p>
    <w:p w:rsidR="00407F88" w:rsidRDefault="00FA4887">
      <w:pPr>
        <w:pStyle w:val="Bibliography"/>
      </w:pPr>
      <w:bookmarkStart w:id="52" w:name="X34c1da91b17f38eae0f17d00d2af03fe74097ca"/>
      <w:bookmarkEnd w:id="51"/>
      <w:r>
        <w:t>R Core Team, 2019. R: A Language and Environment for Statistical Computing. R Foundation for Statistical Computing, Vienna, Austria. URL https://www.R-project.org/.</w:t>
      </w:r>
    </w:p>
    <w:p w:rsidR="00407F88" w:rsidRDefault="00FA4887">
      <w:pPr>
        <w:pStyle w:val="Bibliography"/>
      </w:pPr>
      <w:bookmarkStart w:id="53" w:name="Xf9cc38473ed8313b625eef6dd83e832a413696b"/>
      <w:bookmarkEnd w:id="52"/>
      <w:r>
        <w:t>Ricker, W.E., 1975. Computation and interpretation of biological statistics of fish populations. Bulletin of the Fisheries Research Board of Canada 191, 1–382.</w:t>
      </w:r>
    </w:p>
    <w:p w:rsidR="00407F88" w:rsidRDefault="00FA4887">
      <w:pPr>
        <w:pStyle w:val="Bibliography"/>
      </w:pPr>
      <w:bookmarkStart w:id="54" w:name="ref-shoupSizespecificGrowthBluegill2007"/>
      <w:bookmarkEnd w:id="53"/>
      <w:r>
        <w:t xml:space="preserve">Shoup, D.E., Callahan, S.P., Wahl, D.H., Pierce, C.L., 2007. Size-specific growth of bluegill, largemouth bass and channel catfish in relation to prey availability and limnological variables. Journal of Fish Biology 70, 21–34. </w:t>
      </w:r>
      <w:hyperlink r:id="rId23">
        <w:r>
          <w:rPr>
            <w:rStyle w:val="Hyperlink"/>
          </w:rPr>
          <w:t>https://doi.org/10.1111/j.1095-8649.2006.01204.x</w:t>
        </w:r>
      </w:hyperlink>
    </w:p>
    <w:p w:rsidR="00407F88" w:rsidRDefault="00FA4887">
      <w:pPr>
        <w:pStyle w:val="Bibliography"/>
      </w:pPr>
      <w:bookmarkStart w:id="55" w:name="ref-shoupEffectsPredationRisk2003"/>
      <w:bookmarkEnd w:id="54"/>
      <w:r>
        <w:t xml:space="preserve">Shoup, D.E., Carlson, R.E., Heath, R.T., 2003. Effects of predation risk and foraging return on the diel use of vegetated habitat by two size-classes of bluegills. Transactions of the American Fisheries Society 132, 590–597. </w:t>
      </w:r>
      <w:hyperlink r:id="rId24">
        <w:r>
          <w:rPr>
            <w:rStyle w:val="Hyperlink"/>
          </w:rPr>
          <w:t>https://doi.org/10.1577/1548-8659(2003)132&lt;0590:EOPRAF&gt;2.0.CO;2</w:t>
        </w:r>
      </w:hyperlink>
    </w:p>
    <w:p w:rsidR="00407F88" w:rsidRDefault="00FA4887">
      <w:pPr>
        <w:pStyle w:val="Bibliography"/>
      </w:pPr>
      <w:bookmarkStart w:id="56" w:name="ref-shoupEffectsTurbidityPrey2015"/>
      <w:bookmarkEnd w:id="55"/>
      <w:r>
        <w:t xml:space="preserve">Shoup, D.E., Lane, W.D., 2015. Effects of turbidity on prey selection and foraging return of adult largemouth bass in reservoirs. North American Journal of Fisheries Management 35, 913–924. </w:t>
      </w:r>
      <w:hyperlink r:id="rId25">
        <w:r>
          <w:rPr>
            <w:rStyle w:val="Hyperlink"/>
          </w:rPr>
          <w:t>https://doi.org/10.1080/02755947.2015.1067260</w:t>
        </w:r>
      </w:hyperlink>
    </w:p>
    <w:p w:rsidR="00407F88" w:rsidRDefault="00FA4887">
      <w:pPr>
        <w:pStyle w:val="Bibliography"/>
      </w:pPr>
      <w:bookmarkStart w:id="57" w:name="Xc3d160905bee35201bc09ed69ad1dff9a513493"/>
      <w:bookmarkEnd w:id="56"/>
      <w:r>
        <w:lastRenderedPageBreak/>
        <w:t>Shoup, D.E., Michaletz, P.H., 2017. Growth Estimation: Summarization, Chapter 11, in: M. C. Quist and D. A. Isermann, Editors. Age and Growth of Fishes: Principles and Techniques. American Fisheries Society, Bethesda, Maryland.</w:t>
      </w:r>
    </w:p>
    <w:p w:rsidR="00407F88" w:rsidRDefault="00FA4887">
      <w:pPr>
        <w:pStyle w:val="Bibliography"/>
      </w:pPr>
      <w:bookmarkStart w:id="58" w:name="X3db692f320c66eda6823ae5ff1e4bf1d839ab6d"/>
      <w:bookmarkEnd w:id="57"/>
      <w:r>
        <w:t xml:space="preserve">Sigourney, D.B., Letcher, B.H., Obedzinski, M., Cunjak, R.A., 2008. Size-independent growth in fishes: Patterns, models and metrics. Journal of Fish Biology 72, 2435–2455. </w:t>
      </w:r>
      <w:hyperlink r:id="rId26">
        <w:r>
          <w:rPr>
            <w:rStyle w:val="Hyperlink"/>
          </w:rPr>
          <w:t>https://doi.org/10.1111/j.1095-8649.2008.01830.x</w:t>
        </w:r>
      </w:hyperlink>
    </w:p>
    <w:p w:rsidR="00407F88" w:rsidRDefault="00FA4887">
      <w:pPr>
        <w:pStyle w:val="Bibliography"/>
      </w:pPr>
      <w:bookmarkStart w:id="59" w:name="ref-tomckoRelationshipBluegillGrowth2001"/>
      <w:bookmarkEnd w:id="58"/>
      <w:r>
        <w:t xml:space="preserve">Tomcko, C.M., Pierce, R.B., 2001. The relationship of bluegill growth, lake morphometry, and water quality in minnesota. Transactions of the American Fisheries Society 130, 317–321. </w:t>
      </w:r>
      <w:hyperlink r:id="rId27">
        <w:r>
          <w:rPr>
            <w:rStyle w:val="Hyperlink"/>
          </w:rPr>
          <w:t>https://doi.org/10.1577/1548-8659(2001)130&lt;0317:TROBGL&gt;2.0.CO;2</w:t>
        </w:r>
      </w:hyperlink>
    </w:p>
    <w:p w:rsidR="00407F88" w:rsidRDefault="00FA4887">
      <w:pPr>
        <w:pStyle w:val="Bibliography"/>
      </w:pPr>
      <w:bookmarkStart w:id="60" w:name="X3cff26af2a10dadd34f506e97f390ee753149e7"/>
      <w:bookmarkEnd w:id="59"/>
      <w:r>
        <w:t>Villacorta, P.J., 2012. MultinomialCI: Simultaneous confidence intervals for multinomial proportions according to the method by Sison and Glaz. R package v1.0.</w:t>
      </w:r>
    </w:p>
    <w:p w:rsidR="00407F88" w:rsidRDefault="00FA4887">
      <w:pPr>
        <w:pStyle w:val="Bibliography"/>
      </w:pPr>
      <w:bookmarkStart w:id="61" w:name="ref-weberMetabolicTheoryExplains2015"/>
      <w:bookmarkEnd w:id="60"/>
      <w:r>
        <w:t xml:space="preserve">Weber, M.J., Brown, M.L., Wahl, D.H., Shoup, D.E., 2015. Metabolic theory explains latitudinal variation in common carp populations and predicts responses to climate change. Ecosphere 6, art54. </w:t>
      </w:r>
      <w:hyperlink r:id="rId28">
        <w:r>
          <w:rPr>
            <w:rStyle w:val="Hyperlink"/>
          </w:rPr>
          <w:t>https://doi.org/10.1890/ES14-00435.1</w:t>
        </w:r>
      </w:hyperlink>
    </w:p>
    <w:p w:rsidR="00407F88" w:rsidRDefault="00FA4887">
      <w:pPr>
        <w:pStyle w:val="Bibliography"/>
      </w:pPr>
      <w:bookmarkStart w:id="62" w:name="ref-westerbergInfluencePredationRisk2004"/>
      <w:bookmarkEnd w:id="61"/>
      <w:r>
        <w:t xml:space="preserve">Westerberg, M., Staffan, F., Magnhagen, C., 2004. Influence of predation risk on individual competitive ability and growth in Eurasian perch, </w:t>
      </w:r>
      <w:r>
        <w:rPr>
          <w:i/>
        </w:rPr>
        <w:t>Perca</w:t>
      </w:r>
      <w:r>
        <w:t xml:space="preserve"> </w:t>
      </w:r>
      <w:r>
        <w:rPr>
          <w:i/>
        </w:rPr>
        <w:t>Fluviatilis</w:t>
      </w:r>
      <w:r>
        <w:t xml:space="preserve">. Animal Behaviour 67, 273–279. </w:t>
      </w:r>
      <w:hyperlink r:id="rId29">
        <w:r>
          <w:rPr>
            <w:rStyle w:val="Hyperlink"/>
          </w:rPr>
          <w:t>https://doi.org/10.1016/j.anbehav.2003.06.003</w:t>
        </w:r>
      </w:hyperlink>
    </w:p>
    <w:p w:rsidR="00407F88" w:rsidRDefault="00FA4887">
      <w:pPr>
        <w:pStyle w:val="Bibliography"/>
      </w:pPr>
      <w:bookmarkStart w:id="63" w:name="ref-wilsonProbableInferenceLaw1927"/>
      <w:bookmarkEnd w:id="62"/>
      <w:r>
        <w:t xml:space="preserve">Wilson, E.B., 1927. Probable inference, the law of succession, and statistical inference. Journal of the American Statistical Association 22, 209–212. </w:t>
      </w:r>
      <w:hyperlink r:id="rId30">
        <w:r>
          <w:rPr>
            <w:rStyle w:val="Hyperlink"/>
          </w:rPr>
          <w:t>https://doi.org/10.1080/01621459.1927.10502953</w:t>
        </w:r>
      </w:hyperlink>
    </w:p>
    <w:p w:rsidR="00407F88" w:rsidRDefault="00FA4887">
      <w:pPr>
        <w:pStyle w:val="Bibliography"/>
      </w:pPr>
      <w:bookmarkStart w:id="64" w:name="ref-woottonEcologyTeleostFishes1990"/>
      <w:bookmarkEnd w:id="63"/>
      <w:r>
        <w:t>Wootton, R.J., 1990. Ecology of Teleost Fishes, Fish and Fisheries Series 1. Champan &amp; Hall, London.</w:t>
      </w:r>
      <w:bookmarkEnd w:id="32"/>
      <w:bookmarkEnd w:id="64"/>
    </w:p>
    <w:sectPr w:rsidR="00407F88" w:rsidSect="00CE27E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8F5" w:rsidRDefault="00DE28F5">
      <w:pPr>
        <w:spacing w:after="0"/>
      </w:pPr>
      <w:r>
        <w:separator/>
      </w:r>
    </w:p>
  </w:endnote>
  <w:endnote w:type="continuationSeparator" w:id="0">
    <w:p w:rsidR="00DE28F5" w:rsidRDefault="00DE2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8F5" w:rsidRDefault="00DE28F5">
      <w:r>
        <w:separator/>
      </w:r>
    </w:p>
  </w:footnote>
  <w:footnote w:type="continuationSeparator" w:id="0">
    <w:p w:rsidR="00DE28F5" w:rsidRDefault="00DE2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CD2DE"/>
    <w:multiLevelType w:val="multilevel"/>
    <w:tmpl w:val="37540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2604FC"/>
    <w:multiLevelType w:val="multilevel"/>
    <w:tmpl w:val="8F8EE1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AE401"/>
    <w:multiLevelType w:val="multilevel"/>
    <w:tmpl w:val="F03246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B5E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753"/>
    <w:rsid w:val="00407F88"/>
    <w:rsid w:val="004E29B3"/>
    <w:rsid w:val="00590D07"/>
    <w:rsid w:val="00784D58"/>
    <w:rsid w:val="008D6863"/>
    <w:rsid w:val="00B86B75"/>
    <w:rsid w:val="00BC48D5"/>
    <w:rsid w:val="00BD2BA6"/>
    <w:rsid w:val="00C36279"/>
    <w:rsid w:val="00CE27EE"/>
    <w:rsid w:val="00D0279F"/>
    <w:rsid w:val="00DE28F5"/>
    <w:rsid w:val="00E315A3"/>
    <w:rsid w:val="00FA48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3B2E6-97A0-4B02-9E27-247DB067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72"/>
    <w:rPr>
      <w:rFonts w:ascii="Calibri" w:hAnsi="Calibri"/>
    </w:rPr>
  </w:style>
  <w:style w:type="paragraph" w:styleId="Heading1">
    <w:name w:val="heading 1"/>
    <w:basedOn w:val="Normal"/>
    <w:next w:val="BodyText"/>
    <w:uiPriority w:val="9"/>
    <w:qFormat/>
    <w:rsid w:val="00D0279F"/>
    <w:pPr>
      <w:keepNext/>
      <w:keepLines/>
      <w:spacing w:before="480" w:after="0"/>
      <w:outlineLvl w:val="0"/>
    </w:pPr>
    <w:rPr>
      <w:rFonts w:asciiTheme="majorHAnsi" w:eastAsiaTheme="majorEastAsia" w:hAnsiTheme="majorHAnsi" w:cstheme="majorBidi"/>
      <w:bCs/>
      <w:szCs w:val="32"/>
    </w:rPr>
  </w:style>
  <w:style w:type="paragraph" w:styleId="Heading2">
    <w:name w:val="heading 2"/>
    <w:basedOn w:val="Normal"/>
    <w:next w:val="BodyText"/>
    <w:uiPriority w:val="9"/>
    <w:unhideWhenUsed/>
    <w:qFormat/>
    <w:rsid w:val="00D0279F"/>
    <w:pPr>
      <w:keepNext/>
      <w:keepLines/>
      <w:spacing w:before="200" w:after="0"/>
      <w:ind w:left="18"/>
      <w:outlineLvl w:val="1"/>
    </w:pPr>
    <w:rPr>
      <w:rFonts w:asciiTheme="majorHAnsi" w:eastAsiaTheme="majorEastAsia" w:hAnsiTheme="majorHAnsi" w:cstheme="majorBidi"/>
      <w:bCs/>
      <w:szCs w:val="32"/>
    </w:rPr>
  </w:style>
  <w:style w:type="paragraph" w:styleId="Heading3">
    <w:name w:val="heading 3"/>
    <w:basedOn w:val="BodyText"/>
    <w:next w:val="BodyText"/>
    <w:uiPriority w:val="9"/>
    <w:unhideWhenUsed/>
    <w:qFormat/>
    <w:rsid w:val="000A5753"/>
    <w:pPr>
      <w:spacing w:before="480" w:after="0"/>
      <w:outlineLvl w:val="2"/>
    </w:pPr>
    <w:rPr>
      <w: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277F5"/>
    <w:pPr>
      <w:keepNext/>
      <w:keepLines/>
      <w:spacing w:before="24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rsid w:val="00F277F5"/>
    <w:pPr>
      <w:keepNext/>
      <w:keepLines/>
      <w:spacing w:after="120"/>
      <w:outlineLvl w:val="5"/>
    </w:pPr>
    <w:rPr>
      <w:rFonts w:asciiTheme="majorHAnsi" w:eastAsiaTheme="majorEastAsia" w:hAnsiTheme="majorHAnsi" w:cstheme="majorBidi"/>
    </w:rPr>
  </w:style>
  <w:style w:type="paragraph" w:styleId="Heading7">
    <w:name w:val="heading 7"/>
    <w:basedOn w:val="FirstParagraph"/>
    <w:next w:val="BodyText"/>
    <w:uiPriority w:val="9"/>
    <w:unhideWhenUsed/>
    <w:qFormat/>
    <w:rsid w:val="0086307F"/>
    <w:pPr>
      <w:spacing w:before="960" w:after="0"/>
      <w:outlineLvl w:val="6"/>
    </w:pPr>
  </w:style>
  <w:style w:type="paragraph" w:styleId="Heading8">
    <w:name w:val="heading 8"/>
    <w:basedOn w:val="FirstParagraph"/>
    <w:next w:val="BodyText"/>
    <w:uiPriority w:val="9"/>
    <w:unhideWhenUsed/>
    <w:qFormat/>
    <w:rsid w:val="000A5753"/>
    <w:pPr>
      <w:pBdr>
        <w:top w:val="single" w:sz="4" w:space="1" w:color="auto"/>
        <w:left w:val="single" w:sz="4" w:space="4" w:color="auto"/>
        <w:bottom w:val="single" w:sz="4" w:space="1" w:color="auto"/>
        <w:right w:val="single" w:sz="4" w:space="4" w:color="auto"/>
      </w:pBdr>
      <w:shd w:val="clear" w:color="auto" w:fill="F2DBDB" w:themeFill="accent2" w:themeFillTint="33"/>
      <w:spacing w:before="600" w:after="600"/>
      <w:outlineLvl w:val="7"/>
    </w:pPr>
  </w:style>
  <w:style w:type="paragraph" w:styleId="Heading9">
    <w:name w:val="heading 9"/>
    <w:basedOn w:val="BodyText"/>
    <w:next w:val="BodyText"/>
    <w:uiPriority w:val="9"/>
    <w:unhideWhenUsed/>
    <w:qFormat/>
    <w:rsid w:val="004A247E"/>
    <w:pPr>
      <w:pageBreakBefore/>
      <w:spacing w:line="20" w:lineRule="exact"/>
      <w:outlineLvl w:val="8"/>
    </w:pPr>
    <w:rPr>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12776"/>
    <w:pPr>
      <w:spacing w:before="180" w:after="180"/>
    </w:pPr>
  </w:style>
  <w:style w:type="paragraph" w:customStyle="1" w:styleId="FirstParagraph">
    <w:name w:val="First Paragraph"/>
    <w:basedOn w:val="BodyText"/>
    <w:next w:val="BodyText"/>
    <w:qFormat/>
    <w:rsid w:val="00E12776"/>
  </w:style>
  <w:style w:type="paragraph" w:customStyle="1" w:styleId="Compact">
    <w:name w:val="Compact"/>
    <w:basedOn w:val="BodyText"/>
    <w:qFormat/>
    <w:pPr>
      <w:spacing w:before="36" w:after="36"/>
    </w:pPr>
  </w:style>
  <w:style w:type="paragraph" w:styleId="Title">
    <w:name w:val="Title"/>
    <w:basedOn w:val="Normal"/>
    <w:next w:val="BodyText"/>
    <w:qFormat/>
    <w:rsid w:val="0086307F"/>
    <w:pPr>
      <w:keepNext/>
      <w:keepLines/>
      <w:spacing w:after="1080"/>
    </w:pPr>
    <w:rPr>
      <w:rFonts w:asciiTheme="majorHAnsi" w:eastAsiaTheme="majorEastAsia" w:hAnsiTheme="majorHAnsi" w:cstheme="majorBidi"/>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69AE"/>
    <w:pPr>
      <w:spacing w:after="0"/>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307/2390153" TargetMode="External"/><Relationship Id="rId18" Type="http://schemas.openxmlformats.org/officeDocument/2006/relationships/hyperlink" Target="https://doi.org/10.1111/eff.12083" TargetMode="External"/><Relationship Id="rId26" Type="http://schemas.openxmlformats.org/officeDocument/2006/relationships/hyperlink" Target="https://doi.org/10.1111/j.1095-8649.2008.01830.x" TargetMode="External"/><Relationship Id="rId3" Type="http://schemas.openxmlformats.org/officeDocument/2006/relationships/settings" Target="settings.xml"/><Relationship Id="rId21" Type="http://schemas.openxmlformats.org/officeDocument/2006/relationships/hyperlink" Target="https://doi.org/10.1111/j.1365-2427.1995.tb00398.x" TargetMode="External"/><Relationship Id="rId7" Type="http://schemas.openxmlformats.org/officeDocument/2006/relationships/hyperlink" Target="mailto:dcrane@coastal.edu" TargetMode="External"/><Relationship Id="rId12" Type="http://schemas.openxmlformats.org/officeDocument/2006/relationships/hyperlink" Target="https://doi.org/10.1111/j.1365-2109.2009.02323.x" TargetMode="External"/><Relationship Id="rId17" Type="http://schemas.openxmlformats.org/officeDocument/2006/relationships/hyperlink" Target="https://doi.org/10.18637/jss.v005.i06" TargetMode="External"/><Relationship Id="rId25" Type="http://schemas.openxmlformats.org/officeDocument/2006/relationships/hyperlink" Target="https://doi.org/10.1080/02755947.2015.1067260" TargetMode="External"/><Relationship Id="rId2" Type="http://schemas.openxmlformats.org/officeDocument/2006/relationships/styles" Target="styles.xml"/><Relationship Id="rId16" Type="http://schemas.openxmlformats.org/officeDocument/2006/relationships/hyperlink" Target="https://doi.org/10.1111/raq.12071" TargetMode="External"/><Relationship Id="rId20" Type="http://schemas.openxmlformats.org/officeDocument/2006/relationships/hyperlink" Target="https://doi.org/10.1007/BF00329052" TargetMode="External"/><Relationship Id="rId29" Type="http://schemas.openxmlformats.org/officeDocument/2006/relationships/hyperlink" Target="https://doi.org/10.1016/j.anbehav.2003.06.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BF00004929" TargetMode="External"/><Relationship Id="rId24" Type="http://schemas.openxmlformats.org/officeDocument/2006/relationships/hyperlink" Target="https://doi.org/10.1577/1548-8659(2003)132%3c0590:EOPRAF%3e2.0.CO;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9/F06-087" TargetMode="External"/><Relationship Id="rId23" Type="http://schemas.openxmlformats.org/officeDocument/2006/relationships/hyperlink" Target="https://doi.org/10.1111/j.1095-8649.2006.01204.x" TargetMode="External"/><Relationship Id="rId28" Type="http://schemas.openxmlformats.org/officeDocument/2006/relationships/hyperlink" Target="https://doi.org/10.1890/ES14-00435.1" TargetMode="External"/><Relationship Id="rId10" Type="http://schemas.openxmlformats.org/officeDocument/2006/relationships/hyperlink" Target="https://doi.org/10.1016/j.jglr.2015.12.005" TargetMode="External"/><Relationship Id="rId19" Type="http://schemas.openxmlformats.org/officeDocument/2006/relationships/hyperlink" Target="https://doi.org/10.1080/02705060.1998.966362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00031305.1998.10480550" TargetMode="External"/><Relationship Id="rId14" Type="http://schemas.openxmlformats.org/officeDocument/2006/relationships/hyperlink" Target="https://doi.org/10.1111/j.1749-7345.1992.tb00766.x" TargetMode="External"/><Relationship Id="rId22" Type="http://schemas.openxmlformats.org/officeDocument/2006/relationships/hyperlink" Target="https://doi.org/10.1139/f89-246" TargetMode="External"/><Relationship Id="rId27" Type="http://schemas.openxmlformats.org/officeDocument/2006/relationships/hyperlink" Target="https://doi.org/10.1577/1548-8659(2001)130%3c0317:TROBGL%3e2.0.CO;2" TargetMode="External"/><Relationship Id="rId30" Type="http://schemas.openxmlformats.org/officeDocument/2006/relationships/hyperlink" Target="https://doi.org/10.1080/01621459.1927.10502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and misuse of a common growth metric: guidance for appropriately calculating and reporting specific growth rate</dc:title>
  <dc:creator>Derek Ogle</dc:creator>
  <cp:keywords/>
  <cp:lastModifiedBy>Derek Ogle</cp:lastModifiedBy>
  <cp:revision>4</cp:revision>
  <dcterms:created xsi:type="dcterms:W3CDTF">2019-06-10T23:31:00Z</dcterms:created>
  <dcterms:modified xsi:type="dcterms:W3CDTF">2021-06-22T13:59:00Z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SGR_paper.bib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aquaculture.csl</vt:lpwstr>
  </property>
  <property fmtid="{D5CDD505-2E9C-101B-9397-08002B2CF9AE}" pid="15" name="date">
    <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