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02609A" w14:textId="77777777" w:rsidR="003E5EEC" w:rsidRDefault="003E5EEC"/>
    <w:p w14:paraId="5740C83D" w14:textId="6A2C0A68" w:rsidR="00AE246F" w:rsidRDefault="00FD79F6">
      <w:r>
        <w:t>TITLE:</w:t>
      </w:r>
      <w:r w:rsidR="00BF0FEB">
        <w:t xml:space="preserve">  Precision Metrics Summarized from 20+ years of Fish Age Estimation Studies</w:t>
      </w:r>
    </w:p>
    <w:p w14:paraId="6B4EB342" w14:textId="77777777" w:rsidR="00AE246F" w:rsidRDefault="00AE246F"/>
    <w:p w14:paraId="453FE8C8" w14:textId="77777777" w:rsidR="00FD79F6" w:rsidRDefault="00FD79F6">
      <w:r>
        <w:t>ABSTRACT:</w:t>
      </w:r>
    </w:p>
    <w:p w14:paraId="3FD21999" w14:textId="381665C2" w:rsidR="00E84D34" w:rsidRPr="00E84D34" w:rsidRDefault="00AE246F" w:rsidP="00E84D3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Age estimation of fish is necessary for the assessment of fish population dynamics and stock structure. Precision is the consistency or repeatability of age estimates among </w:t>
      </w:r>
      <w:r w:rsidR="00A06E86">
        <w:rPr>
          <w:rFonts w:ascii="LMRoman10-Regular" w:hAnsi="LMRoman10-Regular" w:cs="LMRoman10-Regular"/>
          <w:sz w:val="20"/>
          <w:szCs w:val="20"/>
        </w:rPr>
        <w:t xml:space="preserve">multiple </w:t>
      </w:r>
      <w:r>
        <w:rPr>
          <w:rFonts w:ascii="LMRoman10-Regular" w:hAnsi="LMRoman10-Regular" w:cs="LMRoman10-Regular"/>
          <w:sz w:val="20"/>
          <w:szCs w:val="20"/>
        </w:rPr>
        <w:t>readings</w:t>
      </w:r>
      <w:r w:rsidR="00A06E86" w:rsidRPr="00A06E86">
        <w:rPr>
          <w:rFonts w:ascii="LMRoman10-Regular" w:hAnsi="LMRoman10-Regular" w:cs="LMRoman10-Regular"/>
          <w:sz w:val="20"/>
          <w:szCs w:val="20"/>
        </w:rPr>
        <w:t xml:space="preserve"> </w:t>
      </w:r>
      <w:r w:rsidR="00A06E86">
        <w:rPr>
          <w:rFonts w:ascii="LMRoman10-Regular" w:hAnsi="LMRoman10-Regular" w:cs="LMRoman10-Regular"/>
          <w:sz w:val="20"/>
          <w:szCs w:val="20"/>
        </w:rPr>
        <w:t>from calcified structures</w:t>
      </w:r>
      <w:r>
        <w:rPr>
          <w:rFonts w:ascii="LMRoman10-Regular" w:hAnsi="LMRoman10-Regular" w:cs="LMRoman10-Regular"/>
          <w:sz w:val="20"/>
          <w:szCs w:val="20"/>
        </w:rPr>
        <w:t>. Three common m</w:t>
      </w:r>
      <w:r w:rsidR="00FD79F6">
        <w:rPr>
          <w:rFonts w:ascii="LMRoman10-Regular" w:hAnsi="LMRoman10-Regular" w:cs="LMRoman10-Regular"/>
          <w:sz w:val="20"/>
          <w:szCs w:val="20"/>
        </w:rPr>
        <w:t>easures of age precision are</w:t>
      </w:r>
      <w:r>
        <w:rPr>
          <w:rFonts w:ascii="LMRoman10-Regular" w:hAnsi="LMRoman10-Regular" w:cs="LMRoman10-Regular"/>
          <w:sz w:val="20"/>
          <w:szCs w:val="20"/>
        </w:rPr>
        <w:t xml:space="preserve"> percent agreement, average percent error (APE), and average coefficient of variation (ACV). Campana (2001) reviewed the use of these precision measures in the fisheries literature, suggested that the ACV should be used in most instances, and indicated tha</w:t>
      </w:r>
      <w:r w:rsidR="00FD79F6">
        <w:rPr>
          <w:rFonts w:ascii="LMRoman10-Regular" w:hAnsi="LMRoman10-Regular" w:cs="LMRoman10-Regular"/>
          <w:sz w:val="20"/>
          <w:szCs w:val="20"/>
        </w:rPr>
        <w:t>t ACV values less than the modal observed ACV of 5%</w:t>
      </w:r>
      <w:r>
        <w:rPr>
          <w:rFonts w:ascii="LMRoman10-Regular" w:hAnsi="LMRoman10-Regular" w:cs="LMRoman10-Regular"/>
          <w:sz w:val="20"/>
          <w:szCs w:val="20"/>
        </w:rPr>
        <w:t xml:space="preserve"> indicated adequate ageing precision. We analyzed</w:t>
      </w:r>
      <w:r w:rsidR="005D51A5">
        <w:rPr>
          <w:rFonts w:ascii="LMRoman10-Regular" w:hAnsi="LMRoman10-Regular" w:cs="LMRoman10-Regular"/>
          <w:sz w:val="20"/>
          <w:szCs w:val="20"/>
        </w:rPr>
        <w:t xml:space="preserve"> 313</w:t>
      </w:r>
      <w:r>
        <w:rPr>
          <w:rFonts w:ascii="LMRoman10-Regular" w:hAnsi="LMRoman10-Regular" w:cs="LMRoman10-Regular"/>
          <w:sz w:val="20"/>
          <w:szCs w:val="20"/>
        </w:rPr>
        <w:t xml:space="preserve"> age precision studies published since </w:t>
      </w:r>
      <w:r w:rsidR="00FD79F6" w:rsidRPr="00E84D34">
        <w:rPr>
          <w:rFonts w:ascii="LMRoman10-Regular" w:hAnsi="LMRoman10-Regular" w:cs="LMRoman10-Regular"/>
          <w:sz w:val="20"/>
          <w:szCs w:val="20"/>
        </w:rPr>
        <w:t>19</w:t>
      </w:r>
      <w:r w:rsidR="0047614E" w:rsidRPr="00E84D34">
        <w:rPr>
          <w:rFonts w:ascii="LMRoman10-Regular" w:hAnsi="LMRoman10-Regular" w:cs="LMRoman10-Regular"/>
          <w:sz w:val="20"/>
          <w:szCs w:val="20"/>
        </w:rPr>
        <w:t>83</w:t>
      </w:r>
      <w:r>
        <w:rPr>
          <w:rFonts w:ascii="LMRoman10-Regular" w:hAnsi="LMRoman10-Regular" w:cs="LMRoman10-Regular"/>
          <w:sz w:val="20"/>
          <w:szCs w:val="20"/>
        </w:rPr>
        <w:t>. Our objective was to determine if recent papers primarily used ACV</w:t>
      </w:r>
      <w:r w:rsidR="00FD79F6">
        <w:rPr>
          <w:rFonts w:ascii="LMRoman10-Regular" w:hAnsi="LMRoman10-Regular" w:cs="LMRoman10-Regular"/>
          <w:sz w:val="20"/>
          <w:szCs w:val="20"/>
        </w:rPr>
        <w:t>,</w:t>
      </w:r>
      <w:r>
        <w:rPr>
          <w:rFonts w:ascii="LMRoman10-Regular" w:hAnsi="LMRoman10-Regular" w:cs="LMRoman10-Regular"/>
          <w:sz w:val="20"/>
          <w:szCs w:val="20"/>
        </w:rPr>
        <w:t xml:space="preserve"> to reassess the m</w:t>
      </w:r>
      <w:r w:rsidR="00FD79F6">
        <w:rPr>
          <w:rFonts w:ascii="LMRoman10-Regular" w:hAnsi="LMRoman10-Regular" w:cs="LMRoman10-Regular"/>
          <w:sz w:val="20"/>
          <w:szCs w:val="20"/>
        </w:rPr>
        <w:t>odal observed ACV value</w:t>
      </w:r>
      <w:r>
        <w:rPr>
          <w:rFonts w:ascii="LMRoman10-Regular" w:hAnsi="LMRoman10-Regular" w:cs="LMRoman10-Regular"/>
          <w:sz w:val="20"/>
          <w:szCs w:val="20"/>
        </w:rPr>
        <w:t xml:space="preserve">, and to determine if these items differed based on number of readings, </w:t>
      </w:r>
      <w:r w:rsidR="005D51A5">
        <w:rPr>
          <w:rFonts w:ascii="LMRoman10-Regular" w:hAnsi="LMRoman10-Regular" w:cs="LMRoman10-Regular"/>
          <w:sz w:val="20"/>
          <w:szCs w:val="20"/>
        </w:rPr>
        <w:t xml:space="preserve">range of observed ages, </w:t>
      </w:r>
      <w:r>
        <w:rPr>
          <w:rFonts w:ascii="LMRoman10-Regular" w:hAnsi="LMRoman10-Regular" w:cs="LMRoman10-Regular"/>
          <w:sz w:val="20"/>
          <w:szCs w:val="20"/>
        </w:rPr>
        <w:t xml:space="preserve">class of fish, </w:t>
      </w:r>
      <w:r w:rsidR="005D51A5">
        <w:rPr>
          <w:rFonts w:ascii="LMRoman10-Regular" w:hAnsi="LMRoman10-Regular" w:cs="LMRoman10-Regular"/>
          <w:sz w:val="20"/>
          <w:szCs w:val="20"/>
        </w:rPr>
        <w:t xml:space="preserve">and </w:t>
      </w:r>
      <w:r>
        <w:rPr>
          <w:rFonts w:ascii="LMRoman10-Regular" w:hAnsi="LMRoman10-Regular" w:cs="LMRoman10-Regular"/>
          <w:sz w:val="20"/>
          <w:szCs w:val="20"/>
        </w:rPr>
        <w:t>type of calcified structure.</w:t>
      </w:r>
      <w:r w:rsidR="00A06E86">
        <w:rPr>
          <w:rFonts w:ascii="LMRoman10-Regular" w:hAnsi="LMRoman10-Regular" w:cs="LMRoman10-Regular"/>
          <w:sz w:val="20"/>
          <w:szCs w:val="20"/>
        </w:rPr>
        <w:t xml:space="preserve"> The ACV </w:t>
      </w:r>
      <w:proofErr w:type="gramStart"/>
      <w:r w:rsidR="00A06E86">
        <w:rPr>
          <w:rFonts w:ascii="LMRoman10-Regular" w:hAnsi="LMRoman10-Regular" w:cs="LMRoman10-Regular"/>
          <w:sz w:val="20"/>
          <w:szCs w:val="20"/>
        </w:rPr>
        <w:t>was used</w:t>
      </w:r>
      <w:proofErr w:type="gramEnd"/>
      <w:r w:rsidR="00A06E86">
        <w:rPr>
          <w:rFonts w:ascii="LMRoman10-Regular" w:hAnsi="LMRoman10-Regular" w:cs="LMRoman10-Regular"/>
          <w:sz w:val="20"/>
          <w:szCs w:val="20"/>
        </w:rPr>
        <w:t xml:space="preserve"> in two-thirds of</w:t>
      </w:r>
      <w:r w:rsidR="005D51A5">
        <w:rPr>
          <w:rFonts w:ascii="LMRoman10-Regular" w:hAnsi="LMRoman10-Regular" w:cs="LMRoman10-Regular"/>
          <w:sz w:val="20"/>
          <w:szCs w:val="20"/>
        </w:rPr>
        <w:t xml:space="preserve"> reviewed studies published after 2001.</w:t>
      </w:r>
      <w:r w:rsidR="00A06E86">
        <w:rPr>
          <w:rFonts w:ascii="LMRoman10-Regular" w:hAnsi="LMRoman10-Regular" w:cs="LMRoman10-Regular"/>
          <w:sz w:val="20"/>
          <w:szCs w:val="20"/>
        </w:rPr>
        <w:t xml:space="preserve"> Usage of ACV did not differ</w:t>
      </w:r>
      <w:r w:rsidR="005D51A5">
        <w:rPr>
          <w:rFonts w:ascii="LMRoman10-Regular" w:hAnsi="LMRoman10-Regular" w:cs="LMRoman10-Regular"/>
          <w:sz w:val="20"/>
          <w:szCs w:val="20"/>
        </w:rPr>
        <w:t xml:space="preserve"> </w:t>
      </w:r>
      <w:r w:rsidR="00E84D34">
        <w:rPr>
          <w:rFonts w:ascii="LMRoman10-Regular" w:hAnsi="LMRoman10-Regular" w:cs="LMRoman10-Regular"/>
          <w:sz w:val="20"/>
          <w:szCs w:val="20"/>
        </w:rPr>
        <w:t xml:space="preserve">between </w:t>
      </w:r>
      <w:r w:rsidR="005D51A5">
        <w:rPr>
          <w:rFonts w:ascii="LMRoman10-Regular" w:hAnsi="LMRoman10-Regular" w:cs="LMRoman10-Regular"/>
          <w:sz w:val="20"/>
          <w:szCs w:val="20"/>
        </w:rPr>
        <w:t xml:space="preserve">type of comparison (between- or within-readers) </w:t>
      </w:r>
      <w:proofErr w:type="gramStart"/>
      <w:r w:rsidR="005D51A5">
        <w:rPr>
          <w:rFonts w:ascii="LMRoman10-Regular" w:hAnsi="LMRoman10-Regular" w:cs="LMRoman10-Regular"/>
          <w:sz w:val="20"/>
          <w:szCs w:val="20"/>
        </w:rPr>
        <w:t>or</w:t>
      </w:r>
      <w:proofErr w:type="gramEnd"/>
      <w:r w:rsidR="005D51A5">
        <w:rPr>
          <w:rFonts w:ascii="LMRoman10-Regular" w:hAnsi="LMRoman10-Regular" w:cs="LMRoman10-Regular"/>
          <w:sz w:val="20"/>
          <w:szCs w:val="20"/>
        </w:rPr>
        <w:t xml:space="preserve"> class of fish studied (</w:t>
      </w:r>
      <w:proofErr w:type="spellStart"/>
      <w:r w:rsidR="005D51A5">
        <w:rPr>
          <w:rFonts w:ascii="LMRoman10-Regular" w:hAnsi="LMRoman10-Regular" w:cs="LMRoman10-Regular"/>
          <w:sz w:val="20"/>
          <w:szCs w:val="20"/>
        </w:rPr>
        <w:t>Actinop</w:t>
      </w:r>
      <w:r w:rsidR="00E84D34">
        <w:rPr>
          <w:rFonts w:ascii="LMRoman10-Regular" w:hAnsi="LMRoman10-Regular" w:cs="LMRoman10-Regular"/>
          <w:sz w:val="20"/>
          <w:szCs w:val="20"/>
        </w:rPr>
        <w:t>t</w:t>
      </w:r>
      <w:r w:rsidR="005D51A5">
        <w:rPr>
          <w:rFonts w:ascii="LMRoman10-Regular" w:hAnsi="LMRoman10-Regular" w:cs="LMRoman10-Regular"/>
          <w:sz w:val="20"/>
          <w:szCs w:val="20"/>
        </w:rPr>
        <w:t>erii</w:t>
      </w:r>
      <w:proofErr w:type="spellEnd"/>
      <w:r w:rsidR="005D51A5">
        <w:rPr>
          <w:rFonts w:ascii="LMRoman10-Regular" w:hAnsi="LMRoman10-Regular" w:cs="LMRoman10-Regular"/>
          <w:sz w:val="20"/>
          <w:szCs w:val="20"/>
        </w:rPr>
        <w:t xml:space="preserve"> or </w:t>
      </w:r>
      <w:proofErr w:type="spellStart"/>
      <w:r w:rsidR="005D51A5">
        <w:rPr>
          <w:rFonts w:ascii="LMRoman10-Regular" w:hAnsi="LMRoman10-Regular" w:cs="LMRoman10-Regular"/>
          <w:sz w:val="20"/>
          <w:szCs w:val="20"/>
        </w:rPr>
        <w:t>Elasmobranchii</w:t>
      </w:r>
      <w:proofErr w:type="spellEnd"/>
      <w:r w:rsidR="005D51A5">
        <w:rPr>
          <w:rFonts w:ascii="LMRoman10-Regular" w:hAnsi="LMRoman10-Regular" w:cs="LMRoman10-Regular"/>
          <w:sz w:val="20"/>
          <w:szCs w:val="20"/>
        </w:rPr>
        <w:t>)</w:t>
      </w:r>
      <w:r w:rsidR="00E84D34">
        <w:rPr>
          <w:rFonts w:ascii="LMRoman10-Regular" w:hAnsi="LMRoman10-Regular" w:cs="LMRoman10-Regular"/>
          <w:sz w:val="20"/>
          <w:szCs w:val="20"/>
        </w:rPr>
        <w:t>, but did differ among</w:t>
      </w:r>
      <w:r w:rsidR="005D51A5">
        <w:rPr>
          <w:rFonts w:ascii="LMRoman10-Regular" w:hAnsi="LMRoman10-Regular" w:cs="LMRoman10-Regular"/>
          <w:sz w:val="20"/>
          <w:szCs w:val="20"/>
        </w:rPr>
        <w:t xml:space="preserve"> number of repeated readings, range of observed ages, and calcified structure used. </w:t>
      </w:r>
      <w:r w:rsidR="00FE0F26">
        <w:rPr>
          <w:rFonts w:ascii="LMRoman10-Regular" w:hAnsi="LMRoman10-Regular" w:cs="LMRoman10-Regular"/>
          <w:sz w:val="20"/>
          <w:szCs w:val="20"/>
        </w:rPr>
        <w:t>Me</w:t>
      </w:r>
      <w:r w:rsidR="005D51A5">
        <w:rPr>
          <w:rFonts w:ascii="LMRoman10-Regular" w:hAnsi="LMRoman10-Regular" w:cs="LMRoman10-Regular"/>
          <w:sz w:val="20"/>
          <w:szCs w:val="20"/>
        </w:rPr>
        <w:t>di</w:t>
      </w:r>
      <w:r w:rsidR="00FE0F26">
        <w:rPr>
          <w:rFonts w:ascii="LMRoman10-Regular" w:hAnsi="LMRoman10-Regular" w:cs="LMRoman10-Regular"/>
          <w:sz w:val="20"/>
          <w:szCs w:val="20"/>
        </w:rPr>
        <w:t xml:space="preserve">an ACV </w:t>
      </w:r>
      <w:r w:rsidR="005D51A5">
        <w:rPr>
          <w:rFonts w:ascii="LMRoman10-Regular" w:hAnsi="LMRoman10-Regular" w:cs="LMRoman10-Regular"/>
          <w:sz w:val="20"/>
          <w:szCs w:val="20"/>
        </w:rPr>
        <w:t xml:space="preserve">was lower </w:t>
      </w:r>
      <w:r w:rsidR="00E84D34">
        <w:rPr>
          <w:rFonts w:ascii="LMRoman10-Regular" w:hAnsi="LMRoman10-Regular" w:cs="LMRoman10-Regular"/>
          <w:sz w:val="20"/>
          <w:szCs w:val="20"/>
        </w:rPr>
        <w:t xml:space="preserve">when only </w:t>
      </w:r>
      <w:r w:rsidR="00FE0F26">
        <w:rPr>
          <w:rFonts w:ascii="LMRoman10-Regular" w:hAnsi="LMRoman10-Regular" w:cs="LMRoman10-Regular"/>
          <w:sz w:val="20"/>
          <w:szCs w:val="20"/>
        </w:rPr>
        <w:t xml:space="preserve">two </w:t>
      </w:r>
      <w:r w:rsidR="00E84D34">
        <w:rPr>
          <w:rFonts w:ascii="LMRoman10-Regular" w:hAnsi="LMRoman10-Regular" w:cs="LMRoman10-Regular"/>
          <w:sz w:val="20"/>
          <w:szCs w:val="20"/>
        </w:rPr>
        <w:t xml:space="preserve">repeated readings were </w:t>
      </w:r>
      <w:proofErr w:type="gramStart"/>
      <w:r w:rsidR="00E84D34">
        <w:rPr>
          <w:rFonts w:ascii="LMRoman10-Regular" w:hAnsi="LMRoman10-Regular" w:cs="LMRoman10-Regular"/>
          <w:sz w:val="20"/>
          <w:szCs w:val="20"/>
        </w:rPr>
        <w:t>made</w:t>
      </w:r>
      <w:r w:rsidR="005D51A5">
        <w:rPr>
          <w:rFonts w:ascii="LMRoman10-Regular" w:hAnsi="LMRoman10-Regular" w:cs="LMRoman10-Regular"/>
          <w:sz w:val="20"/>
          <w:szCs w:val="20"/>
        </w:rPr>
        <w:t>,</w:t>
      </w:r>
      <w:proofErr w:type="gramEnd"/>
      <w:r w:rsidR="005D51A5">
        <w:rPr>
          <w:rFonts w:ascii="LMRoman10-Regular" w:hAnsi="LMRoman10-Regular" w:cs="LMRoman10-Regular"/>
          <w:sz w:val="20"/>
          <w:szCs w:val="20"/>
        </w:rPr>
        <w:t xml:space="preserve"> lower when more than 10 ages were estimated, and lower for otoliths than spines, fin rays, and vertebrae</w:t>
      </w:r>
      <w:r w:rsidR="00E84D34">
        <w:rPr>
          <w:rFonts w:ascii="LMRoman10-Regular" w:hAnsi="LMRoman10-Regular" w:cs="LMRoman10-Regular"/>
          <w:sz w:val="20"/>
          <w:szCs w:val="20"/>
        </w:rPr>
        <w:t>,</w:t>
      </w:r>
      <w:r w:rsidR="005D51A5">
        <w:rPr>
          <w:rFonts w:ascii="LMRoman10-Regular" w:hAnsi="LMRoman10-Regular" w:cs="LMRoman10-Regular"/>
          <w:sz w:val="20"/>
          <w:szCs w:val="20"/>
        </w:rPr>
        <w:t xml:space="preserve"> which </w:t>
      </w:r>
      <w:r w:rsidR="00E84D34">
        <w:rPr>
          <w:rFonts w:ascii="LMRoman10-Regular" w:hAnsi="LMRoman10-Regular" w:cs="LMRoman10-Regular"/>
          <w:sz w:val="20"/>
          <w:szCs w:val="20"/>
        </w:rPr>
        <w:t>had a</w:t>
      </w:r>
      <w:r w:rsidR="005D51A5">
        <w:rPr>
          <w:rFonts w:ascii="LMRoman10-Regular" w:hAnsi="LMRoman10-Regular" w:cs="LMRoman10-Regular"/>
          <w:sz w:val="20"/>
          <w:szCs w:val="20"/>
        </w:rPr>
        <w:t xml:space="preserve"> lower</w:t>
      </w:r>
      <w:r w:rsidR="00E84D34">
        <w:rPr>
          <w:rFonts w:ascii="LMRoman10-Regular" w:hAnsi="LMRoman10-Regular" w:cs="LMRoman10-Regular"/>
          <w:sz w:val="20"/>
          <w:szCs w:val="20"/>
        </w:rPr>
        <w:t xml:space="preserve"> median ACV</w:t>
      </w:r>
      <w:r w:rsidR="005D51A5">
        <w:rPr>
          <w:rFonts w:ascii="LMRoman10-Regular" w:hAnsi="LMRoman10-Regular" w:cs="LMRoman10-Regular"/>
          <w:sz w:val="20"/>
          <w:szCs w:val="20"/>
        </w:rPr>
        <w:t xml:space="preserve"> than scales</w:t>
      </w:r>
      <w:r w:rsidR="00694E8D">
        <w:rPr>
          <w:rFonts w:ascii="LMRoman10-Regular" w:hAnsi="LMRoman10-Regular" w:cs="LMRoman10-Regular"/>
          <w:sz w:val="20"/>
          <w:szCs w:val="20"/>
        </w:rPr>
        <w:t>.</w:t>
      </w:r>
      <w:r w:rsidR="00E84D34">
        <w:rPr>
          <w:rFonts w:ascii="LMRoman10-Regular" w:hAnsi="LMRoman10-Regular" w:cs="LMRoman10-Regular"/>
          <w:sz w:val="20"/>
          <w:szCs w:val="20"/>
        </w:rPr>
        <w:t xml:space="preserve"> </w:t>
      </w:r>
      <w:r w:rsidR="0025501F">
        <w:rPr>
          <w:rFonts w:ascii="LMRoman10-Regular" w:hAnsi="LMRoman10-Regular" w:cs="LMRoman10-Regular"/>
          <w:sz w:val="20"/>
          <w:szCs w:val="20"/>
        </w:rPr>
        <w:t>The overall median ACV was 9.3%, with a modal ACV of 9-10%. These results suggest that the ACV is higher than wh</w:t>
      </w:r>
      <w:r w:rsidR="00BE6630">
        <w:rPr>
          <w:rFonts w:ascii="LMRoman10-Regular" w:hAnsi="LMRoman10-Regular" w:cs="LMRoman10-Regular"/>
          <w:sz w:val="20"/>
          <w:szCs w:val="20"/>
        </w:rPr>
        <w:t xml:space="preserve">at </w:t>
      </w:r>
      <w:proofErr w:type="spellStart"/>
      <w:r w:rsidR="00BE6630">
        <w:rPr>
          <w:rFonts w:ascii="LMRoman10-Regular" w:hAnsi="LMRoman10-Regular" w:cs="LMRoman10-Regular"/>
          <w:sz w:val="20"/>
          <w:szCs w:val="20"/>
        </w:rPr>
        <w:t>Campana</w:t>
      </w:r>
      <w:proofErr w:type="spellEnd"/>
      <w:r w:rsidR="00BE6630">
        <w:rPr>
          <w:rFonts w:ascii="LMRoman10-Regular" w:hAnsi="LMRoman10-Regular" w:cs="LMRoman10-Regular"/>
          <w:sz w:val="20"/>
          <w:szCs w:val="20"/>
        </w:rPr>
        <w:t xml:space="preserve"> reported in 2001 and varies among aspects of the analyses. Our results provide a modern perspective on the questions raised by </w:t>
      </w:r>
      <w:proofErr w:type="spellStart"/>
      <w:r w:rsidR="00BE6630">
        <w:rPr>
          <w:rFonts w:ascii="LMRoman10-Regular" w:hAnsi="LMRoman10-Regular" w:cs="LMRoman10-Regular"/>
          <w:sz w:val="20"/>
          <w:szCs w:val="20"/>
        </w:rPr>
        <w:t>Campana</w:t>
      </w:r>
      <w:proofErr w:type="spellEnd"/>
      <w:r w:rsidR="00BE6630">
        <w:rPr>
          <w:rFonts w:ascii="LMRoman10-Regular" w:hAnsi="LMRoman10-Regular" w:cs="LMRoman10-Regular"/>
          <w:sz w:val="20"/>
          <w:szCs w:val="20"/>
        </w:rPr>
        <w:t xml:space="preserve"> and allow for more focused comparisons of age precision results.</w:t>
      </w:r>
      <w:bookmarkStart w:id="0" w:name="_GoBack"/>
      <w:bookmarkEnd w:id="0"/>
    </w:p>
    <w:p w14:paraId="296DE986" w14:textId="58154990" w:rsidR="00F820A1" w:rsidRDefault="00F820A1"/>
    <w:sectPr w:rsidR="00F82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Roman10-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B6894"/>
    <w:multiLevelType w:val="hybridMultilevel"/>
    <w:tmpl w:val="D5384B20"/>
    <w:lvl w:ilvl="0" w:tplc="577EFA60">
      <w:start w:val="2017"/>
      <w:numFmt w:val="bullet"/>
      <w:lvlText w:val="-"/>
      <w:lvlJc w:val="left"/>
      <w:pPr>
        <w:ind w:left="720" w:hanging="360"/>
      </w:pPr>
      <w:rPr>
        <w:rFonts w:ascii="LMRoman10-Regular" w:eastAsiaTheme="minorHAnsi" w:hAnsi="LMRoman10-Regular" w:cs="LMRoman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71AFB"/>
    <w:multiLevelType w:val="hybridMultilevel"/>
    <w:tmpl w:val="185E234A"/>
    <w:lvl w:ilvl="0" w:tplc="39327AC4">
      <w:start w:val="2017"/>
      <w:numFmt w:val="bullet"/>
      <w:lvlText w:val=""/>
      <w:lvlJc w:val="left"/>
      <w:pPr>
        <w:ind w:left="720" w:hanging="360"/>
      </w:pPr>
      <w:rPr>
        <w:rFonts w:ascii="Wingdings" w:eastAsiaTheme="minorHAnsi" w:hAnsi="Wingdings" w:cs="LMRoman10-Regul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6F"/>
    <w:rsid w:val="000A58FC"/>
    <w:rsid w:val="00100349"/>
    <w:rsid w:val="00186B0D"/>
    <w:rsid w:val="0025501F"/>
    <w:rsid w:val="00292768"/>
    <w:rsid w:val="00330ACE"/>
    <w:rsid w:val="003B11C8"/>
    <w:rsid w:val="003E5EEC"/>
    <w:rsid w:val="00406285"/>
    <w:rsid w:val="00406ED4"/>
    <w:rsid w:val="0047614E"/>
    <w:rsid w:val="005D51A5"/>
    <w:rsid w:val="005E6106"/>
    <w:rsid w:val="00694E8D"/>
    <w:rsid w:val="006D7BB0"/>
    <w:rsid w:val="007447CE"/>
    <w:rsid w:val="008608EA"/>
    <w:rsid w:val="00947677"/>
    <w:rsid w:val="00A06E86"/>
    <w:rsid w:val="00A53730"/>
    <w:rsid w:val="00AE246F"/>
    <w:rsid w:val="00B9549A"/>
    <w:rsid w:val="00BE6630"/>
    <w:rsid w:val="00BF0FEB"/>
    <w:rsid w:val="00CD6E2E"/>
    <w:rsid w:val="00CE03A1"/>
    <w:rsid w:val="00D54F61"/>
    <w:rsid w:val="00E0406C"/>
    <w:rsid w:val="00E84D34"/>
    <w:rsid w:val="00F820A1"/>
    <w:rsid w:val="00FA6946"/>
    <w:rsid w:val="00FD79F6"/>
    <w:rsid w:val="00FE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88FB"/>
  <w15:chartTrackingRefBased/>
  <w15:docId w15:val="{9CB6650E-3380-4D7F-BAF9-4FF6ED83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10A03-9096-4480-8350-E61EDC300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5</cp:revision>
  <dcterms:created xsi:type="dcterms:W3CDTF">2019-02-07T16:31:00Z</dcterms:created>
  <dcterms:modified xsi:type="dcterms:W3CDTF">2019-02-07T20:15:00Z</dcterms:modified>
</cp:coreProperties>
</file>