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49651DD9" w:rsidR="00D90441" w:rsidRDefault="003431A0" w:rsidP="0006728C">
      <w:pPr>
        <w:ind w:firstLine="0"/>
      </w:pPr>
      <w:r>
        <w:t>Estimating t</w:t>
      </w:r>
      <w:r w:rsidR="00DB5399">
        <w:t xml:space="preserve">he </w:t>
      </w:r>
      <w:del w:id="1" w:author="Derek Ogle" w:date="2017-01-03T15:37:00Z">
        <w:r w:rsidR="00DB5399" w:rsidDel="006B2766">
          <w:delText xml:space="preserve">average </w:delText>
        </w:r>
      </w:del>
      <w:r w:rsidR="00DB5399">
        <w:t>time</w:t>
      </w:r>
      <w:r>
        <w:t xml:space="preserve"> required</w:t>
      </w:r>
      <w:r w:rsidR="00DB5399">
        <w:t xml:space="preserve"> (</w:t>
      </w:r>
      <w:r>
        <w:t xml:space="preserve">i.e., </w:t>
      </w:r>
      <w:r w:rsidR="00DB5399">
        <w:t>age)</w:t>
      </w:r>
      <w:r w:rsidR="00DB5399" w:rsidRPr="00353153">
        <w:t xml:space="preserve"> for </w:t>
      </w:r>
      <w:del w:id="2" w:author="Derek Ogle" w:date="2017-01-03T15:25:00Z">
        <w:r w:rsidR="00DB5399" w:rsidDel="00F73D89">
          <w:delText xml:space="preserve">the mean length </w:delText>
        </w:r>
        <w:r w:rsidR="00DB5399" w:rsidRPr="00353153" w:rsidDel="00F73D89">
          <w:delText xml:space="preserve">of </w:delText>
        </w:r>
      </w:del>
      <w:r w:rsidR="00DB5399" w:rsidRPr="00353153">
        <w:t>fish</w:t>
      </w:r>
      <w:r>
        <w:t xml:space="preserve"> in a population</w:t>
      </w:r>
      <w:r w:rsidR="00DB5399" w:rsidRPr="00353153">
        <w:t xml:space="preserve"> to reach a</w:t>
      </w:r>
      <w:r w:rsidR="00DB5399">
        <w:t xml:space="preserve"> </w:t>
      </w:r>
      <w:r w:rsidR="00205946">
        <w:t xml:space="preserve">specific </w:t>
      </w:r>
      <w:ins w:id="3" w:author="Derek Ogle" w:date="2017-01-03T15:25:00Z">
        <w:r w:rsidR="00F73D89">
          <w:t>length</w:t>
        </w:r>
      </w:ins>
      <w:del w:id="4" w:author="Derek Ogle" w:date="2017-01-03T15:25:00Z">
        <w:r w:rsidR="00DB5399" w:rsidDel="00F73D89">
          <w:delText>value</w:delText>
        </w:r>
      </w:del>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w:t>
      </w:r>
      <w:del w:id="5" w:author="Derek Ogle" w:date="2017-01-03T15:37:00Z">
        <w:r w:rsidR="00DB5399" w:rsidDel="006B2766">
          <w:delText xml:space="preserve">mean </w:delText>
        </w:r>
      </w:del>
      <w:r w:rsidR="00DB5399">
        <w:t xml:space="preserve">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statistically </w:t>
      </w:r>
      <w:r w:rsidR="00DB5399">
        <w:t>compar</w:t>
      </w:r>
      <w:r>
        <w:t>ing</w:t>
      </w:r>
      <w:r w:rsidR="00DB5399">
        <w:t xml:space="preserve"> estimates of </w:t>
      </w:r>
      <w:del w:id="6" w:author="Derek Ogle" w:date="2017-01-03T15:38:00Z">
        <w:r w:rsidR="00DB5399" w:rsidDel="006B2766">
          <w:delText xml:space="preserve">mean </w:delText>
        </w:r>
      </w:del>
      <w:r w:rsidR="00DB5399">
        <w:t xml:space="preserve">age at the </w:t>
      </w:r>
      <w:r w:rsidR="004830AD">
        <w:t xml:space="preserve">specified </w:t>
      </w:r>
      <w:r w:rsidR="00DB5399">
        <w:t>length among populations. We provide a</w:t>
      </w:r>
      <w:r w:rsidR="004442E7">
        <w:t xml:space="preserve"> new</w:t>
      </w:r>
      <w:r w:rsidR="00DB5399">
        <w:t xml:space="preserve"> parameterization of the von Bertalanffy growth function that allows the </w:t>
      </w:r>
      <w:del w:id="7" w:author="Derek Ogle" w:date="2017-01-03T15:38:00Z">
        <w:r w:rsidR="00DB5399" w:rsidDel="006B2766">
          <w:delText xml:space="preserve">mean </w:delText>
        </w:r>
      </w:del>
      <w:r w:rsidR="00DB5399">
        <w:t xml:space="preserve">age at a </w:t>
      </w:r>
      <w:r w:rsidR="004830AD">
        <w:t xml:space="preserve">specified </w:t>
      </w:r>
      <w:r w:rsidR="00DB5399">
        <w:t xml:space="preserve">length to be directly </w:t>
      </w:r>
      <w:r w:rsidR="004442E7">
        <w:t>estimated so that</w:t>
      </w:r>
      <w:r w:rsidR="00466C4D">
        <w:t xml:space="preserve"> standard</w:t>
      </w:r>
      <w:r w:rsidR="004442E7">
        <w:t xml:space="preserve"> methods to construct confidence intervals and </w:t>
      </w:r>
      <w:r w:rsidR="00835233">
        <w:t xml:space="preserve">make </w:t>
      </w:r>
      <w:r w:rsidR="004442E7">
        <w:t xml:space="preserve">among-group </w:t>
      </w:r>
      <w:r w:rsidR="004442E7">
        <w:lastRenderedPageBreak/>
        <w:t>comparisons for these values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7B6BFB86" w:rsidR="00D00CFD" w:rsidRDefault="009E6505" w:rsidP="003B53E7">
      <w:pPr>
        <w:pStyle w:val="BodyText"/>
      </w:pPr>
      <w:r>
        <w:t xml:space="preserve">The </w:t>
      </w:r>
      <w:del w:id="8" w:author="Derek Ogle" w:date="2017-01-03T15:38:00Z">
        <w:r w:rsidDel="006B2766">
          <w:delText xml:space="preserve">average </w:delText>
        </w:r>
      </w:del>
      <w:r>
        <w:t>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ins w:id="9" w:author="Derek Ogle" w:date="2017-01-03T15:29:00Z">
        <w:r w:rsidR="00AA0098">
          <w:t>facilitated using</w:t>
        </w:r>
      </w:ins>
      <w:del w:id="10" w:author="Derek Ogle" w:date="2017-01-03T15:29:00Z">
        <w:r w:rsidR="00573C46" w:rsidDel="00AA0098">
          <w:delText>expanded the use of</w:delText>
        </w:r>
      </w:del>
      <w:r w:rsidR="00573C46">
        <w:t xml:space="preserve">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3A1B88">
        <w:t>, 2014)</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ins w:id="11" w:author="Derek Ogle" w:date="2017-01-03T15:30:00Z">
        <w:r w:rsidR="00AA0098">
          <w:t>grows slower</w:t>
        </w:r>
      </w:ins>
      <w:ins w:id="12" w:author="Derek Ogle" w:date="2017-01-03T15:39:00Z">
        <w:r w:rsidR="00A60841">
          <w:t xml:space="preserve"> than</w:t>
        </w:r>
      </w:ins>
      <w:del w:id="13" w:author="Derek Ogle" w:date="2017-01-03T15:30:00Z">
        <w:r w:rsidR="003A7725" w:rsidDel="00AA0098">
          <w:delText xml:space="preserve">grew </w:delText>
        </w:r>
        <w:r w:rsidR="00DB7944" w:rsidDel="00AA0098">
          <w:delText>slowly</w:delText>
        </w:r>
      </w:del>
      <w:del w:id="14" w:author="Derek Ogle" w:date="2017-01-03T15:39:00Z">
        <w:r w:rsidR="00DB7944" w:rsidDel="00A60841">
          <w:delText xml:space="preserve"> </w:delText>
        </w:r>
        <w:r w:rsidR="003A7725" w:rsidDel="00A60841">
          <w:delText>compared to</w:delText>
        </w:r>
      </w:del>
      <w:r w:rsidR="003A7725">
        <w:t xml:space="preserve">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32E90B7B"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(Ritz and </w:t>
      </w:r>
      <w:r w:rsidR="00A30EFF">
        <w:lastRenderedPageBreak/>
        <w:t>Streibig, 2008)</w:t>
      </w:r>
      <w:r w:rsidR="007B064B">
        <w:t>, likelihood ratio tests</w:t>
      </w:r>
      <w:r w:rsidR="00A30EFF">
        <w:t xml:space="preserve"> (</w:t>
      </w:r>
      <w:r w:rsidR="00DC6B28">
        <w:t>Kimura, 19890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774622D8"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del w:id="15" w:author="Derek Ogle" w:date="2017-01-03T15:40:00Z">
        <w:r w:rsidR="00EA1993" w:rsidDel="00A60841">
          <w:delText xml:space="preserve">to </w:delText>
        </w:r>
      </w:del>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 xml:space="preserve">of the VBGF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4C5226AC" w:rsidR="00E75EA3" w:rsidRDefault="00E75EA3" w:rsidP="003B53E7">
      <w:pPr>
        <w:ind w:firstLine="0"/>
      </w:pPr>
      <w:r w:rsidRPr="00E75EA3">
        <w:t xml:space="preserve">where </w:t>
      </w:r>
      <m:oMath>
        <m:sSub>
          <m:sSubPr>
            <m:ctrlPr>
              <w:ins w:id="16" w:author="Derek Ogle" w:date="2017-01-04T19:34:00Z">
                <w:rPr>
                  <w:rFonts w:ascii="Cambria Math" w:hAnsi="Cambria Math"/>
                </w:rPr>
              </w:ins>
            </m:ctrlPr>
          </m:sSubPr>
          <m:e>
            <m:r>
              <w:ins w:id="17" w:author="Derek Ogle" w:date="2017-01-04T19:34:00Z">
                <w:rPr>
                  <w:rFonts w:ascii="Cambria Math" w:hAnsi="Cambria Math"/>
                </w:rPr>
                <m:t>L</m:t>
              </w:ins>
            </m:r>
          </m:e>
          <m:sub>
            <m:r>
              <w:ins w:id="18" w:author="Derek Ogle" w:date="2017-01-04T19:34:00Z">
                <w:rPr>
                  <w:rFonts w:ascii="Cambria Math" w:hAnsi="Cambria Math"/>
                </w:rPr>
                <m:t>t</m:t>
              </w:ins>
            </m:r>
          </m:sub>
        </m:sSub>
        <m:sSub>
          <m:sSubPr>
            <m:ctrlPr>
              <w:rPr>
                <w:rFonts w:ascii="Cambria Math" w:hAnsi="Cambria Math"/>
              </w:rPr>
            </m:ctrlPr>
          </m:sSubPr>
          <m:e>
            <m:r>
              <w:ins w:id="19" w:author="Derek Ogle" w:date="2017-01-04T19:34:00Z">
                <w:rPr>
                  <w:rFonts w:ascii="Cambria Math" w:hAnsi="Cambria Math"/>
                </w:rPr>
                <m:t>=</m:t>
              </w:ins>
            </m:r>
            <m:r>
              <w:rPr>
                <w:rFonts w:ascii="Cambria Math" w:hAnsi="Cambria Math"/>
              </w:rPr>
              <m:t>L</m:t>
            </m:r>
          </m:e>
          <m:sub>
            <m:r>
              <w:rPr>
                <w:rFonts w:ascii="Cambria Math" w:hAnsi="Cambria Math"/>
              </w:rPr>
              <m:t>r</m:t>
            </m:r>
          </m:sub>
        </m:sSub>
      </m:oMath>
      <w:del w:id="20" w:author="Derek Ogle" w:date="2017-01-04T19:34:00Z">
        <w:r w:rsidRPr="00E75EA3" w:rsidDel="00ED52F4">
          <w:delText xml:space="preserve"> is </w:delText>
        </w:r>
        <m:oMath>
          <m:sSub>
            <m:sSubPr>
              <m:ctrlPr>
                <w:rPr>
                  <w:rFonts w:ascii="Cambria Math" w:hAnsi="Cambria Math"/>
                </w:rPr>
              </m:ctrlPr>
            </m:sSubPr>
            <m:e>
              <m:r>
                <w:rPr>
                  <w:rFonts w:ascii="Cambria Math" w:hAnsi="Cambria Math"/>
                </w:rPr>
                <m:t>L</m:t>
              </m:r>
            </m:e>
            <m:sub>
              <m:r>
                <w:rPr>
                  <w:rFonts w:ascii="Cambria Math" w:hAnsi="Cambria Math"/>
                </w:rPr>
                <m:t>t</m:t>
              </m:r>
            </m:sub>
          </m:sSub>
        </m:oMath>
      </w:del>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ins w:id="21" w:author="Derek Ogle" w:date="2017-01-04T19:20:00Z">
        <w:r w:rsidR="009C7409">
          <w:t xml:space="preserve">Geometrically, setting </w:t>
        </w:r>
      </w:ins>
      <m:oMath>
        <m:sSub>
          <m:sSubPr>
            <m:ctrlPr>
              <w:ins w:id="22" w:author="Derek Ogle" w:date="2017-01-04T19:26:00Z">
                <w:rPr>
                  <w:rFonts w:ascii="Cambria Math" w:hAnsi="Cambria Math"/>
                </w:rPr>
              </w:ins>
            </m:ctrlPr>
          </m:sSubPr>
          <m:e>
            <m:r>
              <w:ins w:id="23" w:author="Derek Ogle" w:date="2017-01-04T19:26:00Z">
                <w:rPr>
                  <w:rFonts w:ascii="Cambria Math" w:hAnsi="Cambria Math"/>
                </w:rPr>
                <m:t>L</m:t>
              </w:ins>
            </m:r>
          </m:e>
          <m:sub>
            <m:r>
              <w:ins w:id="24" w:author="Derek Ogle" w:date="2017-01-04T19:26:00Z">
                <w:rPr>
                  <w:rFonts w:ascii="Cambria Math" w:hAnsi="Cambria Math"/>
                </w:rPr>
                <m:t>r</m:t>
              </w:ins>
            </m:r>
          </m:sub>
        </m:sSub>
      </m:oMath>
      <w:ins w:id="25" w:author="Derek Ogle" w:date="2017-01-04T19:20:00Z">
        <w:r w:rsidR="00483A30">
          <w:t xml:space="preserve"> to a constant vertically shift</w:t>
        </w:r>
      </w:ins>
      <w:ins w:id="26" w:author="Derek Ogle" w:date="2017-01-04T19:35:00Z">
        <w:r w:rsidR="00ED52F4">
          <w:t xml:space="preserve">s </w:t>
        </w:r>
      </w:ins>
      <w:ins w:id="27" w:author="Derek Ogle" w:date="2017-01-04T19:20:00Z">
        <w:r w:rsidR="00483A30">
          <w:t xml:space="preserve">the growth curve </w:t>
        </w:r>
      </w:ins>
      <w:ins w:id="28" w:author="Derek Ogle" w:date="2017-01-04T19:32:00Z">
        <w:r w:rsidR="00F14DCB">
          <w:t xml:space="preserve">(i.e., subtract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F14DCB">
          <w:t xml:space="preserve"> </w:t>
        </w:r>
        <w:r w:rsidR="00ED52F4">
          <w:t>from all</w:t>
        </w:r>
        <w:r w:rsidR="00F14DCB">
          <w:t xml:space="preserve">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F14DCB">
          <w:t>)</w:t>
        </w:r>
        <w:r w:rsidR="00F14DCB">
          <w:t xml:space="preserve"> </w:t>
        </w:r>
      </w:ins>
      <w:ins w:id="29" w:author="Derek Ogle" w:date="2017-01-04T19:20:00Z">
        <w:r w:rsidR="00483A30">
          <w:t xml:space="preserve">such that </w:t>
        </w:r>
      </w:ins>
      <m:oMath>
        <m:sSub>
          <m:sSubPr>
            <m:ctrlPr>
              <w:ins w:id="30" w:author="Derek Ogle" w:date="2017-01-04T19:26:00Z">
                <w:rPr>
                  <w:rFonts w:ascii="Cambria Math" w:hAnsi="Cambria Math"/>
                </w:rPr>
              </w:ins>
            </m:ctrlPr>
          </m:sSubPr>
          <m:e>
            <m:r>
              <w:ins w:id="31" w:author="Derek Ogle" w:date="2017-01-04T19:26:00Z">
                <w:rPr>
                  <w:rFonts w:ascii="Cambria Math" w:hAnsi="Cambria Math"/>
                </w:rPr>
                <m:t>t</m:t>
              </w:ins>
            </m:r>
          </m:e>
          <m:sub>
            <m:r>
              <w:ins w:id="32" w:author="Derek Ogle" w:date="2017-01-04T19:26:00Z">
                <w:rPr>
                  <w:rFonts w:ascii="Cambria Math" w:hAnsi="Cambria Math"/>
                </w:rPr>
                <m:t>r</m:t>
              </w:ins>
            </m:r>
          </m:sub>
        </m:sSub>
      </m:oMath>
      <w:ins w:id="33" w:author="Derek Ogle" w:date="2017-01-04T19:20:00Z">
        <w:r w:rsidR="00F14DCB">
          <w:t xml:space="preserve"> is estimated as an</w:t>
        </w:r>
        <w:r w:rsidR="00483A30">
          <w:t xml:space="preserve"> x-intercept. Similarly, setting </w:t>
        </w:r>
      </w:ins>
      <m:oMath>
        <m:sSub>
          <m:sSubPr>
            <m:ctrlPr>
              <w:ins w:id="34" w:author="Derek Ogle" w:date="2017-01-04T19:26:00Z">
                <w:rPr>
                  <w:rFonts w:ascii="Cambria Math" w:hAnsi="Cambria Math"/>
                </w:rPr>
              </w:ins>
            </m:ctrlPr>
          </m:sSubPr>
          <m:e>
            <m:r>
              <w:ins w:id="35" w:author="Derek Ogle" w:date="2017-01-04T19:26:00Z">
                <w:rPr>
                  <w:rFonts w:ascii="Cambria Math" w:hAnsi="Cambria Math"/>
                </w:rPr>
                <m:t>t</m:t>
              </w:ins>
            </m:r>
          </m:e>
          <m:sub>
            <m:r>
              <w:ins w:id="36" w:author="Derek Ogle" w:date="2017-01-04T19:26:00Z">
                <w:rPr>
                  <w:rFonts w:ascii="Cambria Math" w:hAnsi="Cambria Math"/>
                </w:rPr>
                <m:t>r</m:t>
              </w:ins>
            </m:r>
          </m:sub>
        </m:sSub>
      </m:oMath>
      <w:ins w:id="37" w:author="Derek Ogle" w:date="2017-01-04T19:20:00Z">
        <w:r w:rsidR="00483A30">
          <w:t xml:space="preserve"> to a constant horizont</w:t>
        </w:r>
        <w:r w:rsidR="00ED52F4">
          <w:t>ally shifts</w:t>
        </w:r>
        <w:r w:rsidR="00483A30">
          <w:t xml:space="preserve"> the growth curve </w:t>
        </w:r>
      </w:ins>
      <w:ins w:id="38" w:author="Derek Ogle" w:date="2017-01-04T19:32:00Z">
        <w:r w:rsidR="00F14DCB">
          <w:t xml:space="preserve">(i.e., subtract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14DCB">
          <w:t xml:space="preserve"> from all </w:t>
        </w:r>
      </w:ins>
      <m:oMath>
        <m:r>
          <w:ins w:id="39" w:author="Derek Ogle" w:date="2017-01-04T19:33:00Z">
            <w:rPr>
              <w:rFonts w:ascii="Cambria Math" w:hAnsi="Cambria Math"/>
            </w:rPr>
            <m:t>t</m:t>
          </w:ins>
        </m:r>
      </m:oMath>
      <w:ins w:id="40" w:author="Derek Ogle" w:date="2017-01-04T19:32:00Z">
        <w:r w:rsidR="00F14DCB">
          <w:t>)</w:t>
        </w:r>
        <w:r w:rsidR="00F14DCB">
          <w:t xml:space="preserve"> </w:t>
        </w:r>
      </w:ins>
      <w:ins w:id="41" w:author="Derek Ogle" w:date="2017-01-04T19:20:00Z">
        <w:r w:rsidR="00483A30">
          <w:t xml:space="preserve">such that </w:t>
        </w:r>
      </w:ins>
      <m:oMath>
        <m:sSub>
          <m:sSubPr>
            <m:ctrlPr>
              <w:ins w:id="42" w:author="Derek Ogle" w:date="2017-01-04T19:26:00Z">
                <w:rPr>
                  <w:rFonts w:ascii="Cambria Math" w:hAnsi="Cambria Math"/>
                </w:rPr>
              </w:ins>
            </m:ctrlPr>
          </m:sSubPr>
          <m:e>
            <m:r>
              <w:ins w:id="43" w:author="Derek Ogle" w:date="2017-01-04T19:26:00Z">
                <w:rPr>
                  <w:rFonts w:ascii="Cambria Math" w:hAnsi="Cambria Math"/>
                </w:rPr>
                <m:t>L</m:t>
              </w:ins>
            </m:r>
          </m:e>
          <m:sub>
            <m:r>
              <w:ins w:id="44" w:author="Derek Ogle" w:date="2017-01-04T19:26:00Z">
                <w:rPr>
                  <w:rFonts w:ascii="Cambria Math" w:hAnsi="Cambria Math"/>
                </w:rPr>
                <m:t>r</m:t>
              </w:ins>
            </m:r>
          </m:sub>
        </m:sSub>
      </m:oMath>
      <w:ins w:id="45" w:author="Derek Ogle" w:date="2017-01-04T19:20:00Z">
        <w:r w:rsidR="00F14DCB">
          <w:t xml:space="preserve"> is estimated as a</w:t>
        </w:r>
        <w:r w:rsidR="00483A30">
          <w:t xml:space="preserve"> y-intercept. </w:t>
        </w:r>
      </w:ins>
      <w:r>
        <w:t xml:space="preserve">Thus, </w:t>
      </w:r>
      <w:ins w:id="46" w:author="Derek Ogle" w:date="2017-01-04T19:21:00Z">
        <w:r w:rsidR="00483A30">
          <w:t>when</w:t>
        </w:r>
      </w:ins>
      <w:del w:id="47" w:author="Derek Ogle" w:date="2017-01-04T19:21:00Z">
        <w:r w:rsidRPr="00E75EA3" w:rsidDel="00483A30">
          <w:delText>if</w:delText>
        </w:r>
      </w:del>
      <w:r w:rsidRPr="00E75EA3">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ins w:id="48" w:author="Derek Ogle" w:date="2017-01-04T19:42:00Z">
        <w:r w:rsidR="00BA5FCE">
          <w:t xml:space="preserve"> (i.e., no vertical shift)</w:t>
        </w:r>
      </w:ins>
      <w:r w:rsidRPr="00E75EA3">
        <w:t xml:space="preserve">, </w:t>
      </w:r>
      <w:del w:id="49" w:author="Derek Ogle" w:date="2017-01-04T19:21:00Z">
        <w:r w:rsidRPr="00E75EA3" w:rsidDel="00483A30">
          <w:delText xml:space="preserve">then </w:delText>
        </w:r>
      </w:del>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ins w:id="50" w:author="Derek Ogle" w:date="2017-01-04T19:22:00Z">
        <w:r w:rsidR="009C7409">
          <w:t>is</w:t>
        </w:r>
      </w:ins>
      <w:ins w:id="51" w:author="Derek Ogle" w:date="2017-01-04T19:27:00Z">
        <w:r w:rsidR="009C7409">
          <w:t xml:space="preserve"> </w:t>
        </w:r>
      </w:ins>
      <w:del w:id="52" w:author="Derek Ogle" w:date="2017-01-04T19:22:00Z">
        <w:r w:rsidRPr="00E75EA3" w:rsidDel="009C7409">
          <w:delText xml:space="preserve">represents </w:delText>
        </w:r>
      </w:del>
      <w:r w:rsidRPr="00E75EA3">
        <w:t>the theoretical</w:t>
      </w:r>
      <w:r>
        <w:t xml:space="preserve"> </w:t>
      </w:r>
      <w:r w:rsidRPr="00722EB0">
        <w:t xml:space="preserve">age </w:t>
      </w:r>
      <w:ins w:id="53" w:author="Derek Ogle" w:date="2017-01-04T19:43:00Z">
        <w:r w:rsidR="00C07A11">
          <w:t>at a</w:t>
        </w:r>
      </w:ins>
      <w:ins w:id="54" w:author="Derek Ogle" w:date="2017-01-04T19:36:00Z">
        <w:r w:rsidR="00ED52F4">
          <w:t xml:space="preserve"> </w:t>
        </w:r>
      </w:ins>
      <w:ins w:id="55" w:author="Derek Ogle" w:date="2017-01-04T19:27:00Z">
        <w:r w:rsidR="00C07A11">
          <w:t>mean length of</w:t>
        </w:r>
      </w:ins>
      <w:del w:id="56" w:author="Derek Ogle" w:date="2017-01-04T19:22:00Z">
        <w:r w:rsidRPr="00722EB0" w:rsidDel="009C7409">
          <w:delText xml:space="preserve">at </w:delText>
        </w:r>
      </w:del>
      <w:del w:id="57" w:author="Derek Ogle" w:date="2017-01-04T19:23:00Z">
        <w:r w:rsidRPr="00722EB0" w:rsidDel="009C7409">
          <w:delText>which</w:delText>
        </w:r>
      </w:del>
      <w:del w:id="58" w:author="Derek Ogle" w:date="2017-01-04T19:27:00Z">
        <w:r w:rsidRPr="00722EB0" w:rsidDel="00F14DCB">
          <w:delText xml:space="preserve"> </w:delTex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Del="00F14DCB">
          <w:delText xml:space="preserve"> </w:delText>
        </w:r>
      </w:del>
      <w:del w:id="59" w:author="Derek Ogle" w:date="2017-01-04T19:23:00Z">
        <w:r w:rsidRPr="00722EB0" w:rsidDel="009C7409">
          <w:delText>would be</w:delText>
        </w:r>
      </w:del>
      <w:r w:rsidRPr="00722EB0">
        <w:t xml:space="preserve"> zero</w:t>
      </w:r>
      <w:r>
        <w:t xml:space="preserve"> (i.e., the x-intercept) and</w:t>
      </w:r>
      <w:ins w:id="60" w:author="Derek Ogle" w:date="2017-01-04T19:21:00Z">
        <w:r w:rsidR="00483A30">
          <w:t xml:space="preserve"> </w:t>
        </w:r>
      </w:ins>
      <w:moveToRangeStart w:id="61" w:author="Derek Ogle" w:date="2017-01-04T19:21:00Z" w:name="move471321034"/>
      <w:moveTo w:id="62" w:author="Derek Ogle" w:date="2017-01-04T19:21:00Z">
        <w:r w:rsidR="00483A30">
          <w:t>Eq. (3) reduces to Eq. (1a)</w:t>
        </w:r>
      </w:moveTo>
      <w:moveToRangeEnd w:id="61"/>
      <w:del w:id="63" w:author="Derek Ogle" w:date="2017-01-04T19:21:00Z">
        <w:r w:rsidDel="009C7409">
          <w:delText>,</w:delText>
        </w:r>
      </w:del>
      <w:r>
        <w:t xml:space="preserve"> </w:t>
      </w:r>
      <w:ins w:id="64" w:author="Derek Ogle" w:date="2017-01-04T19:28:00Z">
        <w:r w:rsidR="00F14DCB">
          <w:t>with</w:t>
        </w:r>
      </w:ins>
      <w:del w:id="65" w:author="Derek Ogle" w:date="2017-01-04T19:28:00Z">
        <w:r w:rsidDel="00F14DCB">
          <w:delText>if</w:delText>
        </w:r>
      </w:del>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del w:id="66" w:author="Derek Ogle" w:date="2017-01-04T19:28:00Z">
        <w:r w:rsidDel="00F14DCB">
          <w:delText xml:space="preserve">is </w:delText>
        </w:r>
      </w:del>
      <w:r>
        <w:t xml:space="preserve">replaced </w:t>
      </w:r>
      <w:ins w:id="67" w:author="Derek Ogle" w:date="2017-01-04T19:28:00Z">
        <w:r w:rsidR="00F14DCB">
          <w:t>by</w:t>
        </w:r>
      </w:ins>
      <w:del w:id="68" w:author="Derek Ogle" w:date="2017-01-04T19:28:00Z">
        <w:r w:rsidDel="00F14DCB">
          <w:delText>with</w:delText>
        </w:r>
      </w:del>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del w:id="69" w:author="Derek Ogle" w:date="2017-01-04T19:21:00Z">
        <w:r w:rsidR="003B53E7" w:rsidDel="009C7409">
          <w:delText>,</w:delText>
        </w:r>
        <w:r w:rsidDel="009C7409">
          <w:delText xml:space="preserve"> then</w:delText>
        </w:r>
      </w:del>
      <w:moveFromRangeStart w:id="70" w:author="Derek Ogle" w:date="2017-01-04T19:21:00Z" w:name="move471321034"/>
      <w:moveFrom w:id="71" w:author="Derek Ogle" w:date="2017-01-04T19:21:00Z">
        <w:del w:id="72" w:author="Derek Ogle" w:date="2017-01-04T19:21:00Z">
          <w:r w:rsidDel="009C7409">
            <w:delText xml:space="preserve"> </w:delText>
          </w:r>
        </w:del>
        <w:r w:rsidDel="00483A30">
          <w:t>Eq. (3) reduces to</w:t>
        </w:r>
        <w:r w:rsidR="003B53E7" w:rsidDel="00483A30">
          <w:t xml:space="preserve"> Eq. (1</w:t>
        </w:r>
        <w:r w:rsidDel="00483A30">
          <w:t>a)</w:t>
        </w:r>
      </w:moveFrom>
      <w:moveFromRangeEnd w:id="70"/>
      <w:r>
        <w:t xml:space="preserve">. Similarly, </w:t>
      </w:r>
      <w:ins w:id="73" w:author="Derek Ogle" w:date="2017-01-04T19:22:00Z">
        <w:r w:rsidR="009C7409">
          <w:t>when</w:t>
        </w:r>
      </w:ins>
      <w:del w:id="74" w:author="Derek Ogle" w:date="2017-01-04T19:22:00Z">
        <w:r w:rsidDel="009C7409">
          <w:delText>if</w:delText>
        </w:r>
      </w:del>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ins w:id="75" w:author="Derek Ogle" w:date="2017-01-04T19:42:00Z">
        <w:r w:rsidR="00BA5FCE">
          <w:t xml:space="preserve"> (no horizontal shift)</w:t>
        </w:r>
      </w:ins>
      <w:r>
        <w:t xml:space="preserve">, </w:t>
      </w:r>
      <w:del w:id="76" w:author="Derek Ogle" w:date="2017-01-04T19:22:00Z">
        <w:r w:rsidDel="009C7409">
          <w:delText xml:space="preserve">then </w:delText>
        </w:r>
      </w:del>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ins w:id="77" w:author="Derek Ogle" w:date="2017-01-04T19:23:00Z">
        <w:r w:rsidR="009C7409">
          <w:t>is</w:t>
        </w:r>
      </w:ins>
      <w:ins w:id="78" w:author="Derek Ogle" w:date="2017-01-04T19:28:00Z">
        <w:r w:rsidR="00F14DCB">
          <w:t xml:space="preserve"> the mean length </w:t>
        </w:r>
      </w:ins>
      <w:ins w:id="79" w:author="Derek Ogle" w:date="2017-01-04T19:43:00Z">
        <w:r w:rsidR="00BA5FCE">
          <w:t>at</w:t>
        </w:r>
      </w:ins>
      <w:ins w:id="80" w:author="Derek Ogle" w:date="2017-01-04T19:36:00Z">
        <w:r w:rsidR="00ED52F4">
          <w:t xml:space="preserve"> </w:t>
        </w:r>
      </w:ins>
      <w:ins w:id="81" w:author="Derek Ogle" w:date="2017-01-04T19:28:00Z">
        <w:r w:rsidR="00F14DCB">
          <w:t>age zero</w:t>
        </w:r>
      </w:ins>
      <w:del w:id="82" w:author="Derek Ogle" w:date="2017-01-04T19:23:00Z">
        <w:r w:rsidDel="009C7409">
          <w:delText>represents</w:delText>
        </w:r>
      </w:del>
      <w:del w:id="83" w:author="Derek Ogle" w:date="2017-01-04T19:29:00Z">
        <w:r w:rsidDel="00F14DCB">
          <w:delText xml:space="preserve"> </w:delTex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Del="00F14DCB">
          <w:delText xml:space="preserve"> when </w:delText>
        </w:r>
        <w:r w:rsidDel="00F14DCB">
          <w:rPr>
            <w:i/>
          </w:rPr>
          <w:delText>t</w:delText>
        </w:r>
        <w:r w:rsidR="00547450" w:rsidDel="00F14DCB">
          <w:delText xml:space="preserve"> </w:delText>
        </w:r>
        <w:r w:rsidDel="00F14DCB">
          <w:delText>=</w:delText>
        </w:r>
        <w:r w:rsidR="00547450" w:rsidDel="00F14DCB">
          <w:delText xml:space="preserve"> </w:delText>
        </w:r>
        <w:r w:rsidDel="00F14DCB">
          <w:delText>0</w:delText>
        </w:r>
      </w:del>
      <w:r>
        <w:t xml:space="preserve"> (i.e., the y-intercept)</w:t>
      </w:r>
      <w:del w:id="84" w:author="Derek Ogle" w:date="2017-01-04T19:23:00Z">
        <w:r w:rsidDel="009C7409">
          <w:delText>,</w:delText>
        </w:r>
      </w:del>
      <w:r>
        <w:t xml:space="preserve"> and</w:t>
      </w:r>
      <w:ins w:id="85" w:author="Derek Ogle" w:date="2017-01-04T19:22:00Z">
        <w:r w:rsidR="009C7409" w:rsidRPr="009C7409">
          <w:t xml:space="preserve"> </w:t>
        </w:r>
      </w:ins>
      <w:moveToRangeStart w:id="86" w:author="Derek Ogle" w:date="2017-01-04T19:22:00Z" w:name="move471321079"/>
      <w:moveTo w:id="87" w:author="Derek Ogle" w:date="2017-01-04T19:22:00Z">
        <w:r w:rsidR="009C7409">
          <w:t>Eq. (3) reduces to Eq. (2a)</w:t>
        </w:r>
      </w:moveTo>
      <w:moveToRangeEnd w:id="86"/>
      <w:del w:id="88" w:author="Derek Ogle" w:date="2017-01-04T19:23:00Z">
        <w:r w:rsidR="003B53E7" w:rsidDel="009C7409">
          <w:delText>,</w:delText>
        </w:r>
      </w:del>
      <w:r w:rsidR="003B53E7">
        <w:t xml:space="preserve"> </w:t>
      </w:r>
      <w:ins w:id="89" w:author="Derek Ogle" w:date="2017-01-04T19:29:00Z">
        <w:r w:rsidR="00F14DCB">
          <w:t>with</w:t>
        </w:r>
      </w:ins>
      <w:del w:id="90" w:author="Derek Ogle" w:date="2017-01-04T19:29:00Z">
        <w:r w:rsidR="003B53E7" w:rsidDel="00F14DCB">
          <w:delText>if</w:delText>
        </w:r>
      </w:del>
      <w:del w:id="91" w:author="Derek Ogle" w:date="2017-01-04T19:37:00Z">
        <w:r w:rsidR="003B53E7" w:rsidDel="00ED52F4">
          <w:delText xml:space="preserve"> </w:delText>
        </w:r>
      </w:del>
      <w:r w:rsidR="003B53E7">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w:t>
      </w:r>
      <w:del w:id="92" w:author="Derek Ogle" w:date="2017-01-04T19:29:00Z">
        <w:r w:rsidR="003B53E7" w:rsidDel="00F14DCB">
          <w:delText xml:space="preserve">is </w:delText>
        </w:r>
      </w:del>
      <w:r w:rsidR="003B53E7">
        <w:t>replaced</w:t>
      </w:r>
      <w:ins w:id="93" w:author="Derek Ogle" w:date="2017-01-04T19:29:00Z">
        <w:r w:rsidR="00F14DCB">
          <w:t xml:space="preserve"> by</w:t>
        </w:r>
      </w:ins>
      <w:del w:id="94" w:author="Derek Ogle" w:date="2017-01-04T19:29:00Z">
        <w:r w:rsidR="003B53E7" w:rsidDel="00F14DCB">
          <w:delText xml:space="preserve"> with</w:delText>
        </w:r>
      </w:del>
      <w:r w:rsidR="003B53E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del w:id="95" w:author="Derek Ogle" w:date="2017-01-04T19:23:00Z">
        <w:r w:rsidR="003B53E7" w:rsidDel="009C7409">
          <w:delText>, then</w:delText>
        </w:r>
      </w:del>
      <w:moveFromRangeStart w:id="96" w:author="Derek Ogle" w:date="2017-01-04T19:22:00Z" w:name="move471321079"/>
      <w:moveFrom w:id="97" w:author="Derek Ogle" w:date="2017-01-04T19:22:00Z">
        <w:del w:id="98" w:author="Derek Ogle" w:date="2017-01-04T19:23:00Z">
          <w:r w:rsidR="003B53E7" w:rsidDel="009C7409">
            <w:delText xml:space="preserve"> E</w:delText>
          </w:r>
        </w:del>
        <w:r w:rsidR="003B53E7" w:rsidDel="009C7409">
          <w:t>q. (3</w:t>
        </w:r>
        <w:r w:rsidDel="009C7409">
          <w:t>) reduces to</w:t>
        </w:r>
        <w:r w:rsidR="003B53E7" w:rsidDel="009C7409">
          <w:t xml:space="preserve"> Eq. (2a)</w:t>
        </w:r>
      </w:moveFrom>
      <w:moveFromRangeEnd w:id="96"/>
      <w:r w:rsidR="003B53E7">
        <w:t>.</w:t>
      </w:r>
      <w:r w:rsidR="0025578B">
        <w:t xml:space="preserve"> </w:t>
      </w:r>
      <w:r w:rsidR="003B53E7">
        <w:t xml:space="preserve">Thus, Eqs. (1) and (2) are special cases of Eq. (3) and only differ in whether they are parameterized to estimate the </w:t>
      </w:r>
      <w:ins w:id="99" w:author="Derek Ogle" w:date="2017-01-04T19:29:00Z">
        <w:r w:rsidR="00F14DCB">
          <w:t>original (</w:t>
        </w:r>
      </w:ins>
      <w:ins w:id="100" w:author="Derek Ogle" w:date="2017-01-04T19:30:00Z">
        <w:r w:rsidR="00F14DCB">
          <w:t xml:space="preserve">i.e., </w:t>
        </w:r>
      </w:ins>
      <w:ins w:id="101" w:author="Derek Ogle" w:date="2017-01-04T19:29:00Z">
        <w:r w:rsidR="00F14DCB">
          <w:t xml:space="preserve">not shifted) </w:t>
        </w:r>
      </w:ins>
      <w:r w:rsidR="003B53E7">
        <w:t>x- or y-intercept (Figure 1).</w:t>
      </w:r>
      <w:del w:id="102" w:author="Derek Ogle" w:date="2017-01-04T19:44:00Z">
        <w:r w:rsidR="009651D6" w:rsidDel="00C07A11">
          <w:delText xml:space="preserve"> </w:delText>
        </w:r>
      </w:del>
      <w:moveFromRangeStart w:id="103" w:author="Derek Ogle" w:date="2017-01-04T19:24:00Z" w:name="move471321188"/>
      <w:moveFrom w:id="104" w:author="Derek Ogle" w:date="2017-01-04T19:24:00Z">
        <w:r w:rsidR="009651D6" w:rsidDel="009C7409">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rsidDel="009C7409">
          <w:t xml:space="preserve"> is</w:t>
        </w:r>
        <w:r w:rsidR="009651D6" w:rsidDel="009C7409">
          <w:t xml:space="preserve"> set to a constant value </w:t>
        </w:r>
        <w:r w:rsidR="00547450" w:rsidDel="009C7409">
          <w:t xml:space="preserve">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651D6" w:rsidDel="009C7409">
          <w:t xml:space="preserve"> </w:t>
        </w:r>
        <w:r w:rsidR="00547450" w:rsidDel="009C7409">
          <w:t xml:space="preserve">is estimated, </w:t>
        </w:r>
        <w:r w:rsidR="009651D6" w:rsidDel="009C7409">
          <w:t xml:space="preserve">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547450" w:rsidDel="009C7409">
          <w:t xml:space="preserve"> is</w:t>
        </w:r>
        <w:r w:rsidR="009651D6" w:rsidDel="009C7409">
          <w:t xml:space="preserve"> set to a constant value </w:t>
        </w:r>
        <w:r w:rsidR="00547450" w:rsidDel="009C7409">
          <w:t xml:space="preserve">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rsidDel="009C7409">
          <w:t xml:space="preserve"> is estimated</w:t>
        </w:r>
        <w:r w:rsidR="009651D6" w:rsidDel="009C7409">
          <w:t xml:space="preserve">. Thus, Eq. (3) </w:t>
        </w:r>
        <w:r w:rsidR="004B4446" w:rsidDel="009C7409">
          <w:t>has</w:t>
        </w:r>
        <w:r w:rsidR="009651D6" w:rsidDel="009C7409">
          <w:t xml:space="preserve"> three </w:t>
        </w:r>
        <w:r w:rsidR="008E384F" w:rsidDel="009C7409">
          <w:t xml:space="preserve">estimable </w:t>
        </w:r>
        <w:r w:rsidR="009651D6" w:rsidDel="009C7409">
          <w:t>parameters.</w:t>
        </w:r>
      </w:moveFrom>
      <w:bookmarkStart w:id="105" w:name="_GoBack"/>
      <w:bookmarkEnd w:id="105"/>
      <w:moveFromRangeEnd w:id="103"/>
    </w:p>
    <w:p w14:paraId="082F5906" w14:textId="50593ADB" w:rsidR="00483A30" w:rsidDel="00ED52F4" w:rsidRDefault="0025578B" w:rsidP="00483A30">
      <w:pPr>
        <w:rPr>
          <w:del w:id="106" w:author="Derek Ogle" w:date="2017-01-04T19:20:00Z"/>
        </w:rPr>
      </w:pPr>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 xml:space="preserve">length of biological interest such that the </w:t>
      </w:r>
      <w:del w:id="107" w:author="Derek Ogle" w:date="2017-01-03T15:44:00Z">
        <w:r w:rsidDel="00F0660A">
          <w:delText xml:space="preserve">mean </w:delText>
        </w:r>
      </w:del>
      <w:r>
        <w:t xml:space="preserve">age for fish of that </w:t>
      </w:r>
      <w:ins w:id="108" w:author="Derek Ogle" w:date="2017-01-03T15:44:00Z">
        <w:r w:rsidR="00F0660A">
          <w:t xml:space="preserve">mean </w:t>
        </w:r>
      </w:ins>
      <w:r>
        <w:t>length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lastRenderedPageBreak/>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0916FBF2" w14:textId="77777777" w:rsidR="00ED52F4" w:rsidRDefault="00ED52F4" w:rsidP="00483A30">
      <w:pPr>
        <w:rPr>
          <w:ins w:id="109" w:author="Derek Ogle" w:date="2017-01-04T19:38:00Z"/>
        </w:rPr>
      </w:pPr>
    </w:p>
    <w:p w14:paraId="0161E2C3" w14:textId="5F78E1EA" w:rsidR="009C7409" w:rsidRPr="009C7409" w:rsidRDefault="009C7409" w:rsidP="00483A30">
      <w:pPr>
        <w:rPr>
          <w:ins w:id="110" w:author="Derek Ogle" w:date="2017-01-04T19:24:00Z"/>
        </w:rPr>
      </w:pPr>
      <w:moveToRangeStart w:id="111" w:author="Derek Ogle" w:date="2017-01-04T19:24:00Z" w:name="move471321188"/>
      <w:moveTo w:id="112" w:author="Derek Ogle" w:date="2017-01-04T19:24:00Z">
        <w:r>
          <w:t xml:space="preserve">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estimated</w:t>
        </w:r>
        <w:del w:id="113" w:author="Derek Ogle" w:date="2017-01-04T19:25:00Z">
          <w:r w:rsidDel="009C7409">
            <w:delText>,</w:delText>
          </w:r>
        </w:del>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set to a constant value 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estimated. Thus, Eq. (3) has three estimable parameters</w:t>
        </w:r>
      </w:moveTo>
      <w:ins w:id="114" w:author="Derek Ogle" w:date="2017-01-04T19:39:00Z">
        <w:r w:rsidR="005A1D86">
          <w:t>, as do Eqs. (1) and (2)</w:t>
        </w:r>
      </w:ins>
      <w:moveTo w:id="115" w:author="Derek Ogle" w:date="2017-01-04T19:24:00Z">
        <w:r>
          <w:t>.</w:t>
        </w:r>
      </w:moveTo>
      <w:moveToRangeEnd w:id="111"/>
    </w:p>
    <w:p w14:paraId="223C7805" w14:textId="2B08E861" w:rsidR="00FA7F9C" w:rsidRDefault="00FA7F9C" w:rsidP="003B53E7">
      <w:pPr>
        <w:pStyle w:val="Heading1"/>
      </w:pPr>
      <w:r w:rsidRPr="000E4F40">
        <w:t>Methods</w:t>
      </w:r>
    </w:p>
    <w:p w14:paraId="31FB5B42" w14:textId="70B860FF" w:rsidR="00B260EC" w:rsidRDefault="00B260EC" w:rsidP="003B53E7">
      <w:r>
        <w:t>We demonstrate use of Eq. (3)</w:t>
      </w:r>
      <w:ins w:id="116" w:author="Derek Ogle" w:date="2017-01-04T19:39:00Z">
        <w:r w:rsidR="005A1D86">
          <w:t xml:space="preserve"> for estimating </w:t>
        </w:r>
        <m:oMath>
          <m:sSub>
            <m:sSubPr>
              <m:ctrlPr>
                <w:rPr>
                  <w:rFonts w:ascii="Cambria Math" w:hAnsi="Cambria Math"/>
                </w:rPr>
              </m:ctrlPr>
            </m:sSubPr>
            <m:e>
              <m:r>
                <w:rPr>
                  <w:rFonts w:ascii="Cambria Math" w:hAnsi="Cambria Math"/>
                </w:rPr>
                <m:t>t</m:t>
              </m:r>
            </m:e>
            <m:sub>
              <m:r>
                <w:rPr>
                  <w:rFonts w:ascii="Cambria Math" w:hAnsi="Cambria Math"/>
                </w:rPr>
                <m:t>r</m:t>
              </m:r>
            </m:sub>
          </m:sSub>
        </m:oMath>
      </w:ins>
      <w:r>
        <w:t xml:space="preserve">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0A676C89"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del w:id="117" w:author="Derek Ogle" w:date="2017-01-03T15:45:00Z">
        <w:r w:rsidR="002D2B94" w:rsidDel="00F0660A">
          <w:delText xml:space="preserve">mean </w:delText>
        </w:r>
      </w:del>
      <w:r w:rsidR="0054202F">
        <w:t>age</w:t>
      </w:r>
      <w:r w:rsidR="00EA36C1">
        <w:t xml:space="preserve"> required to reach</w:t>
      </w:r>
      <w:ins w:id="118" w:author="Derek Ogle" w:date="2017-01-03T15:46:00Z">
        <w:r w:rsidR="00F0660A">
          <w:t xml:space="preserve"> a mean TL of</w:t>
        </w:r>
      </w:ins>
      <w:r w:rsidR="00EA36C1">
        <w:t xml:space="preserve"> 480 mm</w:t>
      </w:r>
      <w:del w:id="119" w:author="Derek Ogle" w:date="2017-01-03T15:46:00Z">
        <w:r w:rsidR="00EA36C1" w:rsidDel="00F0660A">
          <w:delText xml:space="preserve"> T</w:delText>
        </w:r>
        <w:r w:rsidR="00EA36C1" w:rsidRPr="00CE02EE" w:rsidDel="00F0660A">
          <w:delText>L</w:delText>
        </w:r>
      </w:del>
      <w:r w:rsidR="00EA36C1" w:rsidRPr="00CE02EE">
        <w:t xml:space="preserve"> (</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w:t>
      </w:r>
      <w:r w:rsidR="00F01B29">
        <w:lastRenderedPageBreak/>
        <w:t>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w:t>
      </w:r>
      <w:ins w:id="120" w:author="Derek Ogle" w:date="2017-01-03T15:47:00Z">
        <w:r w:rsidR="00F0660A">
          <w:t xml:space="preserve">mean </w:t>
        </w:r>
      </w:ins>
      <w:r w:rsidR="00CA5A38">
        <w:t xml:space="preserve">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lastRenderedPageBreak/>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bootstrap method (Table 1).</w:t>
      </w:r>
      <w:r w:rsidR="007953DD">
        <w:t xml:space="preserve"> Lake whitefish from the Big Bay de Noc genetic stock reached a total length of 480 mm at approximately 8 years of age.</w:t>
      </w:r>
    </w:p>
    <w:p w14:paraId="7074D6C9" w14:textId="3035AEE8"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76D6F">
        <w:t xml:space="preserve"> 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79FEC299" w14:textId="7D782FC0" w:rsidR="00FE416D"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w:t>
      </w:r>
      <w:del w:id="121" w:author="Derek Ogle" w:date="2017-01-04T19:02:00Z">
        <w:r w:rsidR="007E23F8" w:rsidDel="0043172A">
          <w:delText>more</w:delText>
        </w:r>
        <w:r w:rsidDel="0043172A">
          <w:delText xml:space="preserve"> </w:delText>
        </w:r>
      </w:del>
      <w:r>
        <w:t xml:space="preserve">flexible in that it may </w:t>
      </w:r>
      <w:ins w:id="122" w:author="Derek Ogle" w:date="2017-01-04T19:02:00Z">
        <w:r w:rsidR="0043172A">
          <w:t xml:space="preserve">also </w:t>
        </w:r>
      </w:ins>
      <w:r>
        <w:t xml:space="preserve">be used to estimate mean length for any </w:t>
      </w:r>
      <w:r w:rsidR="00D34F24">
        <w:t xml:space="preserve">specific </w:t>
      </w:r>
      <w:r>
        <w:t xml:space="preserve">age or </w:t>
      </w:r>
      <w:del w:id="123" w:author="Derek Ogle" w:date="2017-01-04T19:02:00Z">
        <w:r w:rsidDel="0043172A">
          <w:delText>mean</w:delText>
        </w:r>
      </w:del>
      <w:del w:id="124" w:author="Derek Ogle" w:date="2017-01-04T19:03:00Z">
        <w:r w:rsidDel="0043172A">
          <w:delText xml:space="preserve"> </w:delText>
        </w:r>
      </w:del>
      <w:r>
        <w:t xml:space="preserve">age for any </w:t>
      </w:r>
      <w:r w:rsidR="00D34F24">
        <w:t xml:space="preserve">specific </w:t>
      </w:r>
      <w:ins w:id="125" w:author="Derek Ogle" w:date="2017-01-04T19:03:00Z">
        <w:r w:rsidR="0043172A">
          <w:t xml:space="preserve">mean </w:t>
        </w:r>
      </w:ins>
      <w:r>
        <w:t>length, rather than only intercept</w:t>
      </w:r>
      <w:r w:rsidR="00D34F24">
        <w:t xml:space="preserve"> values</w:t>
      </w:r>
      <w:r>
        <w:t xml:space="preserve"> as with </w:t>
      </w:r>
      <w:r w:rsidR="007E23F8">
        <w:t xml:space="preserve">the </w:t>
      </w:r>
      <w:r w:rsidR="00332843">
        <w:t>typical</w:t>
      </w:r>
      <w:r w:rsidR="007E23F8">
        <w:t xml:space="preserve"> and original VBGFs</w:t>
      </w:r>
      <w:r>
        <w:t xml:space="preserve">. </w:t>
      </w:r>
      <w:r w:rsidR="007E23F8">
        <w:t>Point</w:t>
      </w:r>
      <w:r w:rsidR="00D34F24">
        <w:t>-</w:t>
      </w:r>
      <w:r w:rsidR="007E23F8">
        <w:t xml:space="preserve"> and bootstrapped</w:t>
      </w:r>
      <w:r w:rsidR="00D34F24">
        <w:t>-</w:t>
      </w:r>
      <w:r w:rsidR="007E23F8">
        <w:t xml:space="preserve">interval estimates for </w:t>
      </w:r>
      <w:del w:id="126" w:author="Derek Ogle" w:date="2017-01-04T18:58:00Z">
        <w:r w:rsidR="007E23F8" w:rsidDel="004A02BD">
          <w:delText>mean</w:delText>
        </w:r>
      </w:del>
      <w:r w:rsidR="007E23F8">
        <w:t xml:space="preserve"> age at a </w:t>
      </w:r>
      <w:r w:rsidR="004830AD">
        <w:t xml:space="preserve">specific </w:t>
      </w:r>
      <w:r w:rsidR="007E23F8">
        <w:t>le</w:t>
      </w:r>
      <w:r w:rsidR="00B40370">
        <w:t xml:space="preserv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xml:space="preserve">) from Eq. (3) match those derived from </w:t>
      </w:r>
      <w:del w:id="127" w:author="Derek Ogle" w:date="2017-01-04T19:02:00Z">
        <w:r w:rsidR="007E23F8" w:rsidDel="0043172A">
          <w:delText>e</w:delText>
        </w:r>
        <w:r w:rsidR="00332843" w:rsidDel="0043172A">
          <w:delText xml:space="preserve">stimated </w:delText>
        </w:r>
      </w:del>
      <w:r w:rsidR="00332843">
        <w:t>parameters</w:t>
      </w:r>
      <w:ins w:id="128" w:author="Derek Ogle" w:date="2017-01-04T19:02:00Z">
        <w:r w:rsidR="0043172A">
          <w:t xml:space="preserve"> estimated with</w:t>
        </w:r>
      </w:ins>
      <w:del w:id="129" w:author="Derek Ogle" w:date="2017-01-04T19:02:00Z">
        <w:r w:rsidR="00332843" w:rsidDel="0043172A">
          <w:delText xml:space="preserve"> from</w:delText>
        </w:r>
      </w:del>
      <w:r w:rsidR="00332843">
        <w:t xml:space="preserve"> Eqs. (1) and (2</w:t>
      </w:r>
      <w:r w:rsidR="007E23F8">
        <w:t xml:space="preserve">). However, </w:t>
      </w:r>
      <w:del w:id="130" w:author="Derek Ogle" w:date="2017-01-03T15:50:00Z">
        <w:r w:rsidR="007E23F8" w:rsidDel="00A415F2">
          <w:delText xml:space="preserve">use of </w:delText>
        </w:r>
      </w:del>
      <w:r w:rsidR="007E23F8">
        <w:t>Eq. (3) allows for use of likelihood profile methods to estimate confidence intervals and model selection procedures to statistically determin</w:t>
      </w:r>
      <w:r w:rsidR="00B40370">
        <w:t xml:space="preserve">e if </w:t>
      </w:r>
      <w:del w:id="131" w:author="Derek Ogle" w:date="2017-01-03T15:50:00Z">
        <w:r w:rsidR="00B40370" w:rsidDel="00A415F2">
          <w:delText xml:space="preserve">mean </w:delText>
        </w:r>
      </w:del>
      <w:r w:rsidR="00B40370">
        <w:t>age at the</w:t>
      </w:r>
      <w:r w:rsidR="007E23F8">
        <w:t xml:space="preserve"> </w:t>
      </w:r>
      <w:r w:rsidR="004830AD">
        <w:t>specified</w:t>
      </w:r>
      <w:r w:rsidR="007E23F8">
        <w:t xml:space="preserve"> </w:t>
      </w:r>
      <w:ins w:id="132" w:author="Derek Ogle" w:date="2017-01-04T19:03:00Z">
        <w:r w:rsidR="0043172A">
          <w:t xml:space="preserve">mean </w:t>
        </w:r>
      </w:ins>
      <w:r w:rsidR="007E23F8">
        <w:t>length differs among populations.</w:t>
      </w:r>
      <w:r w:rsidR="000902CD">
        <w:t xml:space="preserve"> We suggest using Eq. (3) when interest lies in </w:t>
      </w:r>
      <w:r w:rsidR="000902CD">
        <w:lastRenderedPageBreak/>
        <w:t>estimating</w:t>
      </w:r>
      <w:ins w:id="133" w:author="Derek Ogle" w:date="2017-01-04T19:06:00Z">
        <w:r w:rsidR="006A7D0A">
          <w:t xml:space="preserve"> or testing for differences among populations in</w:t>
        </w:r>
      </w:ins>
      <w:ins w:id="134" w:author="Derek Ogle" w:date="2017-01-04T19:05:00Z">
        <w:r w:rsidR="006A7D0A">
          <w:t xml:space="preserve"> </w:t>
        </w:r>
      </w:ins>
      <m:oMath>
        <m:sSub>
          <m:sSubPr>
            <m:ctrlPr>
              <w:ins w:id="135" w:author="Derek Ogle" w:date="2017-01-04T19:07:00Z">
                <w:rPr>
                  <w:rFonts w:ascii="Cambria Math" w:hAnsi="Cambria Math"/>
                </w:rPr>
              </w:ins>
            </m:ctrlPr>
          </m:sSubPr>
          <m:e>
            <m:r>
              <w:ins w:id="136" w:author="Derek Ogle" w:date="2017-01-04T19:07:00Z">
                <w:rPr>
                  <w:rFonts w:ascii="Cambria Math" w:hAnsi="Cambria Math"/>
                </w:rPr>
                <m:t>L</m:t>
              </w:ins>
            </m:r>
          </m:e>
          <m:sub>
            <m:r>
              <w:ins w:id="137" w:author="Derek Ogle" w:date="2017-01-04T19:07:00Z">
                <w:rPr>
                  <w:rFonts w:ascii="Cambria Math" w:hAnsi="Cambria Math"/>
                </w:rPr>
                <m:t>∞</m:t>
              </w:ins>
            </m:r>
          </m:sub>
        </m:sSub>
      </m:oMath>
      <w:ins w:id="138" w:author="Derek Ogle" w:date="2017-01-04T19:05:00Z">
        <w:r w:rsidR="006A7D0A">
          <w:t xml:space="preserve">, </w:t>
        </w:r>
      </w:ins>
      <m:oMath>
        <m:r>
          <w:ins w:id="139" w:author="Derek Ogle" w:date="2017-01-04T19:07:00Z">
            <w:rPr>
              <w:rFonts w:ascii="Cambria Math" w:hAnsi="Cambria Math"/>
            </w:rPr>
            <m:t>K</m:t>
          </w:ins>
        </m:r>
      </m:oMath>
      <w:ins w:id="140" w:author="Derek Ogle" w:date="2017-01-04T19:05:00Z">
        <w:r w:rsidR="006A7D0A">
          <w:t xml:space="preserve">, and a point on the growth curve other than </w:t>
        </w:r>
      </w:ins>
      <w:ins w:id="141" w:author="Derek Ogle" w:date="2017-01-04T19:07:00Z">
        <w:r w:rsidR="006A7D0A">
          <w:t>one of the</w:t>
        </w:r>
      </w:ins>
      <w:ins w:id="142" w:author="Derek Ogle" w:date="2017-01-04T19:05:00Z">
        <w:r w:rsidR="006A7D0A">
          <w:t xml:space="preserve"> intercept</w:t>
        </w:r>
      </w:ins>
      <w:ins w:id="143" w:author="Derek Ogle" w:date="2017-01-04T19:08:00Z">
        <w:r w:rsidR="006A7D0A">
          <w:t>s</w:t>
        </w:r>
      </w:ins>
      <w:ins w:id="144" w:author="Derek Ogle" w:date="2017-01-04T19:05:00Z">
        <w:r w:rsidR="006A7D0A">
          <w:t>.</w:t>
        </w:r>
      </w:ins>
      <w:del w:id="145" w:author="Derek Ogle" w:date="2017-01-04T19:06:00Z">
        <w:r w:rsidR="000902CD" w:rsidDel="006A7D0A">
          <w:delText xml:space="preserve"> </w:delText>
        </w:r>
      </w:del>
      <w:del w:id="146" w:author="Derek Ogle" w:date="2017-01-03T15:50:00Z">
        <w:r w:rsidR="000902CD" w:rsidDel="00A415F2">
          <w:delText xml:space="preserve">mean </w:delText>
        </w:r>
      </w:del>
      <w:del w:id="147" w:author="Derek Ogle" w:date="2017-01-04T19:06:00Z">
        <w:r w:rsidR="000902CD" w:rsidDel="006A7D0A">
          <w:delText xml:space="preserve">age at a </w:delText>
        </w:r>
        <w:r w:rsidR="004830AD" w:rsidDel="006A7D0A">
          <w:delText>specific</w:delText>
        </w:r>
        <w:r w:rsidR="000902CD" w:rsidDel="006A7D0A">
          <w:delText xml:space="preserve"> length or determining if the </w:delText>
        </w:r>
      </w:del>
      <w:del w:id="148" w:author="Derek Ogle" w:date="2017-01-03T15:51:00Z">
        <w:r w:rsidR="000902CD" w:rsidDel="00A415F2">
          <w:delText xml:space="preserve">mean </w:delText>
        </w:r>
      </w:del>
      <w:del w:id="149" w:author="Derek Ogle" w:date="2017-01-04T19:06:00Z">
        <w:r w:rsidR="000902CD" w:rsidDel="006A7D0A">
          <w:delText xml:space="preserve">age at a </w:delText>
        </w:r>
        <w:r w:rsidR="004830AD" w:rsidDel="006A7D0A">
          <w:delText xml:space="preserve">specific </w:delText>
        </w:r>
        <w:r w:rsidR="000902CD" w:rsidDel="006A7D0A">
          <w:delText>length differs among populations.</w:delText>
        </w:r>
      </w:del>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150" w:name="acknowledgments"/>
      <w:bookmarkEnd w:id="150"/>
      <w:r w:rsidRPr="007A45B8">
        <w:t>Acknowledgments</w:t>
      </w:r>
    </w:p>
    <w:p w14:paraId="6CA76A17" w14:textId="403CF80B" w:rsidR="00882B84" w:rsidRDefault="001645C9" w:rsidP="001645C9">
      <w:pPr>
        <w:ind w:firstLine="0"/>
      </w:pPr>
      <w:r>
        <w:tab/>
      </w:r>
      <w:r w:rsidR="00D34F24">
        <w:t>We thank M</w:t>
      </w:r>
      <w:ins w:id="151" w:author="Derek Ogle" w:date="2017-01-03T16:26:00Z">
        <w:r w:rsidR="00B461FD">
          <w:t>atthew</w:t>
        </w:r>
      </w:ins>
      <w:del w:id="152" w:author="Derek Ogle" w:date="2017-01-03T16:26:00Z">
        <w:r w:rsidR="00D34F24" w:rsidDel="00B461FD">
          <w:delText>.</w:delText>
        </w:r>
      </w:del>
      <w:r w:rsidR="00D34F24">
        <w:t xml:space="preserve">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ins w:id="153" w:author="Derek Ogle" w:date="2017-01-03T15:51:00Z">
        <w:r w:rsidR="00B461FD">
          <w:t xml:space="preserve">Travis </w:t>
        </w:r>
        <w:r w:rsidR="00A415F2">
          <w:t>Brenden</w:t>
        </w:r>
      </w:ins>
      <w:ins w:id="154" w:author="Derek Ogle" w:date="2017-01-03T15:53:00Z">
        <w:r w:rsidR="00A415F2">
          <w:t xml:space="preserve">, </w:t>
        </w:r>
      </w:ins>
      <w:r w:rsidR="00F566FC">
        <w:t>XXX</w:t>
      </w:r>
      <w:r w:rsidR="007C08DB">
        <w:t>, 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155" w:name="appendices"/>
      <w:bookmarkStart w:id="156" w:name="appendix-1"/>
      <w:bookmarkEnd w:id="155"/>
      <w:bookmarkEnd w:id="156"/>
    </w:p>
    <w:p w14:paraId="04BB60DF" w14:textId="77777777" w:rsidR="00050EAC" w:rsidRPr="00050EAC" w:rsidRDefault="00050EAC" w:rsidP="001645C9">
      <w:pPr>
        <w:pStyle w:val="FirstParagraph"/>
      </w:pPr>
    </w:p>
    <w:p w14:paraId="6D9DD802" w14:textId="34B52446" w:rsidR="00F74D3A" w:rsidRDefault="00F74D3A" w:rsidP="00DB76B9">
      <w:pPr>
        <w:pStyle w:val="Heading1"/>
        <w:numPr>
          <w:ilvl w:val="0"/>
          <w:numId w:val="0"/>
        </w:numPr>
        <w:ind w:left="360" w:hanging="360"/>
      </w:pPr>
      <w:bookmarkStart w:id="157" w:name="references"/>
      <w:bookmarkEnd w:id="157"/>
      <w:r>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158" w:name="The_New_River,_Virginia,_muskellunge_fis"/>
      <w:bookmarkStart w:id="159" w:name="Abstract"/>
      <w:bookmarkEnd w:id="158"/>
      <w:bookmarkEnd w:id="159"/>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lastRenderedPageBreak/>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14AFDAFD" w14:textId="09D030B5" w:rsidR="00855DDE" w:rsidRDefault="00855DDE" w:rsidP="003B53E7">
      <w:pPr>
        <w:pStyle w:val="Bibliography"/>
      </w:pPr>
      <w:r w:rsidRPr="0067369E">
        <w:t>Ebener, M</w:t>
      </w:r>
      <w:r>
        <w:t>.</w:t>
      </w:r>
      <w:r w:rsidR="0099375F">
        <w:t xml:space="preserve"> </w:t>
      </w:r>
      <w:r>
        <w:t xml:space="preserve">P., </w:t>
      </w:r>
      <w:r w:rsidRPr="0067369E">
        <w:t>Copes</w:t>
      </w:r>
      <w:r>
        <w:t>, F.</w:t>
      </w:r>
      <w:r w:rsidR="00332843">
        <w:t xml:space="preserve"> </w:t>
      </w:r>
      <w:r>
        <w:t xml:space="preserve">A., </w:t>
      </w:r>
      <w:r w:rsidRPr="0067369E">
        <w:t>1985</w:t>
      </w:r>
      <w:r>
        <w:t xml:space="preserve">. </w:t>
      </w:r>
      <w:r w:rsidRPr="0067369E">
        <w:t xml:space="preserve">Population statistics, </w:t>
      </w:r>
      <w:r>
        <w:t xml:space="preserve">yield estimates, and management </w:t>
      </w:r>
      <w:r w:rsidRPr="0067369E">
        <w:t>considerations for two</w:t>
      </w:r>
      <w:r>
        <w:t xml:space="preserve"> lake wh</w:t>
      </w:r>
      <w:r w:rsidRPr="00855DDE">
        <w:t>itefish stocks in Lake Michigan. N. Am. J. Fish. Manag. 5, 435-448</w:t>
      </w:r>
      <w:r w:rsidR="005C3886">
        <w:t xml:space="preserve">. </w:t>
      </w:r>
      <w:r w:rsidRPr="00855DDE">
        <w:t>DOI: 10.1577/1548-8659(1985)5&lt;435:PSYEAM&gt;2.0.CO;2</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Likelihood methods for the von Bertalanffy growth curve.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4B7E54CF" w:rsidR="00192E03" w:rsidRDefault="00192E03" w:rsidP="003B53E7">
      <w:pPr>
        <w:pStyle w:val="Bibliography"/>
      </w:pPr>
      <w:r>
        <w:rPr>
          <w:noProof/>
        </w:rPr>
        <w:t>Seber, G. A. F., Wild, C. J., 2003. Nonlinear regression.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18DECBBE"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AICc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4A02BD"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1D24A963" w14:textId="2292BDA1" w:rsidR="00BF741C" w:rsidRDefault="00BF741C">
      <w:pPr>
        <w:tabs>
          <w:tab w:val="clear" w:pos="360"/>
        </w:tabs>
        <w:spacing w:after="200" w:line="240" w:lineRule="auto"/>
        <w:ind w:firstLine="0"/>
        <w:jc w:val="left"/>
      </w:pPr>
      <w:r>
        <w:br w:type="page"/>
      </w:r>
    </w:p>
    <w:p w14:paraId="728180A2" w14:textId="7CC1B9C4" w:rsidR="00BF741C" w:rsidRDefault="00CC1BB4" w:rsidP="00BC6E11">
      <w:pPr>
        <w:ind w:firstLine="0"/>
      </w:pPr>
      <w:r>
        <w:rPr>
          <w:noProof/>
        </w:rPr>
        <w:lastRenderedPageBreak/>
        <w:drawing>
          <wp:inline distT="0" distB="0" distL="0" distR="0" wp14:anchorId="2F008413" wp14:editId="047E8E3D">
            <wp:extent cx="4572000" cy="4572000"/>
            <wp:effectExtent l="0" t="0" r="0" b="0"/>
            <wp:docPr id="1" name="Fig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E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E38A7A3" w14:textId="7F231838" w:rsidR="00CC1BB4" w:rsidRPr="00722EB0" w:rsidRDefault="00CC1BB4" w:rsidP="00BC6E11">
      <w:pPr>
        <w:ind w:firstLine="0"/>
      </w:pPr>
      <w:r>
        <w:rPr>
          <w:noProof/>
        </w:rPr>
        <w:lastRenderedPageBreak/>
        <w:drawing>
          <wp:inline distT="0" distB="0" distL="0" distR="0" wp14:anchorId="00652577" wp14:editId="16804B88">
            <wp:extent cx="4572000" cy="4572000"/>
            <wp:effectExtent l="0" t="0" r="0" b="0"/>
            <wp:docPr id="2" name="Figu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EG"/>
                    <pic:cNvPicPr/>
                  </pic:nvPicPr>
                  <pic:blipFill>
                    <a:blip r:embed="rId13" r:link="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sectPr w:rsidR="00CC1BB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46CFB" w14:textId="77777777" w:rsidR="002546F2" w:rsidRDefault="002546F2" w:rsidP="003B53E7">
      <w:r>
        <w:separator/>
      </w:r>
    </w:p>
  </w:endnote>
  <w:endnote w:type="continuationSeparator" w:id="0">
    <w:p w14:paraId="4985FF5A" w14:textId="77777777" w:rsidR="002546F2" w:rsidRDefault="002546F2"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86735" w14:textId="77777777" w:rsidR="002546F2" w:rsidRDefault="002546F2" w:rsidP="003B53E7">
      <w:r>
        <w:separator/>
      </w:r>
    </w:p>
  </w:footnote>
  <w:footnote w:type="continuationSeparator" w:id="0">
    <w:p w14:paraId="5C389DB6" w14:textId="77777777" w:rsidR="002546F2" w:rsidRDefault="002546F2"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29A7"/>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46F2"/>
    <w:rsid w:val="0025578B"/>
    <w:rsid w:val="0026614C"/>
    <w:rsid w:val="00266B0D"/>
    <w:rsid w:val="00281C99"/>
    <w:rsid w:val="00294D9D"/>
    <w:rsid w:val="002A2F13"/>
    <w:rsid w:val="002A349F"/>
    <w:rsid w:val="002A3E99"/>
    <w:rsid w:val="002B558D"/>
    <w:rsid w:val="002B7CF6"/>
    <w:rsid w:val="002C1A49"/>
    <w:rsid w:val="002C52BB"/>
    <w:rsid w:val="002D2B94"/>
    <w:rsid w:val="002E3D24"/>
    <w:rsid w:val="002F48EC"/>
    <w:rsid w:val="00300348"/>
    <w:rsid w:val="0030305A"/>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172A"/>
    <w:rsid w:val="004331D4"/>
    <w:rsid w:val="00441F1E"/>
    <w:rsid w:val="004442E7"/>
    <w:rsid w:val="004444A9"/>
    <w:rsid w:val="004503DD"/>
    <w:rsid w:val="004504CF"/>
    <w:rsid w:val="00460A43"/>
    <w:rsid w:val="00466C4D"/>
    <w:rsid w:val="00471387"/>
    <w:rsid w:val="0047402E"/>
    <w:rsid w:val="004830AD"/>
    <w:rsid w:val="00483A30"/>
    <w:rsid w:val="00491E07"/>
    <w:rsid w:val="0049500E"/>
    <w:rsid w:val="00496DAF"/>
    <w:rsid w:val="004A02BD"/>
    <w:rsid w:val="004A2213"/>
    <w:rsid w:val="004B1038"/>
    <w:rsid w:val="004B4446"/>
    <w:rsid w:val="004B4A34"/>
    <w:rsid w:val="004B6EFF"/>
    <w:rsid w:val="004C0FB4"/>
    <w:rsid w:val="004D21CF"/>
    <w:rsid w:val="004D6A7F"/>
    <w:rsid w:val="004E29B3"/>
    <w:rsid w:val="004E4B29"/>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A1D86"/>
    <w:rsid w:val="005B1492"/>
    <w:rsid w:val="005C3886"/>
    <w:rsid w:val="005D2ECD"/>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A7D0A"/>
    <w:rsid w:val="006B1C2D"/>
    <w:rsid w:val="006B2766"/>
    <w:rsid w:val="006B2C96"/>
    <w:rsid w:val="006B60C8"/>
    <w:rsid w:val="006C1966"/>
    <w:rsid w:val="006C454B"/>
    <w:rsid w:val="006C7992"/>
    <w:rsid w:val="006D2689"/>
    <w:rsid w:val="00700664"/>
    <w:rsid w:val="00714D22"/>
    <w:rsid w:val="007206D4"/>
    <w:rsid w:val="00722EB0"/>
    <w:rsid w:val="0072356E"/>
    <w:rsid w:val="00733C32"/>
    <w:rsid w:val="0074422E"/>
    <w:rsid w:val="00747400"/>
    <w:rsid w:val="007479A2"/>
    <w:rsid w:val="007524AF"/>
    <w:rsid w:val="00755657"/>
    <w:rsid w:val="007609C5"/>
    <w:rsid w:val="00761A83"/>
    <w:rsid w:val="007660B3"/>
    <w:rsid w:val="00776160"/>
    <w:rsid w:val="00776787"/>
    <w:rsid w:val="0077741C"/>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4F31"/>
    <w:rsid w:val="009B32E3"/>
    <w:rsid w:val="009C0C93"/>
    <w:rsid w:val="009C49D7"/>
    <w:rsid w:val="009C6144"/>
    <w:rsid w:val="009C7409"/>
    <w:rsid w:val="009D2475"/>
    <w:rsid w:val="009D2C08"/>
    <w:rsid w:val="009D7B71"/>
    <w:rsid w:val="009E1ED2"/>
    <w:rsid w:val="009E6505"/>
    <w:rsid w:val="009E6692"/>
    <w:rsid w:val="009F53D9"/>
    <w:rsid w:val="00A04436"/>
    <w:rsid w:val="00A07F4E"/>
    <w:rsid w:val="00A20CDC"/>
    <w:rsid w:val="00A30EFF"/>
    <w:rsid w:val="00A31AE7"/>
    <w:rsid w:val="00A33D88"/>
    <w:rsid w:val="00A3534B"/>
    <w:rsid w:val="00A36BB8"/>
    <w:rsid w:val="00A415F2"/>
    <w:rsid w:val="00A459C2"/>
    <w:rsid w:val="00A557C4"/>
    <w:rsid w:val="00A60841"/>
    <w:rsid w:val="00A62402"/>
    <w:rsid w:val="00A63A60"/>
    <w:rsid w:val="00A70EB7"/>
    <w:rsid w:val="00A77460"/>
    <w:rsid w:val="00A7763E"/>
    <w:rsid w:val="00A91DCA"/>
    <w:rsid w:val="00AA0098"/>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461FD"/>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5FCE"/>
    <w:rsid w:val="00BA769C"/>
    <w:rsid w:val="00BB2A80"/>
    <w:rsid w:val="00BB3D1D"/>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07A11"/>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F8B"/>
    <w:rsid w:val="00C6017A"/>
    <w:rsid w:val="00C626CA"/>
    <w:rsid w:val="00C62D39"/>
    <w:rsid w:val="00C6734F"/>
    <w:rsid w:val="00C700AB"/>
    <w:rsid w:val="00C77E65"/>
    <w:rsid w:val="00C802EC"/>
    <w:rsid w:val="00CA5A38"/>
    <w:rsid w:val="00CB5436"/>
    <w:rsid w:val="00CB627D"/>
    <w:rsid w:val="00CC1BB4"/>
    <w:rsid w:val="00CC3660"/>
    <w:rsid w:val="00CC5356"/>
    <w:rsid w:val="00CD41EB"/>
    <w:rsid w:val="00CD728B"/>
    <w:rsid w:val="00CE2E23"/>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52F4"/>
    <w:rsid w:val="00ED6314"/>
    <w:rsid w:val="00ED6385"/>
    <w:rsid w:val="00EE1FBD"/>
    <w:rsid w:val="00EE40AD"/>
    <w:rsid w:val="00EF2255"/>
    <w:rsid w:val="00EF6085"/>
    <w:rsid w:val="00EF6E96"/>
    <w:rsid w:val="00F0057C"/>
    <w:rsid w:val="00F01B29"/>
    <w:rsid w:val="00F04D40"/>
    <w:rsid w:val="00F060CE"/>
    <w:rsid w:val="00F0660A"/>
    <w:rsid w:val="00F074CA"/>
    <w:rsid w:val="00F14DCB"/>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2D03"/>
    <w:rsid w:val="00F738EB"/>
    <w:rsid w:val="00F73D89"/>
    <w:rsid w:val="00F74D3A"/>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aaaWork\Research\ModifiedVonB\results\Figure1.JPE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image" Target="file:///C:\aaaWork\Research\ModifiedVonB\results\Figure2.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CCA14-C9FC-4873-92C1-8F48F716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5</cp:revision>
  <cp:lastPrinted>2016-12-12T14:59:00Z</cp:lastPrinted>
  <dcterms:created xsi:type="dcterms:W3CDTF">2017-01-03T21:23:00Z</dcterms:created>
  <dcterms:modified xsi:type="dcterms:W3CDTF">2017-01-05T01:45:00Z</dcterms:modified>
</cp:coreProperties>
</file>