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background"/>
      <w:bookmarkEnd w:id="21"/>
      <w:r>
        <w:t xml:space="preserve">Background</w:t>
      </w:r>
    </w:p>
    <w:p>
      <w:r>
        <w:t xml:space="preserve">The</w:t>
      </w:r>
      <w:r>
        <w:t xml:space="preserve"> </w:t>
      </w:r>
      <w:hyperlink r:id="rId22">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r>
        <w:pict>
          <v:rect style="width:0;height:1.5pt" o:hralign="center" o:hrstd="t" o:hr="t"/>
        </w:pic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"C:/aaaWork/Web/GitHub/NCMTH107/modules/BivEDA_Categorical"</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8fdc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af4e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cp:coreProperties>
</file>