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When</w:t>
      </w:r>
      <w:r>
        <w:t xml:space="preserve"> </w:t>
      </w:r>
      <w:hyperlink r:id="rId27">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8">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9">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30">
        <w:r>
          <w:rPr>
            <w:rStyle w:val="Link"/>
          </w:rPr>
          <w:t xml:space="preserve">Smelt (</w:t>
        </w:r>
        <w:r>
          <w:rPr>
            <w:i/>
            <w:rStyle w:val="Link"/>
          </w:rPr>
          <w:t xml:space="preserve">Osmerus mordax</w:t>
        </w:r>
      </w:hyperlink>
      <w:r>
        <w:t xml:space="preserve">) (another type of fish), or</w:t>
      </w:r>
      <w:r>
        <w:t xml:space="preserve"> </w:t>
      </w:r>
      <w:hyperlink r:id="rId31">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32" w:name="from-raw-data"/>
      <w:bookmarkEnd w:id="32"/>
      <w:r>
        <w:t xml:space="preserve">From Raw Data</w:t>
      </w:r>
    </w:p>
    <w:p>
      <w:r>
        <w:t xml:space="preserve">The</w:t>
      </w:r>
      <w:r>
        <w:t xml:space="preserve"> </w:t>
      </w:r>
      <w:hyperlink r:id="rId33">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4">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"C:/aaaWork/Web/GitHub/NCMTH107/modules/Chi_Square"</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5dab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