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r>
        <w:t xml:space="preserve"> </w:t>
      </w:r>
      <w:r>
        <w:t xml:space="preserve">Suppose that the amount of wood that I burn per day is approximately normally distributed with a mean of 16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a60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e91f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</cp:coreProperties>
</file>