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categorical"/>
      <w:bookmarkEnd w:id="27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A    B    C    D    E </w:t>
      </w:r>
      <w:r>
        <w:br w:type="textWrapping"/>
      </w:r>
      <w:r>
        <w:rPr>
          <w:rStyle w:val="VerbatimChar"/>
        </w:rPr>
        <w:t xml:space="preserve"> 4.8  4.8  9.5 14.3 66.7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Cat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7d9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daf9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  <dcterms:created xsi:type="dcterms:W3CDTF">2017-04-27T15:39:21Z</dcterms:created>
  <dcterms:modified xsi:type="dcterms:W3CDTF">2017-04-27T15:39:21Z</dcterms:modified>
</cp:coreProperties>
</file>