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r>
        <w:t xml:space="preserve">Measurements of the levels of arsenic in the drinking water, cooking water, and toenail samples, as well as related covariates, were measured on 21 individuals with private wells in a New Hampshire community. The variables below were recorded in the</w:t>
      </w:r>
      <w:r>
        <w:t xml:space="preserve"> </w:t>
      </w:r>
      <w:hyperlink r:id="rId22">
        <w:r>
          <w:rPr>
            <w:rStyle w:val="Link"/>
          </w:rPr>
          <w:t xml:space="preserve">Arsenic.csv</w:t>
        </w:r>
      </w:hyperlink>
      <w:r>
        <w:t xml:space="preserve"> </w:t>
      </w:r>
      <w:r>
        <w:t xml:space="preserve">file located on the R Resources web page.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Household well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Household well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pPr>
        <w:pStyle w:val="Heading2"/>
      </w:pPr>
      <w:bookmarkStart w:id="23" w:name="getting-the-data"/>
      <w:bookmarkEnd w:id="23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"C:/aaaWork/Web/GitHub/NCMTH107/resources/class/HOs"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5   37   M        B       E  0.00000    0.277</w:t>
      </w:r>
      <w:r>
        <w:br w:type="textWrapping"/>
      </w:r>
      <w:r>
        <w:rPr>
          <w:rStyle w:val="VerbatimChar"/>
        </w:rPr>
        <w:t xml:space="preserve">6   45   F        E       E  0.00000    0.358</w:t>
      </w:r>
      <w:r>
        <w:br w:type="textWrapping"/>
      </w:r>
      <w:r>
        <w:rPr>
          <w:rStyle w:val="VerbatimChar"/>
        </w:rPr>
        <w:t xml:space="preserve">7   47   M        E       E  0.00013    0.080</w:t>
      </w:r>
      <w:r>
        <w:br w:type="textWrapping"/>
      </w:r>
      <w:r>
        <w:rPr>
          <w:rStyle w:val="VerbatimChar"/>
        </w:rPr>
        <w:t xml:space="preserve">17  44   M        E       E  0.07640    0.433</w:t>
      </w:r>
      <w:r>
        <w:br w:type="textWrapping"/>
      </w:r>
      <w:r>
        <w:rPr>
          <w:rStyle w:val="VerbatimChar"/>
        </w:rPr>
        <w:t xml:space="preserve">18  63   F        E       E  0.00000    0.141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4" w:name="univariate-eda----quantitative"/>
      <w:bookmarkEnd w:id="24"/>
      <w:r>
        <w:t xml:space="preserve">Univariate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  21.00    21.00    47.57    16.08     8.00    41.00    45.00    53.00    86.00     0.00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univariate-eda----quantitative-separated-by-groups"/>
      <w:bookmarkEnd w:id="26"/>
      <w:r>
        <w:t xml:space="preserve">Univariate EDA -- Quantitative (Separated by Groups)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sex  n nvalid  mean    sd min    Q1 median   Q3 max percZero</w:t>
      </w:r>
      <w:r>
        <w:br w:type="textWrapping"/>
      </w:r>
      <w:r>
        <w:rPr>
          <w:rStyle w:val="VerbatimChar"/>
        </w:rPr>
        <w:t xml:space="preserve">1   F 13     13 48.77 19.60   8 41.00     45 63.0  86        0</w:t>
      </w:r>
      <w:r>
        <w:br w:type="textWrapping"/>
      </w:r>
      <w:r>
        <w:rPr>
          <w:rStyle w:val="VerbatimChar"/>
        </w:rPr>
        <w:t xml:space="preserve">2   M  8      8 45.62  8.53  36 40.75     44 48.5  62        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</w:p>
    <w:p>
      <w:r>
        <w:drawing>
          <wp:inline>
            <wp:extent cx="5440680" cy="27149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univariate-eda----categorical"/>
      <w:bookmarkEnd w:id="28"/>
      <w:r>
        <w:t xml:space="preserve">Univariate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tbl.drink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A  B  C  D  E </w:t>
      </w:r>
      <w:r>
        <w:br w:type="textWrapping"/>
      </w:r>
      <w:r>
        <w:rPr>
          <w:rStyle w:val="VerbatimChar"/>
        </w:rPr>
        <w:t xml:space="preserve"> 1  1  2  3 14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   A     B     C     D     E   Sum </w:t>
      </w:r>
      <w:r>
        <w:br w:type="textWrapping"/>
      </w:r>
      <w:r>
        <w:rPr>
          <w:rStyle w:val="VerbatimChar"/>
        </w:rPr>
        <w:t xml:space="preserve">  4.8   4.8   9.5  14.3  66.7 100.1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"Rating of Use for Drinking"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ac66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5c34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22" Target="https://github.com/droglenc/NCData/blob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droglenc/NCData/blob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EDA</dc:title>
  <dc:creator>Derek H. Ogle</dc:creator>
</cp:coreProperties>
</file>