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9533E4">
      <w:pPr>
        <w:pStyle w:val="Title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533E4">
      <w:pPr>
        <w:pStyle w:val="Author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68EC6EDD" w:rsidR="006515CC" w:rsidRDefault="0017137D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Pauly et al. (1992; </w:t>
      </w:r>
      <w:r w:rsidRPr="0017137D">
        <w:rPr>
          <w:rFonts w:ascii="Times New Roman" w:hAnsi="Times New Roman" w:cs="Times New Roman"/>
        </w:rPr>
        <w:t>Australian Journal of Marine and Freshwater Research 43:1151–1156</w:t>
      </w:r>
      <w:r>
        <w:rPr>
          <w:rFonts w:ascii="Times New Roman" w:hAnsi="Times New Roman" w:cs="Times New Roman"/>
        </w:rPr>
        <w:t>) introduced a modified von B</w:t>
      </w:r>
      <w:r w:rsidR="00C310D7">
        <w:rPr>
          <w:rFonts w:ascii="Times New Roman" w:hAnsi="Times New Roman" w:cs="Times New Roman"/>
        </w:rPr>
        <w:t>ertalanffy seasonal growth function</w:t>
      </w:r>
      <w:r>
        <w:rPr>
          <w:rFonts w:ascii="Times New Roman" w:hAnsi="Times New Roman" w:cs="Times New Roman"/>
        </w:rPr>
        <w:t xml:space="preserve"> t</w:t>
      </w:r>
      <w:r w:rsidR="00C310D7">
        <w:rPr>
          <w:rFonts w:ascii="Times New Roman" w:hAnsi="Times New Roman" w:cs="Times New Roman"/>
        </w:rPr>
        <w:t>hat allowed for a period of no growth</w:t>
      </w:r>
      <w:r w:rsidR="009533E4">
        <w:rPr>
          <w:rFonts w:ascii="Times New Roman" w:hAnsi="Times New Roman" w:cs="Times New Roman"/>
        </w:rPr>
        <w:t>.  Pauly et al. (1992)</w:t>
      </w:r>
      <w:r w:rsidR="00C310D7">
        <w:rPr>
          <w:rFonts w:ascii="Times New Roman" w:hAnsi="Times New Roman" w:cs="Times New Roman"/>
        </w:rPr>
        <w:t xml:space="preserve"> provided special purpose software to fit the model to length-at-age data</w:t>
      </w:r>
      <w:r w:rsidR="009533E4">
        <w:rPr>
          <w:rFonts w:ascii="Times New Roman" w:hAnsi="Times New Roman" w:cs="Times New Roman"/>
        </w:rPr>
        <w:t xml:space="preserve"> but this </w:t>
      </w:r>
      <w:r w:rsidR="00C310D7">
        <w:rPr>
          <w:rFonts w:ascii="Times New Roman" w:hAnsi="Times New Roman" w:cs="Times New Roman"/>
        </w:rPr>
        <w:t xml:space="preserve">software is no longer available and </w:t>
      </w:r>
      <w:r w:rsidR="00F17A23">
        <w:rPr>
          <w:rFonts w:ascii="Times New Roman" w:hAnsi="Times New Roman" w:cs="Times New Roman"/>
        </w:rPr>
        <w:t xml:space="preserve">specific </w:t>
      </w:r>
      <w:r w:rsidR="00C310D7">
        <w:rPr>
          <w:rFonts w:ascii="Times New Roman" w:hAnsi="Times New Roman" w:cs="Times New Roman"/>
        </w:rPr>
        <w:t xml:space="preserve">details </w:t>
      </w:r>
      <w:r w:rsidR="00F17A23">
        <w:rPr>
          <w:rFonts w:ascii="Times New Roman" w:hAnsi="Times New Roman" w:cs="Times New Roman"/>
        </w:rPr>
        <w:t xml:space="preserve">to implement </w:t>
      </w:r>
      <w:r w:rsidR="00C310D7">
        <w:rPr>
          <w:rFonts w:ascii="Times New Roman" w:hAnsi="Times New Roman" w:cs="Times New Roman"/>
        </w:rPr>
        <w:t>a critical aspect</w:t>
      </w:r>
      <w:r w:rsidR="00F17A23">
        <w:rPr>
          <w:rFonts w:ascii="Times New Roman" w:hAnsi="Times New Roman" w:cs="Times New Roman"/>
        </w:rPr>
        <w:t xml:space="preserve"> of the function were not clear.  Here I provide details for this critical aspect of the function, implement the function in the open-source R environment, and briefly demonstrate the use of this function with four data sets.</w:t>
      </w:r>
      <w:r w:rsidR="00F17A23" w:rsidRPr="00F17A23">
        <w:rPr>
          <w:rFonts w:eastAsiaTheme="minorEastAsia"/>
        </w:rPr>
        <w:t xml:space="preserve"> </w:t>
      </w:r>
      <w:r w:rsidR="00F17A23">
        <w:rPr>
          <w:rFonts w:eastAsiaTheme="minorEastAsia"/>
        </w:rPr>
        <w:t xml:space="preserve">  </w:t>
      </w:r>
      <w:r w:rsidR="009533E4">
        <w:rPr>
          <w:rFonts w:eastAsiaTheme="minorEastAsia"/>
        </w:rPr>
        <w:t>With t</w:t>
      </w:r>
      <w:r w:rsidR="00F17A23">
        <w:rPr>
          <w:rFonts w:eastAsiaTheme="minorEastAsia"/>
        </w:rPr>
        <w:t>his</w:t>
      </w:r>
      <w:r w:rsidR="009533E4">
        <w:rPr>
          <w:rFonts w:eastAsiaTheme="minorEastAsia"/>
        </w:rPr>
        <w:t>, the</w:t>
      </w:r>
      <w:r w:rsidR="00F17A23">
        <w:rPr>
          <w:rFonts w:eastAsiaTheme="minorEastAsia"/>
        </w:rPr>
        <w:t xml:space="preserve"> growth function</w:t>
      </w:r>
      <w:r w:rsidR="009533E4">
        <w:rPr>
          <w:rFonts w:eastAsiaTheme="minorEastAsia"/>
        </w:rPr>
        <w:t xml:space="preserve"> of Pauly et al. (1992)</w:t>
      </w:r>
      <w:r w:rsidR="00F17A23">
        <w:rPr>
          <w:rFonts w:eastAsiaTheme="minorEastAsia"/>
        </w:rPr>
        <w:t xml:space="preserve"> is now readily available to all scientists with access to software that can fit</w:t>
      </w:r>
      <w:r w:rsidR="009533E4">
        <w:rPr>
          <w:rFonts w:eastAsiaTheme="minorEastAsia"/>
        </w:rPr>
        <w:t xml:space="preserve"> nonlinear models to data.  Thus, this growth function may </w:t>
      </w:r>
      <w:r w:rsidR="00F17A23">
        <w:t>be implemented in more situations and its fit rigorously compared to the results from other models</w:t>
      </w:r>
      <w:r w:rsidR="009533E4">
        <w:t xml:space="preserve"> of seasonal fish growth</w:t>
      </w:r>
      <w:r w:rsidR="00F17A23">
        <w:t>.</w:t>
      </w:r>
    </w:p>
    <w:p w14:paraId="677AEC0D" w14:textId="369A2672" w:rsidR="00B50C12" w:rsidRDefault="006515CC" w:rsidP="009533E4">
      <w:pPr>
        <w:spacing w:after="0" w:line="480" w:lineRule="auto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  <w:bookmarkStart w:id="1" w:name="_GoBack"/>
      <w:bookmarkEnd w:id="1"/>
      <w:r w:rsidR="00B50C12"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05505E24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54E37D9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 xml:space="preserve"> to minimize confusion</w:t>
      </w:r>
      <w:r w:rsidR="00645854">
        <w:t xml:space="preserve"> with </w:t>
      </w:r>
      <m:oMath>
        <m:r>
          <w:rPr>
            <w:rFonts w:ascii="Cambria Math" w:hAnsi="Cambria Math"/>
          </w:rPr>
          <m:t>K</m:t>
        </m:r>
      </m:oMath>
      <w:r w:rsidR="00645854">
        <w:t xml:space="preserve"> in Equation 2</w:t>
      </w:r>
      <w:r w:rsidR="008342D6">
        <w:t>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42ABD25D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</w:t>
      </w:r>
      <w:r w:rsidR="003C70A3">
        <w:t>illu</w:t>
      </w:r>
      <w:r w:rsidR="00EE1FBD" w:rsidRPr="00722EB0">
        <w:t>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487787C9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EF60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6085">
        <w:rPr>
          <w:rFonts w:eastAsiaTheme="minorEastAsia"/>
        </w:rPr>
        <w:t xml:space="preserve"> were obtained from the vbStarts() function in the FSA package </w:t>
      </w:r>
      <w:r w:rsidR="004E4B29">
        <w:rPr>
          <w:rFonts w:eastAsiaTheme="minorEastAsia"/>
        </w:rPr>
        <w:t xml:space="preserve">v0.8.8 </w:t>
      </w:r>
      <w:r w:rsidR="00EF6085">
        <w:rPr>
          <w:rFonts w:eastAsiaTheme="minorEastAsia"/>
        </w:rPr>
        <w:t>(Ogle 2016b) as described in Ogle (2016a).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</m:oMath>
      <w:r w:rsidR="00EF6085">
        <w:t xml:space="preserve"> and </w:t>
      </w:r>
      <m:oMath>
        <m:r>
          <w:rPr>
            <w:rFonts w:ascii="Cambria Math" w:hAnsi="Cambria Math"/>
          </w:rPr>
          <m:t>NGT</m:t>
        </m:r>
      </m:oMath>
      <w:r w:rsidR="00EF6085">
        <w:t xml:space="preserve"> were obtained by visual examination of the length versus age plot. </w:t>
      </w:r>
      <w:r w:rsidR="006B60C8">
        <w:t xml:space="preserve"> </w:t>
      </w:r>
      <w:r w:rsidR="00EF6085">
        <w:t xml:space="preserve">Starting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F6085">
        <w:rPr>
          <w:rFonts w:eastAsiaTheme="minorEastAsia"/>
        </w:rPr>
        <w:t xml:space="preserve"> were</w:t>
      </w:r>
      <w:r w:rsidR="006B60C8">
        <w:rPr>
          <w:rFonts w:eastAsiaTheme="minorEastAsia"/>
        </w:rPr>
        <w:t xml:space="preserve"> derived from</w:t>
      </w:r>
      <w:r w:rsidR="00EF6085">
        <w:rPr>
          <w:rFonts w:eastAsiaTheme="minorEastAsia"/>
        </w:rPr>
        <w:t xml:space="preserve"> the starting value for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 </w:t>
      </w:r>
      <w:r w:rsidR="00EF6085">
        <w:rPr>
          <w:rFonts w:eastAsiaTheme="minorEastAsia"/>
        </w:rPr>
        <w:t xml:space="preserve">divided by </w:t>
      </w:r>
      <w:r w:rsidR="006B60C8">
        <w:rPr>
          <w:rFonts w:eastAsiaTheme="minorEastAsia"/>
        </w:rPr>
        <w:t>1 minus the</w:t>
      </w:r>
      <w:r w:rsidR="00EF6085">
        <w:rPr>
          <w:rFonts w:eastAsiaTheme="minorEastAsia"/>
        </w:rPr>
        <w:t xml:space="preserve"> starting value for </w:t>
      </w:r>
      <m:oMath>
        <m:r>
          <w:rPr>
            <w:rFonts w:ascii="Cambria Math" w:hAnsi="Cambria Math"/>
          </w:rPr>
          <m:t>NGT</m:t>
        </m:r>
      </m:oMath>
      <w:r w:rsidR="00EF6085">
        <w:rPr>
          <w:rFonts w:eastAsiaTheme="minorEastAsia"/>
        </w:rPr>
        <w:t>.</w:t>
      </w:r>
      <w:r w:rsidR="00EF6085">
        <w:t xml:space="preserve"> </w:t>
      </w:r>
      <w:r>
        <w:t xml:space="preserve"> </w:t>
      </w:r>
      <w:r w:rsidR="0091790F">
        <w:t xml:space="preserve"> </w:t>
      </w:r>
      <w:r w:rsidR="006B60C8">
        <w:t xml:space="preserve">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B60C8">
        <w:rPr>
          <w:rFonts w:eastAsiaTheme="minorEastAsia"/>
        </w:rPr>
        <w:t>,</w:t>
      </w:r>
      <w:r w:rsidR="00084903">
        <w:t xml:space="preserve">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</w:t>
      </w:r>
      <w:r w:rsidR="006B60C8">
        <w:t xml:space="preserve">and </w:t>
      </w:r>
      <m:oMath>
        <m:r>
          <w:rPr>
            <w:rFonts w:ascii="Cambria Math" w:hAnsi="Cambria Math"/>
          </w:rPr>
          <m:t>NGT</m:t>
        </m:r>
      </m:oMath>
      <w:r w:rsidR="006B60C8">
        <w:t xml:space="preserve"> were</w:t>
      </w:r>
      <w:r w:rsidR="00084903">
        <w:t xml:space="preserve">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r w:rsidR="00A07F4E">
        <w:t>m</w:t>
      </w:r>
      <w:r w:rsidR="00084903">
        <w:t xml:space="preserve">osquitofish data and between 0 and 1 for </w:t>
      </w:r>
      <w:r w:rsidR="0091790F">
        <w:t xml:space="preserve">the </w:t>
      </w:r>
      <w:r w:rsidR="00A07F4E">
        <w:t>Australian b</w:t>
      </w:r>
      <w:r w:rsidR="0091790F">
        <w:t xml:space="preserve">onito data. 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</w:t>
      </w:r>
      <w:r w:rsidR="003C70A3">
        <w:t>as</w:t>
      </w:r>
      <w:r w:rsidR="006B60C8">
        <w:t xml:space="preserve"> the better fit</w:t>
      </w:r>
      <w:r w:rsidR="00084903">
        <w:t xml:space="preserve">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</w:t>
      </w:r>
      <w:r w:rsidR="004E4B29">
        <w:t xml:space="preserve"> v1.0-2</w:t>
      </w:r>
      <w:r w:rsidR="00E94BC7">
        <w:t xml:space="preserve">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1CC5CD6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</w:t>
      </w:r>
      <w:r w:rsidR="00993B78"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</w:t>
      </w:r>
      <w:r w:rsidR="003C70A3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106E4F63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  <w:r w:rsidR="004E4B29">
        <w:t xml:space="preserve">  For convenience, Equation 3 is implemented in the vbFuns() function of the FSA package (Ogle 2016b).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64B32E8C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</w:t>
      </w:r>
      <w:r w:rsidR="00A70EB7">
        <w:t xml:space="preserve"> (a lower AIC value; Table 1)</w:t>
      </w:r>
      <w:r w:rsidR="0091790F">
        <w:t xml:space="preserve"> than Equation 2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</w:t>
      </w:r>
      <w:r w:rsidR="00A70EB7">
        <w:t>period was estimated to be 0.13 or 13</w:t>
      </w:r>
      <w:r w:rsidR="00EE1FBD" w:rsidRPr="00722EB0">
        <w:t xml:space="preserve">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</w:t>
      </w:r>
      <w:r w:rsidR="00A70EB7">
        <w:t>function</w:t>
      </w:r>
      <w:r w:rsidR="00EE1FBD" w:rsidRPr="00722EB0">
        <w:t xml:space="preserve">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2" w:name="mosquitoefish-data"/>
      <w:bookmarkStart w:id="3" w:name="discussion"/>
      <w:bookmarkEnd w:id="2"/>
      <w:bookmarkEnd w:id="3"/>
      <w:r w:rsidRPr="00722EB0">
        <w:t>Discussion</w:t>
      </w:r>
    </w:p>
    <w:p w14:paraId="06228B0C" w14:textId="140A10A9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w:lastRenderedPageBreak/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</w:t>
      </w:r>
      <w:r w:rsidR="00536785">
        <w:t>s</w:t>
      </w:r>
      <w:r w:rsidR="001F03A9">
        <w:t xml:space="preserve"> at the same time each year,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length each year, and that the mean length does not decrease over time.  These are stringent assumptions that are likely not appropriate for all species, locations, and time</w:t>
      </w:r>
      <w:r w:rsidR="00A70EB7">
        <w:t>s</w:t>
      </w:r>
      <w:r w:rsidR="001F03A9">
        <w:t xml:space="preserve">.  Thus, Equation 3 is very likely not the globally best seasonal growth model, as illustrated here with the mosquitofish examples.  </w:t>
      </w:r>
    </w:p>
    <w:p w14:paraId="4B9B8636" w14:textId="3A96ACDB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35 journal (excludes citati</w:t>
      </w:r>
      <w:r w:rsidR="00536785">
        <w:t>ons in books, dissertations,</w:t>
      </w:r>
      <w:r w:rsidR="00071681">
        <w:t xml:space="preserve"> reports</w:t>
      </w:r>
      <w:r w:rsidR="00536785">
        <w:t>, and other non-journal citations</w:t>
      </w:r>
      <w:r w:rsidR="00071681">
        <w:t>) publications written in English actually fit Equation</w:t>
      </w:r>
      <w:r w:rsidR="001F03A9">
        <w:t xml:space="preserve"> 3 to data.  </w:t>
      </w:r>
      <w:r w:rsidR="00536785">
        <w:t>Of the</w:t>
      </w:r>
      <w:r w:rsidR="001F03A9">
        <w:t>se</w:t>
      </w:r>
      <w:r w:rsidR="00536785">
        <w:t xml:space="preserve">, </w:t>
      </w:r>
      <w:r w:rsidR="001F03A9" w:rsidRPr="001F03A9">
        <w:t>Chat</w:t>
      </w:r>
      <w:r w:rsidR="001F03A9">
        <w:t>zinikolaou and Richardson</w:t>
      </w:r>
      <w:r w:rsidR="00536785">
        <w:t xml:space="preserve"> (</w:t>
      </w:r>
      <w:r w:rsidR="001F03A9">
        <w:t xml:space="preserve">2008) </w:t>
      </w:r>
      <w:r w:rsidR="00071681">
        <w:t>used the special purpose L</w:t>
      </w:r>
      <w:r w:rsidR="0017632D">
        <w:t>FD</w:t>
      </w:r>
      <w:r w:rsidR="00071681">
        <w:t xml:space="preserve">A software </w:t>
      </w:r>
      <w:r>
        <w:t>(</w:t>
      </w:r>
      <w:r w:rsidR="0017632D" w:rsidRPr="0017632D">
        <w:t>www.mrag.co.uk/resources/lfda-version-50</w:t>
      </w:r>
      <w:r>
        <w:t xml:space="preserve">) </w:t>
      </w:r>
      <w:r w:rsidR="00071681">
        <w:t xml:space="preserve">to fit Equation 3 to length frequency data, whereas </w:t>
      </w:r>
      <w:r w:rsidR="001F03A9">
        <w:t>it</w:t>
      </w:r>
      <w:r w:rsidR="0017137D">
        <w:t xml:space="preserve"> is not clear how Beguer et al.</w:t>
      </w:r>
      <w:r w:rsidR="001F03A9">
        <w:t xml:space="preserve"> </w:t>
      </w:r>
      <w:r w:rsidR="00536785">
        <w:t>(</w:t>
      </w:r>
      <w:r w:rsidR="001F03A9">
        <w:t xml:space="preserve">2011) fit the </w:t>
      </w:r>
      <w:r w:rsidR="00536785">
        <w:t xml:space="preserve">function, though they did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36785">
        <w:t xml:space="preserve"> to a constant</w:t>
      </w:r>
      <w:r w:rsidR="00A70EB7">
        <w:t xml:space="preserve"> value</w:t>
      </w:r>
      <w:r w:rsidR="001F03A9">
        <w:t>.</w:t>
      </w:r>
    </w:p>
    <w:p w14:paraId="6F7F33DF" w14:textId="3A9BA9AA" w:rsidR="00BC6FCC" w:rsidRDefault="00ED2AFC" w:rsidP="00852310">
      <w:pPr>
        <w:pStyle w:val="BodyText"/>
      </w:pPr>
      <w:r>
        <w:tab/>
        <w:t>Perhaps the growth function of Pauly et al. (1992) has not b</w:t>
      </w:r>
      <w:r w:rsidR="0017632D">
        <w:t>een widely adopted because it i</w:t>
      </w:r>
      <w:r>
        <w:t xml:space="preserve">s not clear how to actually fit the </w:t>
      </w:r>
      <w:r w:rsidR="0017632D">
        <w:t>function to</w:t>
      </w:r>
      <w:r>
        <w:t xml:space="preserve">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 xml:space="preserve">available to all scientists with access to software </w:t>
      </w:r>
      <w:r w:rsidR="0017632D">
        <w:rPr>
          <w:rFonts w:eastAsiaTheme="minorEastAsia"/>
        </w:rPr>
        <w:t xml:space="preserve">(e.g., R) </w:t>
      </w:r>
      <w:r w:rsidR="00532633">
        <w:rPr>
          <w:rFonts w:eastAsiaTheme="minorEastAsia"/>
        </w:rPr>
        <w:t>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4" w:name="acknowledgments"/>
      <w:bookmarkEnd w:id="4"/>
      <w:r w:rsidRPr="007A45B8">
        <w:t>Acknowledgments</w:t>
      </w:r>
    </w:p>
    <w:p w14:paraId="29FE3E5F" w14:textId="3993B243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>squitofish length-at-age data.  This paper was improved by discussion</w:t>
      </w:r>
      <w:r w:rsidR="00AC374B">
        <w:t>s</w:t>
      </w:r>
      <w:r w:rsidR="00340B46">
        <w:t xml:space="preserve"> with and reviews by Emili Garcia-Berthou, </w:t>
      </w:r>
      <w:r w:rsidR="00AC374B">
        <w:t xml:space="preserve">Andrew Jensen, </w:t>
      </w:r>
      <w:r w:rsidR="00F17A23">
        <w:t>and Danial Pauly</w:t>
      </w:r>
      <w:r w:rsidR="00340B46">
        <w:t>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5" w:name="appendices"/>
      <w:bookmarkStart w:id="6" w:name="appendix-1"/>
      <w:bookmarkEnd w:id="5"/>
      <w:bookmarkEnd w:id="6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536785">
      <w:pPr>
        <w:pStyle w:val="BodyText"/>
      </w:pPr>
      <w:bookmarkStart w:id="7" w:name="appendix-2"/>
      <w:bookmarkEnd w:id="7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202FAC30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4E4B29">
        <w:rPr>
          <w:rStyle w:val="VerbatimChar"/>
          <w:rFonts w:ascii="Courier New" w:hAnsi="Courier New" w:cs="Courier New"/>
          <w:sz w:val="24"/>
        </w:rPr>
        <w:lastRenderedPageBreak/>
        <w:t>vb</w:t>
      </w:r>
      <w:r w:rsidR="00EE1FBD" w:rsidRPr="007A45B8">
        <w:rPr>
          <w:rStyle w:val="VerbatimChar"/>
          <w:rFonts w:ascii="Courier New" w:hAnsi="Courier New" w:cs="Courier New"/>
          <w:sz w:val="24"/>
        </w:rPr>
        <w:t>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8" w:name="references"/>
      <w:bookmarkEnd w:id="8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77777777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</w:p>
    <w:p w14:paraId="30BECCFB" w14:textId="77777777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</w:p>
    <w:p w14:paraId="22CA7C8C" w14:textId="77777777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</w:p>
    <w:p w14:paraId="03BCD439" w14:textId="2D89AAEC" w:rsidR="00ED2AFC" w:rsidRDefault="00ED2AFC" w:rsidP="001E735E">
      <w:pPr>
        <w:pStyle w:val="Bibliography"/>
      </w:pPr>
      <w:r>
        <w:t xml:space="preserve">Beguer, M., S. Rochette, M. Giardin, and P. Boet.  2011. </w:t>
      </w:r>
      <w:r w:rsidR="00843168">
        <w:t xml:space="preserve"> Growth modeling and spatio-temporal variability in the body c</w:t>
      </w:r>
      <w:r w:rsidR="0017137D">
        <w:t>ondition of the estuarine s</w:t>
      </w:r>
      <w:r w:rsidR="00843168">
        <w:t xml:space="preserve">hrimp </w:t>
      </w:r>
      <w:r w:rsidR="00843168" w:rsidRPr="0017137D">
        <w:rPr>
          <w:i/>
        </w:rPr>
        <w:t>Palaemon longirostris</w:t>
      </w:r>
      <w:r w:rsidR="00843168">
        <w:t xml:space="preserve"> in the Gironde (Sw France)</w:t>
      </w:r>
      <w:r>
        <w:t xml:space="preserve"> Journal of Crustacean Biology.  31:606-612.</w:t>
      </w:r>
    </w:p>
    <w:p w14:paraId="4D18C5A6" w14:textId="77777777" w:rsidR="00792B3D" w:rsidRDefault="00792B3D" w:rsidP="001E735E">
      <w:pPr>
        <w:pStyle w:val="Bibliography"/>
      </w:pPr>
      <w:r>
        <w:lastRenderedPageBreak/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4AB55EA1" w:rsidR="00681B21" w:rsidRPr="00722EB0" w:rsidRDefault="00EE1FBD" w:rsidP="001E735E">
      <w:pPr>
        <w:pStyle w:val="Bibliography"/>
      </w:pPr>
      <w:r w:rsidRPr="00722EB0">
        <w:t>Beverton, R. J. H., and S. J. Holt. 1957. On the dynamics of exploited fish populations. United Kingdom Ministry of Agriculture; Fisheries</w:t>
      </w:r>
      <w:r w:rsidR="00792B3D">
        <w:t>, 533 p.</w:t>
      </w:r>
    </w:p>
    <w:p w14:paraId="5F82CDE3" w14:textId="77777777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</w:p>
    <w:p w14:paraId="63570F62" w14:textId="41BD3902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</w:p>
    <w:p w14:paraId="38215DE6" w14:textId="77777777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 Reviews in Fish Biology and Fisheries 22:635–640.</w:t>
      </w:r>
    </w:p>
    <w:p w14:paraId="731C11A0" w14:textId="690CA07D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77777777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</w:p>
    <w:p w14:paraId="3A8E720B" w14:textId="5B5693B0" w:rsidR="00681B21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63D97A5B" w14:textId="77777777" w:rsidR="004E4B29" w:rsidRPr="00E02B07" w:rsidRDefault="004E4B29" w:rsidP="004E4B29">
      <w:pPr>
        <w:pStyle w:val="References"/>
      </w:pPr>
      <w:r w:rsidRPr="00E02B07">
        <w:t>Ogle, D.H., 2016a. Introductory Fisheries Analysis with R. Chapman &amp; Hall/CRC Press, Boca Raton, FL.</w:t>
      </w:r>
    </w:p>
    <w:p w14:paraId="1A99B864" w14:textId="0C8209E6" w:rsidR="004E4B29" w:rsidRPr="00722EB0" w:rsidRDefault="004E4B29" w:rsidP="004E4B29">
      <w:pPr>
        <w:pStyle w:val="References"/>
      </w:pPr>
      <w:r w:rsidRPr="00E02B07">
        <w:t>Ogle, D.H., 2016b. FSA: Fisheries stock analysis.  Available from: http://github.com/droglenc/fsa/.</w:t>
      </w:r>
    </w:p>
    <w:p w14:paraId="05B9DFB9" w14:textId="77777777" w:rsidR="00681B21" w:rsidRPr="00722EB0" w:rsidRDefault="00EE1FBD" w:rsidP="001E735E">
      <w:pPr>
        <w:pStyle w:val="Bibliography"/>
      </w:pPr>
      <w:r w:rsidRPr="00722EB0">
        <w:lastRenderedPageBreak/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1E735E">
      <w:pPr>
        <w:pStyle w:val="Bibliography"/>
      </w:pPr>
      <w:r w:rsidRPr="00722EB0">
        <w:t>Schnute, J., and D. Fournier. 1980. A new approach to length-frequency analysis: Growth structure. Canadian Journal of Fisheries and Aquatic Sciences 37:1337–1351.</w:t>
      </w:r>
    </w:p>
    <w:p w14:paraId="37A1B168" w14:textId="674FF8FD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77173DDF" w:rsidR="00305E59" w:rsidRPr="001E735E" w:rsidRDefault="00EE1FBD" w:rsidP="001E735E">
      <w:pPr>
        <w:pStyle w:val="Bibliography"/>
      </w:pPr>
      <w:r w:rsidRPr="001E735E">
        <w:t xml:space="preserve">Stewart, J., W. Robbins, K. Rowling, A. Hegarty, and A. Gould. 2013. A multifaceted approach to modelling growth of the Australian bonito, </w:t>
      </w:r>
      <w:r w:rsidRPr="005441A2">
        <w:rPr>
          <w:i/>
        </w:rPr>
        <w:t>Sarda australis</w:t>
      </w:r>
      <w:r w:rsidRPr="001E735E">
        <w:t xml:space="preserve"> (Family Scombridae), with some observations on its reproductive biology. Marine and Freshwater Research 64:671–678.</w:t>
      </w:r>
    </w:p>
    <w:p w14:paraId="0F6E3E90" w14:textId="431FEF44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3408A405" w:rsidR="002A349F" w:rsidRPr="00722EB0" w:rsidRDefault="002A349F" w:rsidP="00993B78">
      <w:pPr>
        <w:pStyle w:val="BodyText"/>
      </w:pPr>
      <w:r w:rsidRPr="00722EB0">
        <w:lastRenderedPageBreak/>
        <w:t>Table 1</w:t>
      </w:r>
      <w:r w:rsidR="00AC374B">
        <w:t xml:space="preserve">. </w:t>
      </w:r>
      <w:r w:rsidRPr="00722EB0">
        <w:t xml:space="preserve"> Parameter estimates</w:t>
      </w:r>
      <w:r w:rsidR="000B1862">
        <w:t xml:space="preserve"> and A</w:t>
      </w:r>
      <w:r w:rsidRPr="00722EB0">
        <w:t>kaike Information Criterion (</w:t>
      </w:r>
      <w:r w:rsidR="001B3A28">
        <w:t xml:space="preserve">AIC) </w:t>
      </w:r>
      <w:r w:rsidR="00AC374B">
        <w:t xml:space="preserve">values </w:t>
      </w:r>
      <w:r w:rsidR="001B3A28">
        <w:t>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AC374B">
        <w:t>of Easterb</w:t>
      </w:r>
      <w:r w:rsidR="00561CBE">
        <w:t xml:space="preserve">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1B785B0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5FBE111B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  <w:p w14:paraId="517275AC" w14:textId="3B6DF426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40B996B1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(58.5,124.7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6FC62501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</w:t>
            </w:r>
          </w:p>
          <w:p w14:paraId="170F371D" w14:textId="5D3DBBA7" w:rsidR="000B1862" w:rsidRDefault="00573DF1" w:rsidP="00573D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(42</w:t>
            </w:r>
            <w:r w:rsidR="000B1862">
              <w:rPr>
                <w:rFonts w:ascii="Times New Roman" w:hAnsi="Times New Roman" w:cs="Times New Roman"/>
              </w:rPr>
              <w:t>.4,</w:t>
            </w:r>
            <w:r w:rsidR="00E4215E">
              <w:rPr>
                <w:rFonts w:ascii="Times New Roman" w:hAnsi="Times New Roman" w:cs="Times New Roman"/>
              </w:rPr>
              <w:t>57.0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F17A23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0CCD8284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(0.10,0.76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0E8C3719" w:rsidR="0049500E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(0.85,2.58</w:t>
            </w:r>
            <w:r w:rsidR="004950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782B165B" w14:textId="5DAECBC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  <w:p w14:paraId="2805A4DC" w14:textId="60A34E43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(0.51,1.12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43A7735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-0.41</w:t>
            </w:r>
          </w:p>
          <w:p w14:paraId="53698234" w14:textId="3240B0D1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(-0.49,-0.19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F17A23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1026B64F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  <w:p w14:paraId="28E148D4" w14:textId="4D7CF089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(0.55,0.65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0DC7ECCC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(0.00,0.26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4B66EACA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5018.4</w:t>
            </w:r>
          </w:p>
        </w:tc>
      </w:tr>
    </w:tbl>
    <w:p w14:paraId="4B770575" w14:textId="53891321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</w:t>
      </w:r>
      <w:r w:rsidR="00B05A11">
        <w:rPr>
          <w:rFonts w:ascii="Times New Roman" w:eastAsiaTheme="minorEastAsia" w:hAnsi="Times New Roman" w:cs="Times New Roman"/>
        </w:rPr>
        <w:t xml:space="preserve">or equal to </w:t>
      </w:r>
      <w:r>
        <w:rPr>
          <w:rFonts w:ascii="Times New Roman" w:eastAsiaTheme="minorEastAsia" w:hAnsi="Times New Roman" w:cs="Times New Roman"/>
        </w:rPr>
        <w:t>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244A56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AC374B">
        <w:t xml:space="preserve">Eastern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52A2F" w14:textId="77777777" w:rsidR="0074422E" w:rsidRDefault="0074422E">
      <w:pPr>
        <w:spacing w:after="0"/>
      </w:pPr>
      <w:r>
        <w:separator/>
      </w:r>
    </w:p>
  </w:endnote>
  <w:endnote w:type="continuationSeparator" w:id="0">
    <w:p w14:paraId="0370C254" w14:textId="77777777" w:rsidR="0074422E" w:rsidRDefault="00744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629AC" w14:textId="77777777" w:rsidR="0074422E" w:rsidRDefault="0074422E">
      <w:r>
        <w:separator/>
      </w:r>
    </w:p>
  </w:footnote>
  <w:footnote w:type="continuationSeparator" w:id="0">
    <w:p w14:paraId="59562B31" w14:textId="77777777" w:rsidR="0074422E" w:rsidRDefault="0074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933FC"/>
    <w:rsid w:val="000B1862"/>
    <w:rsid w:val="000E6CCE"/>
    <w:rsid w:val="0011629B"/>
    <w:rsid w:val="00137CD3"/>
    <w:rsid w:val="00161502"/>
    <w:rsid w:val="0017042D"/>
    <w:rsid w:val="0017137D"/>
    <w:rsid w:val="0017632D"/>
    <w:rsid w:val="001A224D"/>
    <w:rsid w:val="001B3A28"/>
    <w:rsid w:val="001D793F"/>
    <w:rsid w:val="001E300F"/>
    <w:rsid w:val="001E735E"/>
    <w:rsid w:val="001F03A9"/>
    <w:rsid w:val="00204A02"/>
    <w:rsid w:val="002067BF"/>
    <w:rsid w:val="002068D2"/>
    <w:rsid w:val="002A349F"/>
    <w:rsid w:val="002B7CF6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C70A3"/>
    <w:rsid w:val="003D562F"/>
    <w:rsid w:val="003D60D7"/>
    <w:rsid w:val="00425B61"/>
    <w:rsid w:val="00471387"/>
    <w:rsid w:val="0049500E"/>
    <w:rsid w:val="004B6EFF"/>
    <w:rsid w:val="004D21CF"/>
    <w:rsid w:val="004E29B3"/>
    <w:rsid w:val="004E4B29"/>
    <w:rsid w:val="00503364"/>
    <w:rsid w:val="0050612D"/>
    <w:rsid w:val="00532633"/>
    <w:rsid w:val="00536785"/>
    <w:rsid w:val="005441A2"/>
    <w:rsid w:val="00561CBE"/>
    <w:rsid w:val="00572B5C"/>
    <w:rsid w:val="00573DF1"/>
    <w:rsid w:val="00590D07"/>
    <w:rsid w:val="005B1492"/>
    <w:rsid w:val="005D2ECD"/>
    <w:rsid w:val="005F5167"/>
    <w:rsid w:val="0062784A"/>
    <w:rsid w:val="00645854"/>
    <w:rsid w:val="006515CC"/>
    <w:rsid w:val="006601DC"/>
    <w:rsid w:val="00681724"/>
    <w:rsid w:val="00681B21"/>
    <w:rsid w:val="006B60C8"/>
    <w:rsid w:val="006C1966"/>
    <w:rsid w:val="00714D22"/>
    <w:rsid w:val="00722EB0"/>
    <w:rsid w:val="0074422E"/>
    <w:rsid w:val="007524AF"/>
    <w:rsid w:val="007609C5"/>
    <w:rsid w:val="00761A83"/>
    <w:rsid w:val="00784D58"/>
    <w:rsid w:val="00792B3D"/>
    <w:rsid w:val="007A45B8"/>
    <w:rsid w:val="00810007"/>
    <w:rsid w:val="0081314A"/>
    <w:rsid w:val="00817BC5"/>
    <w:rsid w:val="008240EC"/>
    <w:rsid w:val="008342D6"/>
    <w:rsid w:val="00843168"/>
    <w:rsid w:val="00851EFE"/>
    <w:rsid w:val="00852310"/>
    <w:rsid w:val="00882B84"/>
    <w:rsid w:val="008A278E"/>
    <w:rsid w:val="008B0740"/>
    <w:rsid w:val="008B6424"/>
    <w:rsid w:val="008C522C"/>
    <w:rsid w:val="008D6863"/>
    <w:rsid w:val="0091790F"/>
    <w:rsid w:val="009533E4"/>
    <w:rsid w:val="00964DA9"/>
    <w:rsid w:val="0099182B"/>
    <w:rsid w:val="00993B78"/>
    <w:rsid w:val="009E1ED2"/>
    <w:rsid w:val="00A07F4E"/>
    <w:rsid w:val="00A20CDC"/>
    <w:rsid w:val="00A36BB8"/>
    <w:rsid w:val="00A557C4"/>
    <w:rsid w:val="00A63A60"/>
    <w:rsid w:val="00A70EB7"/>
    <w:rsid w:val="00AC374B"/>
    <w:rsid w:val="00AF2F8B"/>
    <w:rsid w:val="00B05A11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10D7"/>
    <w:rsid w:val="00C33361"/>
    <w:rsid w:val="00C36279"/>
    <w:rsid w:val="00CC3660"/>
    <w:rsid w:val="00CD41EB"/>
    <w:rsid w:val="00CD728B"/>
    <w:rsid w:val="00D24970"/>
    <w:rsid w:val="00D44278"/>
    <w:rsid w:val="00D47474"/>
    <w:rsid w:val="00D606C9"/>
    <w:rsid w:val="00DB415F"/>
    <w:rsid w:val="00DC0D38"/>
    <w:rsid w:val="00DF55FA"/>
    <w:rsid w:val="00E315A3"/>
    <w:rsid w:val="00E372CD"/>
    <w:rsid w:val="00E4215E"/>
    <w:rsid w:val="00E75FF1"/>
    <w:rsid w:val="00E87379"/>
    <w:rsid w:val="00E94BC7"/>
    <w:rsid w:val="00EB4213"/>
    <w:rsid w:val="00ED2AFC"/>
    <w:rsid w:val="00ED6314"/>
    <w:rsid w:val="00EE1FBD"/>
    <w:rsid w:val="00EF6085"/>
    <w:rsid w:val="00F17A23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spacing w:after="0" w:line="480" w:lineRule="auto"/>
      <w:ind w:left="360" w:hanging="36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C7335-EB55-43A2-9D57-D8F374F5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5</cp:revision>
  <dcterms:created xsi:type="dcterms:W3CDTF">2016-06-09T13:08:00Z</dcterms:created>
  <dcterms:modified xsi:type="dcterms:W3CDTF">2016-06-09T16:02:00Z</dcterms:modified>
</cp:coreProperties>
</file>