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Pharma Industry Benchmarks &amp; Transformation Value Drivers</w:t>
      </w:r>
    </w:p>
    <w:p>
      <w:pPr>
        <w:jc w:val="center"/>
      </w:pPr>
      <w:r>
        <w:t>Prepared for: Mahesh Kelkar, Consulting Partner (Enterprise Solutions)</w:t>
      </w:r>
    </w:p>
    <w:p>
      <w:pPr>
        <w:jc w:val="center"/>
      </w:pPr>
      <w:r>
        <w:t>Date: 18 Nov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Pharmaceutical companies operate under stringent GMP/ICH frameworks and complex supply chains with long lead times, regulated batch release, and high-cost R&amp;D. Benchmarks in pharma differ materially from general manufacturing (e.g., lower OEE baselines, longer DIO) and should be interpreted alongside quality/compliance KPIs (RFT, CAPA effectiveness) and shifting R&amp;D productivity metrics. Recent analyses indicate average DSO around 45 days for large healthcare/pharma, big-pharma DIO trending above 220 days, and industry-average OEE near 35% with materially higher performance in digitized plants. Transformation value drivers include electronic Batch Records (eBR), integrated OEE/CMMS, digital-first operating models, AI/analytics in R&amp;D, and platformization across commercial and supply processes.</w:t>
      </w:r>
    </w:p>
    <w:p>
      <w:pPr>
        <w:pStyle w:val="Heading1"/>
      </w:pPr>
      <w:r>
        <w:t>1) Benchmarks by Value Stream</w:t>
      </w:r>
    </w:p>
    <w:p>
      <w:r>
        <w:t>Targets below reflect observed industry medians or world-class ranges adapted for pharma context; refine by modality (sterile vs. OSD), product mix, and regulatory requirements.</w:t>
      </w:r>
    </w:p>
    <w:p>
      <w:pPr>
        <w:pStyle w:val="Heading2"/>
      </w:pPr>
      <w:r>
        <w:t>Order to Cash (O2C)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Days Sales Outstanding (DSO)</w:t>
            </w:r>
          </w:p>
        </w:tc>
        <w:tc>
          <w:tcPr>
            <w:tcW w:type="dxa" w:w="2880"/>
          </w:tcPr>
          <w:p>
            <w:r>
              <w:t>~45 days (large healthcare/pharma peers)</w:t>
            </w:r>
          </w:p>
        </w:tc>
        <w:tc>
          <w:tcPr>
            <w:tcW w:type="dxa" w:w="2880"/>
          </w:tcPr>
          <w:p>
            <w:r>
              <w:t>HighRadius 2023</w:t>
            </w:r>
          </w:p>
        </w:tc>
      </w:tr>
      <w:tr>
        <w:tc>
          <w:tcPr>
            <w:tcW w:type="dxa" w:w="2880"/>
          </w:tcPr>
          <w:p>
            <w:r>
              <w:t>On-Time Delivery (OTD)</w:t>
            </w:r>
          </w:p>
        </w:tc>
        <w:tc>
          <w:tcPr>
            <w:tcW w:type="dxa" w:w="2880"/>
          </w:tcPr>
          <w:p>
            <w:r>
              <w:t>&gt;95–98% with batch traceability</w:t>
            </w:r>
          </w:p>
        </w:tc>
        <w:tc>
          <w:tcPr>
            <w:tcW w:type="dxa" w:w="2880"/>
          </w:tcPr>
          <w:p>
            <w:r>
              <w:t>Xcelpros 2025</w:t>
            </w:r>
          </w:p>
        </w:tc>
      </w:tr>
      <w:tr>
        <w:tc>
          <w:tcPr>
            <w:tcW w:type="dxa" w:w="2880"/>
          </w:tcPr>
          <w:p>
            <w:r>
              <w:t>Perfect Order Rate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  <w:tc>
          <w:tcPr>
            <w:tcW w:type="dxa" w:w="2880"/>
          </w:tcPr>
          <w:p>
            <w:r>
              <w:t>Industry SC best practice</w:t>
            </w:r>
          </w:p>
        </w:tc>
      </w:tr>
      <w:tr>
        <w:tc>
          <w:tcPr>
            <w:tcW w:type="dxa" w:w="2880"/>
          </w:tcPr>
          <w:p>
            <w:r>
              <w:t>Invoice Accuracy</w:t>
            </w:r>
          </w:p>
        </w:tc>
        <w:tc>
          <w:tcPr>
            <w:tcW w:type="dxa" w:w="2880"/>
          </w:tcPr>
          <w:p>
            <w:r>
              <w:t>&gt;99.5%</w:t>
            </w:r>
          </w:p>
        </w:tc>
        <w:tc>
          <w:tcPr>
            <w:tcW w:type="dxa" w:w="2880"/>
          </w:tcPr>
          <w:p>
            <w:r>
              <w:t>Finance benchmarks</w:t>
            </w:r>
          </w:p>
        </w:tc>
      </w:tr>
    </w:tbl>
    <w:p/>
    <w:p>
      <w:pPr>
        <w:pStyle w:val="Heading2"/>
      </w:pPr>
      <w:r>
        <w:t>Procure to Pay (P2P)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Supplier OTIF</w:t>
            </w:r>
          </w:p>
        </w:tc>
        <w:tc>
          <w:tcPr>
            <w:tcW w:type="dxa" w:w="2880"/>
          </w:tcPr>
          <w:p>
            <w:r>
              <w:t>&gt;95–97%</w:t>
            </w:r>
          </w:p>
        </w:tc>
        <w:tc>
          <w:tcPr>
            <w:tcW w:type="dxa" w:w="2880"/>
          </w:tcPr>
          <w:p>
            <w:r>
              <w:t>APQC (procurement) 2025</w:t>
            </w:r>
          </w:p>
        </w:tc>
      </w:tr>
      <w:tr>
        <w:tc>
          <w:tcPr>
            <w:tcW w:type="dxa" w:w="2880"/>
          </w:tcPr>
          <w:p>
            <w:r>
              <w:t>PO Compliance</w:t>
            </w:r>
          </w:p>
        </w:tc>
        <w:tc>
          <w:tcPr>
            <w:tcW w:type="dxa" w:w="2880"/>
          </w:tcPr>
          <w:p>
            <w:r>
              <w:t>&gt;90% of addressable spend</w:t>
            </w:r>
          </w:p>
        </w:tc>
        <w:tc>
          <w:tcPr>
            <w:tcW w:type="dxa" w:w="2880"/>
          </w:tcPr>
          <w:p>
            <w:r>
              <w:t>APQC 2025</w:t>
            </w:r>
          </w:p>
        </w:tc>
      </w:tr>
      <w:tr>
        <w:tc>
          <w:tcPr>
            <w:tcW w:type="dxa" w:w="2880"/>
          </w:tcPr>
          <w:p>
            <w:r>
              <w:t>First-Pass Match (3-way)</w:t>
            </w:r>
          </w:p>
        </w:tc>
        <w:tc>
          <w:tcPr>
            <w:tcW w:type="dxa" w:w="2880"/>
          </w:tcPr>
          <w:p>
            <w:r>
              <w:t>&gt;98%</w:t>
            </w:r>
          </w:p>
        </w:tc>
        <w:tc>
          <w:tcPr>
            <w:tcW w:type="dxa" w:w="2880"/>
          </w:tcPr>
          <w:p>
            <w:r>
              <w:t>APEX Analytix 2022</w:t>
            </w:r>
          </w:p>
        </w:tc>
      </w:tr>
      <w:tr>
        <w:tc>
          <w:tcPr>
            <w:tcW w:type="dxa" w:w="2880"/>
          </w:tcPr>
          <w:p>
            <w:r>
              <w:t>Supplier Defect Rate</w:t>
            </w:r>
          </w:p>
        </w:tc>
        <w:tc>
          <w:tcPr>
            <w:tcW w:type="dxa" w:w="2880"/>
          </w:tcPr>
          <w:p>
            <w:r>
              <w:t>&lt;0.5% lots</w:t>
            </w:r>
          </w:p>
        </w:tc>
        <w:tc>
          <w:tcPr>
            <w:tcW w:type="dxa" w:w="2880"/>
          </w:tcPr>
          <w:p>
            <w:r>
              <w:t>GMP procurement guidance</w:t>
            </w:r>
          </w:p>
        </w:tc>
      </w:tr>
    </w:tbl>
    <w:p/>
    <w:p>
      <w:pPr>
        <w:pStyle w:val="Heading2"/>
      </w:pPr>
      <w:r>
        <w:t>Plan to Manufacture (P2M)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Overall Equipment Effectiveness (OEE)</w:t>
            </w:r>
          </w:p>
        </w:tc>
        <w:tc>
          <w:tcPr>
            <w:tcW w:type="dxa" w:w="2880"/>
          </w:tcPr>
          <w:p>
            <w:r>
              <w:t>~35% avg; transformation target 60–75%</w:t>
            </w:r>
          </w:p>
        </w:tc>
        <w:tc>
          <w:tcPr>
            <w:tcW w:type="dxa" w:w="2880"/>
          </w:tcPr>
          <w:p>
            <w:r>
              <w:t>SCW.AI 2025</w:t>
            </w:r>
          </w:p>
        </w:tc>
      </w:tr>
      <w:tr>
        <w:tc>
          <w:tcPr>
            <w:tcW w:type="dxa" w:w="2880"/>
          </w:tcPr>
          <w:p>
            <w:r>
              <w:t>Right-First-Time (RFT) / Lot Acceptance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  <w:tc>
          <w:tcPr>
            <w:tcW w:type="dxa" w:w="2880"/>
          </w:tcPr>
          <w:p>
            <w:r>
              <w:t>FDA Quality Metrics / Industry</w:t>
            </w:r>
          </w:p>
        </w:tc>
      </w:tr>
      <w:tr>
        <w:tc>
          <w:tcPr>
            <w:tcW w:type="dxa" w:w="2880"/>
          </w:tcPr>
          <w:p>
            <w:r>
              <w:t>Changeover Time</w:t>
            </w:r>
          </w:p>
        </w:tc>
        <w:tc>
          <w:tcPr>
            <w:tcW w:type="dxa" w:w="2880"/>
          </w:tcPr>
          <w:p>
            <w:r>
              <w:t>Material reduction via OEE analytics</w:t>
            </w:r>
          </w:p>
        </w:tc>
        <w:tc>
          <w:tcPr>
            <w:tcW w:type="dxa" w:w="2880"/>
          </w:tcPr>
          <w:p>
            <w:r>
              <w:t>PharmaManufacturing</w:t>
            </w:r>
          </w:p>
        </w:tc>
      </w:tr>
      <w:tr>
        <w:tc>
          <w:tcPr>
            <w:tcW w:type="dxa" w:w="2880"/>
          </w:tcPr>
          <w:p>
            <w:r>
              <w:t>Batch Release Cycle (eBR impact)</w:t>
            </w:r>
          </w:p>
        </w:tc>
        <w:tc>
          <w:tcPr>
            <w:tcW w:type="dxa" w:w="2880"/>
          </w:tcPr>
          <w:p>
            <w:r>
              <w:t>Deviations -75–80%, E2E cycle -40–60%</w:t>
            </w:r>
          </w:p>
        </w:tc>
        <w:tc>
          <w:tcPr>
            <w:tcW w:type="dxa" w:w="2880"/>
          </w:tcPr>
          <w:p>
            <w:r>
              <w:t>ISPE/Capgemini PoV 2023</w:t>
            </w:r>
          </w:p>
        </w:tc>
      </w:tr>
    </w:tbl>
    <w:p/>
    <w:p>
      <w:pPr>
        <w:pStyle w:val="Heading2"/>
      </w:pPr>
      <w:r>
        <w:t>Record to Report (R2R)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Days to Close</w:t>
            </w:r>
          </w:p>
        </w:tc>
        <w:tc>
          <w:tcPr>
            <w:tcW w:type="dxa" w:w="2880"/>
          </w:tcPr>
          <w:p>
            <w:r>
              <w:t>≤5 business days</w:t>
            </w:r>
          </w:p>
        </w:tc>
        <w:tc>
          <w:tcPr>
            <w:tcW w:type="dxa" w:w="2880"/>
          </w:tcPr>
          <w:p>
            <w:r>
              <w:t>Gartner 2024</w:t>
            </w:r>
          </w:p>
        </w:tc>
      </w:tr>
      <w:tr>
        <w:tc>
          <w:tcPr>
            <w:tcW w:type="dxa" w:w="2880"/>
          </w:tcPr>
          <w:p>
            <w:r>
              <w:t>Days Inventory Outstanding (DIO)</w:t>
            </w:r>
          </w:p>
        </w:tc>
        <w:tc>
          <w:tcPr>
            <w:tcW w:type="dxa" w:w="2880"/>
          </w:tcPr>
          <w:p>
            <w:r>
              <w:t>&gt;220 days median (big pharma 2023)</w:t>
            </w:r>
          </w:p>
        </w:tc>
        <w:tc>
          <w:tcPr>
            <w:tcW w:type="dxa" w:w="2880"/>
          </w:tcPr>
          <w:p>
            <w:r>
              <w:t>nVentic 2024</w:t>
            </w:r>
          </w:p>
        </w:tc>
      </w:tr>
      <w:tr>
        <w:tc>
          <w:tcPr>
            <w:tcW w:type="dxa" w:w="2880"/>
          </w:tcPr>
          <w:p>
            <w:r>
              <w:t>Inventory Write-offs</w:t>
            </w:r>
          </w:p>
        </w:tc>
        <w:tc>
          <w:tcPr>
            <w:tcW w:type="dxa" w:w="2880"/>
          </w:tcPr>
          <w:p>
            <w:r>
              <w:t>~4% of cost of sales (est.)</w:t>
            </w:r>
          </w:p>
        </w:tc>
        <w:tc>
          <w:tcPr>
            <w:tcW w:type="dxa" w:w="2880"/>
          </w:tcPr>
          <w:p>
            <w:r>
              <w:t>nVentic 2024</w:t>
            </w:r>
          </w:p>
        </w:tc>
      </w:tr>
    </w:tbl>
    <w:p/>
    <w:p>
      <w:pPr>
        <w:pStyle w:val="Heading2"/>
      </w:pPr>
      <w:r>
        <w:t>Hire to Retire (H2R)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Time to Hire</w:t>
            </w:r>
          </w:p>
        </w:tc>
        <w:tc>
          <w:tcPr>
            <w:tcW w:type="dxa" w:w="2880"/>
          </w:tcPr>
          <w:p>
            <w:r>
              <w:t>&lt;30–45 days (regulated roles)</w:t>
            </w:r>
          </w:p>
        </w:tc>
        <w:tc>
          <w:tcPr>
            <w:tcW w:type="dxa" w:w="2880"/>
          </w:tcPr>
          <w:p>
            <w:r>
              <w:t>ASHP toolkit &amp; HR benchmarks</w:t>
            </w:r>
          </w:p>
        </w:tc>
      </w:tr>
      <w:tr>
        <w:tc>
          <w:tcPr>
            <w:tcW w:type="dxa" w:w="2880"/>
          </w:tcPr>
          <w:p>
            <w:r>
              <w:t>12-Month Retention</w:t>
            </w:r>
          </w:p>
        </w:tc>
        <w:tc>
          <w:tcPr>
            <w:tcW w:type="dxa" w:w="2880"/>
          </w:tcPr>
          <w:p>
            <w:r>
              <w:t>&gt;90% for GMP-critical roles</w:t>
            </w:r>
          </w:p>
        </w:tc>
        <w:tc>
          <w:tcPr>
            <w:tcW w:type="dxa" w:w="2880"/>
          </w:tcPr>
          <w:p>
            <w:r>
              <w:t>ASHP toolkit</w:t>
            </w:r>
          </w:p>
        </w:tc>
      </w:tr>
      <w:tr>
        <w:tc>
          <w:tcPr>
            <w:tcW w:type="dxa" w:w="2880"/>
          </w:tcPr>
          <w:p>
            <w:r>
              <w:t>Training Completion</w:t>
            </w:r>
          </w:p>
        </w:tc>
        <w:tc>
          <w:tcPr>
            <w:tcW w:type="dxa" w:w="2880"/>
          </w:tcPr>
          <w:p>
            <w:r>
              <w:t>&gt;95% on-time (GxP)</w:t>
            </w:r>
          </w:p>
        </w:tc>
        <w:tc>
          <w:tcPr>
            <w:tcW w:type="dxa" w:w="2880"/>
          </w:tcPr>
          <w:p>
            <w:r>
              <w:t>Compliance best practice</w:t>
            </w:r>
          </w:p>
        </w:tc>
      </w:tr>
    </w:tbl>
    <w:p/>
    <w:p>
      <w:pPr>
        <w:pStyle w:val="Heading2"/>
      </w:pPr>
      <w:r>
        <w:t>Acquire to Decommission (A2D)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Asset Utilization</w:t>
            </w:r>
          </w:p>
        </w:tc>
        <w:tc>
          <w:tcPr>
            <w:tcW w:type="dxa" w:w="2880"/>
          </w:tcPr>
          <w:p>
            <w:r>
              <w:t>&gt;70–85%</w:t>
            </w:r>
          </w:p>
        </w:tc>
        <w:tc>
          <w:tcPr>
            <w:tcW w:type="dxa" w:w="2880"/>
          </w:tcPr>
          <w:p>
            <w:r>
              <w:t>Vimachem / OEE analytics</w:t>
            </w:r>
          </w:p>
        </w:tc>
      </w:tr>
      <w:tr>
        <w:tc>
          <w:tcPr>
            <w:tcW w:type="dxa" w:w="2880"/>
          </w:tcPr>
          <w:p>
            <w:r>
              <w:t>Preventive Maintenance Compliance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  <w:tc>
          <w:tcPr>
            <w:tcW w:type="dxa" w:w="2880"/>
          </w:tcPr>
          <w:p>
            <w:r>
              <w:t>Vimachem / CMMS</w:t>
            </w:r>
          </w:p>
        </w:tc>
      </w:tr>
      <w:tr>
        <w:tc>
          <w:tcPr>
            <w:tcW w:type="dxa" w:w="2880"/>
          </w:tcPr>
          <w:p>
            <w:r>
              <w:t>MTTR (packaging)</w:t>
            </w:r>
          </w:p>
        </w:tc>
        <w:tc>
          <w:tcPr>
            <w:tcW w:type="dxa" w:w="2880"/>
          </w:tcPr>
          <w:p>
            <w:r>
              <w:t>&lt;4 hours</w:t>
            </w:r>
          </w:p>
        </w:tc>
        <w:tc>
          <w:tcPr>
            <w:tcW w:type="dxa" w:w="2880"/>
          </w:tcPr>
          <w:p>
            <w:r>
              <w:t>GMP maintenance best practice</w:t>
            </w:r>
          </w:p>
        </w:tc>
      </w:tr>
    </w:tbl>
    <w:p/>
    <w:p>
      <w:pPr>
        <w:pStyle w:val="Heading2"/>
      </w:pPr>
      <w:r>
        <w:t>Request to Service (R2S)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SLA Compliance</w:t>
            </w:r>
          </w:p>
        </w:tc>
        <w:tc>
          <w:tcPr>
            <w:tcW w:type="dxa" w:w="2880"/>
          </w:tcPr>
          <w:p>
            <w:r>
              <w:t>≥95%</w:t>
            </w:r>
          </w:p>
        </w:tc>
        <w:tc>
          <w:tcPr>
            <w:tcW w:type="dxa" w:w="2880"/>
          </w:tcPr>
          <w:p>
            <w:r>
              <w:t>Service benchmarks</w:t>
            </w:r>
          </w:p>
        </w:tc>
      </w:tr>
      <w:tr>
        <w:tc>
          <w:tcPr>
            <w:tcW w:type="dxa" w:w="2880"/>
          </w:tcPr>
          <w:p>
            <w:r>
              <w:t>First Contact Resolution (FCR)</w:t>
            </w:r>
          </w:p>
        </w:tc>
        <w:tc>
          <w:tcPr>
            <w:tcW w:type="dxa" w:w="2880"/>
          </w:tcPr>
          <w:p>
            <w:r>
              <w:t>≥75–80%</w:t>
            </w:r>
          </w:p>
        </w:tc>
        <w:tc>
          <w:tcPr>
            <w:tcW w:type="dxa" w:w="2880"/>
          </w:tcPr>
          <w:p>
            <w:r>
              <w:t>Surveypal 2023</w:t>
            </w:r>
          </w:p>
        </w:tc>
      </w:tr>
      <w:tr>
        <w:tc>
          <w:tcPr>
            <w:tcW w:type="dxa" w:w="2880"/>
          </w:tcPr>
          <w:p>
            <w:r>
              <w:t>CSAT</w:t>
            </w:r>
          </w:p>
        </w:tc>
        <w:tc>
          <w:tcPr>
            <w:tcW w:type="dxa" w:w="2880"/>
          </w:tcPr>
          <w:p>
            <w:r>
              <w:t>≥80–85%</w:t>
            </w:r>
          </w:p>
        </w:tc>
        <w:tc>
          <w:tcPr>
            <w:tcW w:type="dxa" w:w="2880"/>
          </w:tcPr>
          <w:p>
            <w:r>
              <w:t>ACSI/industry synth</w:t>
            </w:r>
          </w:p>
        </w:tc>
      </w:tr>
    </w:tbl>
    <w:p/>
    <w:p>
      <w:pPr>
        <w:pStyle w:val="Heading2"/>
      </w:pPr>
      <w:r>
        <w:t>Idea to Market (I2M)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Clinical Cycle Length</w:t>
            </w:r>
          </w:p>
        </w:tc>
        <w:tc>
          <w:tcPr>
            <w:tcW w:type="dxa" w:w="2880"/>
          </w:tcPr>
          <w:p>
            <w:r>
              <w:t>&gt;100 months avg (Phase I start to Phase III completion &amp; filing for top R&amp;D spenders 2024)</w:t>
            </w:r>
          </w:p>
        </w:tc>
        <w:tc>
          <w:tcPr>
            <w:tcW w:type="dxa" w:w="2880"/>
          </w:tcPr>
          <w:p>
            <w:r>
              <w:t>Statista 2025</w:t>
            </w:r>
          </w:p>
        </w:tc>
      </w:tr>
      <w:tr>
        <w:tc>
          <w:tcPr>
            <w:tcW w:type="dxa" w:w="2880"/>
          </w:tcPr>
          <w:p>
            <w:r>
              <w:t>R&amp;D ROI (IRR)</w:t>
            </w:r>
          </w:p>
        </w:tc>
        <w:tc>
          <w:tcPr>
            <w:tcW w:type="dxa" w:w="2880"/>
          </w:tcPr>
          <w:p>
            <w:r>
              <w:t>~5.9% (2024)</w:t>
            </w:r>
          </w:p>
        </w:tc>
        <w:tc>
          <w:tcPr>
            <w:tcW w:type="dxa" w:w="2880"/>
          </w:tcPr>
          <w:p>
            <w:r>
              <w:t>Deloitte 2025</w:t>
            </w:r>
          </w:p>
        </w:tc>
      </w:tr>
      <w:tr>
        <w:tc>
          <w:tcPr>
            <w:tcW w:type="dxa" w:w="2880"/>
          </w:tcPr>
          <w:p>
            <w:r>
              <w:t>Cost per Asset</w:t>
            </w:r>
          </w:p>
        </w:tc>
        <w:tc>
          <w:tcPr>
            <w:tcW w:type="dxa" w:w="2880"/>
          </w:tcPr>
          <w:p>
            <w:r>
              <w:t>US$2.23B avg (2024)</w:t>
            </w:r>
          </w:p>
        </w:tc>
        <w:tc>
          <w:tcPr>
            <w:tcW w:type="dxa" w:w="2880"/>
          </w:tcPr>
          <w:p>
            <w:r>
              <w:t>Deloitte 2025 / PR</w:t>
            </w:r>
          </w:p>
        </w:tc>
      </w:tr>
    </w:tbl>
    <w:p/>
    <w:p>
      <w:pPr>
        <w:pStyle w:val="Heading2"/>
      </w:pPr>
      <w:r>
        <w:t>Initiate (Project) to Close (I2C)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Benchmark / Target</w:t>
            </w:r>
          </w:p>
        </w:tc>
        <w:tc>
          <w:tcPr>
            <w:tcW w:type="dxa" w:w="2880"/>
          </w:tcPr>
          <w:p>
            <w:r>
              <w:t>Source (abbr.)</w:t>
            </w:r>
          </w:p>
        </w:tc>
      </w:tr>
      <w:tr>
        <w:tc>
          <w:tcPr>
            <w:tcW w:type="dxa" w:w="2880"/>
          </w:tcPr>
          <w:p>
            <w:r>
              <w:t>SPI &amp; CPI</w:t>
            </w:r>
          </w:p>
        </w:tc>
        <w:tc>
          <w:tcPr>
            <w:tcW w:type="dxa" w:w="2880"/>
          </w:tcPr>
          <w:p>
            <w:r>
              <w:t>&gt;0.95</w:t>
            </w:r>
          </w:p>
        </w:tc>
        <w:tc>
          <w:tcPr>
            <w:tcW w:type="dxa" w:w="2880"/>
          </w:tcPr>
          <w:p>
            <w:r>
              <w:t>PM benchmarks</w:t>
            </w:r>
          </w:p>
        </w:tc>
      </w:tr>
      <w:tr>
        <w:tc>
          <w:tcPr>
            <w:tcW w:type="dxa" w:w="2880"/>
          </w:tcPr>
          <w:p>
            <w:r>
              <w:t>Milestone On-Time Rate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  <w:tc>
          <w:tcPr>
            <w:tcW w:type="dxa" w:w="2880"/>
          </w:tcPr>
          <w:p>
            <w:r>
              <w:t>PM benchmarks</w:t>
            </w:r>
          </w:p>
        </w:tc>
      </w:tr>
      <w:tr>
        <w:tc>
          <w:tcPr>
            <w:tcW w:type="dxa" w:w="2880"/>
          </w:tcPr>
          <w:p>
            <w:r>
              <w:t>Benefits Realization</w:t>
            </w:r>
          </w:p>
        </w:tc>
        <w:tc>
          <w:tcPr>
            <w:tcW w:type="dxa" w:w="2880"/>
          </w:tcPr>
          <w:p>
            <w:r>
              <w:t>&gt;90% vs. business case; Launch ROI &gt;150% when applicable</w:t>
            </w:r>
          </w:p>
        </w:tc>
        <w:tc>
          <w:tcPr>
            <w:tcW w:type="dxa" w:w="2880"/>
          </w:tcPr>
          <w:p>
            <w:r>
              <w:t>Finance benchmarks</w:t>
            </w:r>
          </w:p>
        </w:tc>
      </w:tr>
    </w:tbl>
    <w:p/>
    <w:p>
      <w:pPr>
        <w:pStyle w:val="Heading1"/>
      </w:pPr>
      <w:r>
        <w:t>2) Quality &amp; Compliance Benchmarks (Cross-Cutting)</w:t>
      </w:r>
    </w:p>
    <w:p>
      <w:r>
        <w:t>Regulatory expectations and quality metrics that underpin the above benchmarks:</w:t>
      </w:r>
    </w:p>
    <w:p>
      <w:r>
        <w:t>• ICH Q9(R1) emphasizes control of subjectivity, product availability risks, and formal risk-based decisions; EMA Step 5 effective July 26, 2023; US guidance May 2023.</w:t>
      </w:r>
    </w:p>
    <w:p>
      <w:r>
        <w:t>• FDA 21 CFR 211.165 mandates testing and conformance before release; FDA updates highlight batch uniformity and advanced manufacturing considerations.</w:t>
      </w:r>
    </w:p>
    <w:p>
      <w:r>
        <w:t>• Key metrics: Right-First-Time (RFT), Lot Acceptance Rate, Invalidated OOS Rate, CAPA effectiveness; CAPA deficiencies are frequent drivers of FDA 483s.</w:t>
      </w:r>
    </w:p>
    <w:p>
      <w:r>
        <w:t>• eBR typically reduces deviations by 75–80% and end-to-end cycle by 40–60%, enabling release-by-exception.</w:t>
      </w:r>
    </w:p>
    <w:p>
      <w:pPr>
        <w:pStyle w:val="Heading1"/>
      </w:pPr>
      <w:r>
        <w:t>3) Transformation Value Drivers</w:t>
      </w:r>
    </w:p>
    <w:p>
      <w:r>
        <w:t>• Digital-First Operating Model: Shift to outcome-aligned product/platform teams; delivery speed +20%, testing time -50% in exemplars; consolidate vendors and move to outcome-based contracts.</w:t>
      </w:r>
    </w:p>
    <w:p>
      <w:r>
        <w:t>• GMP-Validated eBR + Integrated OEE/CMMS: Replace paper with eBR; integrate OEE with CMMS and Part 11 signatures; achieve deviations -75–80%, cycle -40–60%; OEE uplift from ~35% toward 60%+.</w:t>
      </w:r>
    </w:p>
    <w:p>
      <w:r>
        <w:t>• Inventory Optimization &amp; Availability Risk: Address structural DIO (&gt;220 days) while safeguarding supply; apply multi-echelon optimization/expiry analytics under ICH Q9(R1).</w:t>
      </w:r>
    </w:p>
    <w:p>
      <w:r>
        <w:t>• Data &amp; AI in R&amp;D: Use DCTs, RWE, and AI/ML for trial design/recruitment; implement DataOps/MLOps; support ROI recovery (~5.9%) and counter Phase III time increases.</w:t>
      </w:r>
    </w:p>
    <w:p>
      <w:r>
        <w:t>• Customer &amp; HCP Experience Modernization: Harmonize CRM with omnichannel medical/commercial; target FCR ≥80%, CSAT ≥82–85%; link product quality to customer service.</w:t>
      </w:r>
    </w:p>
    <w:p>
      <w:pPr>
        <w:pStyle w:val="Heading1"/>
      </w:pPr>
      <w:r>
        <w:t>4) Implementation Roadmap (12–18 Months)</w:t>
      </w:r>
    </w:p>
    <w:p>
      <w:r>
        <w:t>• Define outcomes &amp; KPIs per value stream (e.g., P2M: reduce batch release cycle by 30%; R2R: lower DIO by 10% while meeting availability risks per ICH Q9(R1)).</w:t>
      </w:r>
    </w:p>
    <w:p>
      <w:r>
        <w:t>• Stand up product/platform teams (eBR &amp; Release, OEE &amp; Throughput, Inventory Optimization, R&amp;D Digital Trials, HCP Experience).</w:t>
      </w:r>
    </w:p>
    <w:p>
      <w:r>
        <w:t>• Deploy eBR (Wave 1) on two high-volume sites; validate Part 11; integrate OEE/CMMS; implement release-by-exception.</w:t>
      </w:r>
    </w:p>
    <w:p>
      <w:r>
        <w:t>• Establish DataOps/MLOps foundations for R&amp;D and supply chain; governed pipelines and model lifecycle.</w:t>
      </w:r>
    </w:p>
    <w:p>
      <w:r>
        <w:t>• Pilot DCT/RWE analytics in one therapy area; track cycle time and PoS improvements.</w:t>
      </w:r>
    </w:p>
    <w:p>
      <w:r>
        <w:t>• Modernize HCP/Customer Service: unified knowledge; target FCR ≥80%, CSAT ≥82–85%, SLA ≥95%.</w:t>
      </w:r>
    </w:p>
    <w:p>
      <w:r>
        <w:t>• Inventory &amp; Availability Risk program: demand sensing, expiry analytics, quarterly DIO/write-off reviews.</w:t>
      </w:r>
    </w:p>
    <w:p>
      <w:pPr>
        <w:pStyle w:val="Heading1"/>
      </w:pPr>
      <w:r>
        <w:t>5) References (Abbreviated)</w:t>
      </w:r>
    </w:p>
    <w:p>
      <w:r>
        <w:t>• HighRadius (Healthcare AR metrics; DSO ~45 days, 2019–2022).</w:t>
      </w:r>
    </w:p>
    <w:p>
      <w:r>
        <w:t>• nVentic Big Pharma Inventory Benchmark 2024 (DIO trends; write-offs).</w:t>
      </w:r>
    </w:p>
    <w:p>
      <w:r>
        <w:t>• SCW.AI (World-class OEE in Pharma 2025; avg ~35%, digitization uplift).</w:t>
      </w:r>
    </w:p>
    <w:p>
      <w:r>
        <w:t>• ISPE/Capgemini PoV on eBR (deviation and cycle-time reductions).</w:t>
      </w:r>
    </w:p>
    <w:p>
      <w:r>
        <w:t>• Gartner Days-to-Close (2024).</w:t>
      </w:r>
    </w:p>
    <w:p>
      <w:r>
        <w:t>• ICH Q9(R1) (EMA Step 5 effective 26/07/2023; US guidance May 2023).</w:t>
      </w:r>
    </w:p>
    <w:p>
      <w:r>
        <w:t>• FDA 21 CFR 211.165; ECA batch uniformity guidance update (2025).</w:t>
      </w:r>
    </w:p>
    <w:p>
      <w:r>
        <w:t>• Statista (Clinical cycle length 2020–2024).</w:t>
      </w:r>
    </w:p>
    <w:p>
      <w:r>
        <w:t>• Deloitte (Pharma R&amp;D returns 2024/2025; cost per asset; cycle time).</w:t>
      </w:r>
    </w:p>
    <w:p>
      <w:r>
        <w:t>• IQVIA Global Trends in R&amp;D 2025 (modalities, cycle time, PoS).</w:t>
      </w:r>
    </w:p>
    <w:p>
      <w:r>
        <w:t>• DT Consulting (Pharma HCP CXQ 2024).</w:t>
      </w:r>
    </w:p>
    <w:p>
      <w:r>
        <w:t>• Surveypal Customer Service Benchmarks (FCR/CSAT ranges).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703E8FD557D4ABDC76C012DE0912F" ma:contentTypeVersion="4" ma:contentTypeDescription="Create a new document." ma:contentTypeScope="" ma:versionID="3594ff27a6083a01f923a47fafd30a7d">
  <xsd:schema xmlns:xsd="http://www.w3.org/2001/XMLSchema" xmlns:xs="http://www.w3.org/2001/XMLSchema" xmlns:p="http://schemas.microsoft.com/office/2006/metadata/properties" xmlns:ns2="1f96a81e-896d-4572-a95f-cc9c67a7cce0" targetNamespace="http://schemas.microsoft.com/office/2006/metadata/properties" ma:root="true" ma:fieldsID="fa3aa9bea87a8b7dae9bf3bd4466efdf" ns2:_="">
    <xsd:import namespace="1f96a81e-896d-4572-a95f-cc9c67a7c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a81e-896d-4572-a95f-cc9c67a7c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42CE15-B03A-4EA2-9C20-E7E315984AAC}"/>
</file>

<file path=customXml/itemProps3.xml><?xml version="1.0" encoding="utf-8"?>
<ds:datastoreItem xmlns:ds="http://schemas.openxmlformats.org/officeDocument/2006/customXml" ds:itemID="{CB5B25F5-04A4-4D35-91D8-77EBA36FDD7A}"/>
</file>

<file path=customXml/itemProps4.xml><?xml version="1.0" encoding="utf-8"?>
<ds:datastoreItem xmlns:ds="http://schemas.openxmlformats.org/officeDocument/2006/customXml" ds:itemID="{9680DE82-64DF-4FA7-A6FA-C030841A20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0x010100A68703E8FD557D4ABDC76C012DE0912F</vt:lpwstr>
  </property>
  <property fmtid="{D5CDD505-2E9C-101B-9397-08002B2CF9AE}" pid="4" name="docLang">
    <vt:lpwstr>en</vt:lpwstr>
  </property>
</Properties>
</file>