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7AE61" w14:textId="77777777" w:rsidR="005D5A40" w:rsidRDefault="005D5A40" w:rsidP="005D5A40">
      <w:pPr>
        <w:jc w:val="center"/>
        <w:rPr>
          <w:b/>
          <w:bCs/>
        </w:rPr>
      </w:pPr>
      <w:r w:rsidRPr="00E55BB7">
        <w:rPr>
          <w:b/>
          <w:bCs/>
        </w:rPr>
        <w:t xml:space="preserve">Data Analysis: </w:t>
      </w:r>
      <w:r>
        <w:rPr>
          <w:b/>
          <w:bCs/>
        </w:rPr>
        <w:t>Personal Income &amp; Homeownership Analysis</w:t>
      </w:r>
    </w:p>
    <w:p w14:paraId="00A9AC7D" w14:textId="77777777" w:rsidR="005D5A40" w:rsidRDefault="005D5A40" w:rsidP="005D5A40">
      <w:pPr>
        <w:rPr>
          <w:rFonts w:eastAsia="Times New Roman" w:cstheme="minorHAnsi"/>
          <w:b/>
          <w:bCs/>
          <w:i/>
          <w:iCs/>
          <w:color w:val="454545"/>
          <w:sz w:val="23"/>
          <w:szCs w:val="23"/>
        </w:rPr>
      </w:pPr>
    </w:p>
    <w:p w14:paraId="084AE472" w14:textId="77777777" w:rsidR="005D5A40" w:rsidRPr="00297D6A" w:rsidRDefault="005D5A40" w:rsidP="005D5A40">
      <w:pPr>
        <w:rPr>
          <w:sz w:val="22"/>
          <w:szCs w:val="22"/>
        </w:rPr>
      </w:pPr>
      <w:r w:rsidRPr="00397420">
        <w:rPr>
          <w:rFonts w:eastAsia="Times New Roman" w:cstheme="minorHAnsi"/>
          <w:b/>
          <w:bCs/>
          <w:i/>
          <w:iCs/>
          <w:color w:val="454545"/>
          <w:sz w:val="22"/>
          <w:szCs w:val="22"/>
        </w:rPr>
        <w:t>Background:</w:t>
      </w:r>
      <w:r>
        <w:rPr>
          <w:rFonts w:eastAsia="Times New Roman" w:cstheme="minorHAnsi"/>
          <w:color w:val="454545"/>
          <w:sz w:val="22"/>
          <w:szCs w:val="22"/>
        </w:rPr>
        <w:t xml:space="preserve"> Should you rent or buy? This longstanding question has caused researchers and prospective buyers to examine the affordability and feasibility of buying a home in the 21</w:t>
      </w:r>
      <w:r w:rsidRPr="001B36C3">
        <w:rPr>
          <w:rFonts w:eastAsia="Times New Roman" w:cstheme="minorHAnsi"/>
          <w:color w:val="454545"/>
          <w:sz w:val="22"/>
          <w:szCs w:val="22"/>
          <w:vertAlign w:val="superscript"/>
        </w:rPr>
        <w:t>st</w:t>
      </w:r>
      <w:r>
        <w:rPr>
          <w:rFonts w:eastAsia="Times New Roman" w:cstheme="minorHAnsi"/>
          <w:color w:val="454545"/>
          <w:sz w:val="22"/>
          <w:szCs w:val="22"/>
        </w:rPr>
        <w:t xml:space="preserve"> century. As home prices steadily rise and individual earnings seemingly not grow at the same rate, many people are opting to remain leasing apartments and renting houses causing many homes for sale to remain on the market of extended periods.</w:t>
      </w:r>
      <w:r>
        <w:rPr>
          <w:sz w:val="22"/>
          <w:szCs w:val="22"/>
        </w:rPr>
        <w:t xml:space="preserve"> </w:t>
      </w:r>
      <w:r w:rsidRPr="00397420">
        <w:rPr>
          <w:rFonts w:eastAsia="Times New Roman" w:cstheme="minorHAnsi"/>
          <w:color w:val="454545"/>
          <w:sz w:val="22"/>
          <w:szCs w:val="22"/>
        </w:rPr>
        <w:t xml:space="preserve">This study is aimed at analyzing personal income and homeownership in the U.S. between January 1987 and </w:t>
      </w:r>
      <w:r>
        <w:rPr>
          <w:rFonts w:eastAsia="Times New Roman" w:cstheme="minorHAnsi"/>
          <w:color w:val="454545"/>
          <w:sz w:val="22"/>
          <w:szCs w:val="22"/>
        </w:rPr>
        <w:t>April</w:t>
      </w:r>
      <w:r w:rsidRPr="00397420">
        <w:rPr>
          <w:rFonts w:eastAsia="Times New Roman" w:cstheme="minorHAnsi"/>
          <w:color w:val="454545"/>
          <w:sz w:val="22"/>
          <w:szCs w:val="22"/>
        </w:rPr>
        <w:t xml:space="preserve"> 202</w:t>
      </w:r>
      <w:r>
        <w:rPr>
          <w:rFonts w:eastAsia="Times New Roman" w:cstheme="minorHAnsi"/>
          <w:color w:val="454545"/>
          <w:sz w:val="22"/>
          <w:szCs w:val="22"/>
        </w:rPr>
        <w:t>4</w:t>
      </w:r>
      <w:r w:rsidRPr="00397420">
        <w:rPr>
          <w:rFonts w:eastAsia="Times New Roman" w:cstheme="minorHAnsi"/>
          <w:color w:val="454545"/>
          <w:sz w:val="22"/>
          <w:szCs w:val="22"/>
        </w:rPr>
        <w:t>, to explore the following questions of interest:</w:t>
      </w:r>
    </w:p>
    <w:p w14:paraId="3C2AA343" w14:textId="77777777" w:rsidR="005D5A40" w:rsidRPr="00397420" w:rsidRDefault="005D5A40" w:rsidP="005D5A40">
      <w:pPr>
        <w:numPr>
          <w:ilvl w:val="0"/>
          <w:numId w:val="1"/>
        </w:numPr>
        <w:spacing w:before="100" w:beforeAutospacing="1" w:after="100" w:afterAutospacing="1"/>
        <w:rPr>
          <w:rFonts w:eastAsia="Times New Roman" w:cstheme="minorHAnsi"/>
          <w:color w:val="454545"/>
          <w:sz w:val="22"/>
          <w:szCs w:val="22"/>
        </w:rPr>
      </w:pPr>
      <w:r w:rsidRPr="00397420">
        <w:rPr>
          <w:rFonts w:eastAsia="Times New Roman" w:cstheme="minorHAnsi"/>
          <w:color w:val="454545"/>
          <w:sz w:val="22"/>
          <w:szCs w:val="22"/>
        </w:rPr>
        <w:t xml:space="preserve">Are there specific characteristics of the time series representing </w:t>
      </w:r>
      <w:r>
        <w:rPr>
          <w:rFonts w:eastAsia="Times New Roman" w:cstheme="minorHAnsi"/>
          <w:color w:val="454545"/>
          <w:sz w:val="22"/>
          <w:szCs w:val="22"/>
        </w:rPr>
        <w:t>disposable income</w:t>
      </w:r>
      <w:r w:rsidRPr="00397420">
        <w:rPr>
          <w:rFonts w:eastAsia="Times New Roman" w:cstheme="minorHAnsi"/>
          <w:color w:val="454545"/>
          <w:sz w:val="22"/>
          <w:szCs w:val="22"/>
        </w:rPr>
        <w:t xml:space="preserve"> that contribute most to the predictability of the time series?</w:t>
      </w:r>
    </w:p>
    <w:p w14:paraId="4AC60902" w14:textId="77777777" w:rsidR="005D5A40" w:rsidRDefault="005D5A40" w:rsidP="005D5A40">
      <w:pPr>
        <w:numPr>
          <w:ilvl w:val="0"/>
          <w:numId w:val="1"/>
        </w:numPr>
        <w:spacing w:before="100" w:beforeAutospacing="1" w:after="100" w:afterAutospacing="1"/>
        <w:rPr>
          <w:rFonts w:eastAsia="Times New Roman" w:cstheme="minorHAnsi"/>
          <w:color w:val="454545"/>
          <w:sz w:val="22"/>
          <w:szCs w:val="22"/>
        </w:rPr>
      </w:pPr>
      <w:r w:rsidRPr="00397420">
        <w:rPr>
          <w:rFonts w:eastAsia="Times New Roman" w:cstheme="minorHAnsi"/>
          <w:color w:val="454545"/>
          <w:sz w:val="22"/>
          <w:szCs w:val="22"/>
        </w:rPr>
        <w:t xml:space="preserve">Is there any relationship between the </w:t>
      </w:r>
      <w:r>
        <w:rPr>
          <w:rFonts w:eastAsia="Times New Roman" w:cstheme="minorHAnsi"/>
          <w:color w:val="454545"/>
          <w:sz w:val="22"/>
          <w:szCs w:val="22"/>
        </w:rPr>
        <w:t>personal income</w:t>
      </w:r>
      <w:r w:rsidRPr="00397420">
        <w:rPr>
          <w:rFonts w:eastAsia="Times New Roman" w:cstheme="minorHAnsi"/>
          <w:color w:val="454545"/>
          <w:sz w:val="22"/>
          <w:szCs w:val="22"/>
        </w:rPr>
        <w:t xml:space="preserve"> &amp; </w:t>
      </w:r>
      <w:r>
        <w:rPr>
          <w:rFonts w:eastAsia="Times New Roman" w:cstheme="minorHAnsi"/>
          <w:color w:val="454545"/>
          <w:sz w:val="22"/>
          <w:szCs w:val="22"/>
        </w:rPr>
        <w:t>the home price index?</w:t>
      </w:r>
    </w:p>
    <w:p w14:paraId="08BED501" w14:textId="77777777" w:rsidR="005979C6" w:rsidRPr="005979C6" w:rsidRDefault="005979C6" w:rsidP="005979C6">
      <w:pPr>
        <w:numPr>
          <w:ilvl w:val="0"/>
          <w:numId w:val="1"/>
        </w:numPr>
        <w:spacing w:before="100" w:beforeAutospacing="1" w:after="100" w:afterAutospacing="1"/>
        <w:rPr>
          <w:rFonts w:eastAsia="Times New Roman" w:cstheme="minorHAnsi"/>
          <w:color w:val="454545"/>
          <w:sz w:val="22"/>
          <w:szCs w:val="22"/>
        </w:rPr>
      </w:pPr>
      <w:r>
        <w:rPr>
          <w:rFonts w:eastAsia="Times New Roman" w:cstheme="minorHAnsi"/>
          <w:color w:val="454545"/>
          <w:sz w:val="22"/>
          <w:szCs w:val="22"/>
        </w:rPr>
        <w:t>Are there external or exogeneous factors that help in predicting homeownership?</w:t>
      </w:r>
    </w:p>
    <w:p w14:paraId="0510FB72" w14:textId="1BFE4BA0" w:rsidR="005D5A40" w:rsidRPr="005979C6" w:rsidRDefault="005D5A40" w:rsidP="005979C6">
      <w:pPr>
        <w:spacing w:before="100" w:beforeAutospacing="1" w:after="100" w:afterAutospacing="1"/>
        <w:rPr>
          <w:rFonts w:eastAsia="Times New Roman" w:cstheme="minorHAnsi"/>
          <w:color w:val="454545"/>
          <w:sz w:val="22"/>
          <w:szCs w:val="22"/>
        </w:rPr>
      </w:pPr>
      <w:r w:rsidRPr="005979C6">
        <w:rPr>
          <w:rFonts w:eastAsia="Times New Roman" w:cstheme="minorHAnsi"/>
          <w:color w:val="454545"/>
          <w:sz w:val="22"/>
          <w:szCs w:val="22"/>
        </w:rPr>
        <w:t>The data was acquired from U.S. Bureau of Economic Analysis, S&amp;P Dow Jones Indices LLC, U.S. Census Bureau, and Board of Governors of the Federal Reserve System (US) and contains roughly 442 records of monthly data and 148 records of quarterly data. The dataset variables are below. The dataset of interest is in the following: Real Disposable Personal Income.csv and Homeownership Rate in the United States.csv.</w:t>
      </w:r>
    </w:p>
    <w:p w14:paraId="778AEF45" w14:textId="77777777" w:rsidR="005D5A40" w:rsidRDefault="005D5A40" w:rsidP="005D5A40"/>
    <w:tbl>
      <w:tblPr>
        <w:tblStyle w:val="Tablanormal4"/>
        <w:tblW w:w="0" w:type="auto"/>
        <w:jc w:val="center"/>
        <w:tblLook w:val="04A0" w:firstRow="1" w:lastRow="0" w:firstColumn="1" w:lastColumn="0" w:noHBand="0" w:noVBand="1"/>
      </w:tblPr>
      <w:tblGrid>
        <w:gridCol w:w="3960"/>
        <w:gridCol w:w="5390"/>
      </w:tblGrid>
      <w:tr w:rsidR="005D5A40" w14:paraId="7563250B" w14:textId="77777777" w:rsidTr="000817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280A2660"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Real Disposable Personal Income</w:t>
            </w:r>
          </w:p>
          <w:p w14:paraId="286EF18A" w14:textId="77777777" w:rsidR="005D5A40" w:rsidRPr="009B75C6" w:rsidRDefault="005D5A40" w:rsidP="00081709">
            <w:pPr>
              <w:rPr>
                <w:rFonts w:eastAsia="Times New Roman" w:cstheme="minorHAnsi"/>
                <w:color w:val="454545"/>
                <w:sz w:val="16"/>
                <w:szCs w:val="16"/>
              </w:rPr>
            </w:pPr>
            <w:hyperlink r:id="rId5" w:history="1">
              <w:r w:rsidRPr="009B75C6">
                <w:rPr>
                  <w:rFonts w:eastAsia="Times New Roman" w:cstheme="minorHAnsi"/>
                  <w:color w:val="454545"/>
                  <w:sz w:val="16"/>
                  <w:szCs w:val="16"/>
                </w:rPr>
                <w:t>https://fred.stlouisfed.org/series/DSPIC96</w:t>
              </w:r>
            </w:hyperlink>
          </w:p>
          <w:p w14:paraId="43350B9B" w14:textId="77777777" w:rsidR="005D5A40" w:rsidRPr="009B75C6" w:rsidRDefault="005D5A40" w:rsidP="00081709">
            <w:pPr>
              <w:rPr>
                <w:rFonts w:eastAsia="Times New Roman" w:cstheme="minorHAnsi"/>
                <w:color w:val="454545"/>
                <w:sz w:val="16"/>
                <w:szCs w:val="16"/>
              </w:rPr>
            </w:pPr>
          </w:p>
        </w:tc>
        <w:tc>
          <w:tcPr>
            <w:tcW w:w="5390" w:type="dxa"/>
          </w:tcPr>
          <w:p w14:paraId="650B164B" w14:textId="77777777" w:rsidR="005D5A40" w:rsidRPr="009B75C6" w:rsidRDefault="005D5A40" w:rsidP="00081709">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454545"/>
                <w:sz w:val="16"/>
                <w:szCs w:val="16"/>
              </w:rPr>
            </w:pPr>
            <w:r w:rsidRPr="009B75C6">
              <w:rPr>
                <w:rFonts w:eastAsia="Times New Roman" w:cstheme="minorHAnsi"/>
                <w:b w:val="0"/>
                <w:bCs w:val="0"/>
                <w:color w:val="454545"/>
                <w:sz w:val="16"/>
                <w:szCs w:val="16"/>
              </w:rPr>
              <w:t>Billons of Chained 2017 Dollars, Seasonally Adjusted Annual Rate; Monthly</w:t>
            </w:r>
          </w:p>
        </w:tc>
      </w:tr>
      <w:tr w:rsidR="005D5A40" w14:paraId="1240FFDE"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7791031D"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Personal Saving Rate</w:t>
            </w:r>
          </w:p>
          <w:p w14:paraId="113173F0" w14:textId="77777777" w:rsidR="005D5A40" w:rsidRPr="009B75C6" w:rsidRDefault="005D5A40" w:rsidP="00081709">
            <w:pPr>
              <w:rPr>
                <w:rFonts w:eastAsia="Times New Roman" w:cstheme="minorHAnsi"/>
                <w:color w:val="454545"/>
                <w:sz w:val="16"/>
                <w:szCs w:val="16"/>
              </w:rPr>
            </w:pPr>
            <w:hyperlink r:id="rId6" w:history="1">
              <w:r w:rsidRPr="009B75C6">
                <w:rPr>
                  <w:rFonts w:eastAsia="Times New Roman" w:cstheme="minorHAnsi"/>
                  <w:color w:val="454545"/>
                  <w:sz w:val="16"/>
                  <w:szCs w:val="16"/>
                </w:rPr>
                <w:t>https://fred.stlouisfed.org/series/PSAVERT</w:t>
              </w:r>
            </w:hyperlink>
          </w:p>
          <w:p w14:paraId="3139702A" w14:textId="77777777" w:rsidR="005D5A40" w:rsidRPr="009B75C6" w:rsidRDefault="005D5A40" w:rsidP="00081709">
            <w:pPr>
              <w:rPr>
                <w:rFonts w:eastAsia="Times New Roman" w:cstheme="minorHAnsi"/>
                <w:color w:val="454545"/>
                <w:sz w:val="16"/>
                <w:szCs w:val="16"/>
              </w:rPr>
            </w:pPr>
          </w:p>
        </w:tc>
        <w:tc>
          <w:tcPr>
            <w:tcW w:w="5390" w:type="dxa"/>
          </w:tcPr>
          <w:p w14:paraId="0390DB05"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Percent, Seasonally Adjusted Annual Rate; Monthly</w:t>
            </w:r>
          </w:p>
          <w:p w14:paraId="672F0789"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Personal saving as a percentage of disposable personal income (DPI), frequently referred to as "the personal saving rate," is calculated as the ratio of personal saving to DPI.</w:t>
            </w:r>
            <w:r w:rsidRPr="0050774D">
              <w:rPr>
                <w:rFonts w:eastAsia="Times New Roman" w:cstheme="minorHAnsi"/>
                <w:color w:val="454545"/>
                <w:sz w:val="16"/>
                <w:szCs w:val="16"/>
              </w:rPr>
              <w:br/>
              <w:t>Personal saving is equal to personal income less personal outlays and personal taxes; it may generally be viewed as the portion of personal income that is used either to provide funds to capital markets or to invest in real assets such as residences.</w:t>
            </w:r>
          </w:p>
        </w:tc>
      </w:tr>
      <w:tr w:rsidR="005D5A40" w14:paraId="0149CB2E"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62A4AD1B"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S&amp;P CoreLogic Case-Shiller U.S. National Home Price Index </w:t>
            </w:r>
          </w:p>
          <w:p w14:paraId="6291CD42" w14:textId="77777777" w:rsidR="005D5A40" w:rsidRPr="009B75C6" w:rsidRDefault="005D5A40" w:rsidP="00081709">
            <w:pPr>
              <w:rPr>
                <w:rFonts w:eastAsia="Times New Roman" w:cstheme="minorHAnsi"/>
                <w:color w:val="454545"/>
                <w:sz w:val="16"/>
                <w:szCs w:val="16"/>
              </w:rPr>
            </w:pPr>
            <w:hyperlink r:id="rId7" w:history="1">
              <w:r w:rsidRPr="009B75C6">
                <w:rPr>
                  <w:rStyle w:val="Hipervnculo"/>
                  <w:rFonts w:eastAsia="Times New Roman" w:cstheme="minorHAnsi"/>
                  <w:sz w:val="16"/>
                  <w:szCs w:val="16"/>
                  <w:u w:val="none"/>
                </w:rPr>
                <w:t>https://fred.stlouisfed.org/series/CSUSHPINSA</w:t>
              </w:r>
            </w:hyperlink>
          </w:p>
          <w:p w14:paraId="0E7C3EC3" w14:textId="77777777" w:rsidR="005D5A40" w:rsidRPr="009B75C6" w:rsidRDefault="005D5A40" w:rsidP="00081709">
            <w:pPr>
              <w:rPr>
                <w:rFonts w:eastAsia="Times New Roman" w:cstheme="minorHAnsi"/>
                <w:color w:val="454545"/>
                <w:sz w:val="16"/>
                <w:szCs w:val="16"/>
              </w:rPr>
            </w:pPr>
          </w:p>
        </w:tc>
        <w:tc>
          <w:tcPr>
            <w:tcW w:w="5390" w:type="dxa"/>
          </w:tcPr>
          <w:p w14:paraId="4F8073E3"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Index Jan 2000=100, Not Seasonally Adjusted; Monthly</w:t>
            </w:r>
          </w:p>
          <w:p w14:paraId="0DEABC63"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p>
        </w:tc>
      </w:tr>
      <w:tr w:rsidR="005D5A40" w14:paraId="4C742731"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07045372"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Consumer Debt Service Payments as a Percent of Disposable Personal Income </w:t>
            </w:r>
          </w:p>
          <w:p w14:paraId="4C01E494" w14:textId="77777777" w:rsidR="005D5A40" w:rsidRPr="009B75C6" w:rsidRDefault="005D5A40" w:rsidP="00081709">
            <w:pPr>
              <w:rPr>
                <w:rFonts w:eastAsia="Times New Roman" w:cstheme="minorHAnsi"/>
                <w:color w:val="454545"/>
                <w:sz w:val="16"/>
                <w:szCs w:val="16"/>
              </w:rPr>
            </w:pPr>
            <w:hyperlink r:id="rId8" w:history="1">
              <w:r w:rsidRPr="009B75C6">
                <w:rPr>
                  <w:rStyle w:val="Hipervnculo"/>
                  <w:rFonts w:eastAsia="Times New Roman" w:cstheme="minorHAnsi"/>
                  <w:sz w:val="16"/>
                  <w:szCs w:val="16"/>
                  <w:u w:val="none"/>
                </w:rPr>
                <w:t>https://fred.stlouisfed.org/series/CDSP</w:t>
              </w:r>
            </w:hyperlink>
          </w:p>
          <w:p w14:paraId="7FAACE87" w14:textId="77777777" w:rsidR="005D5A40" w:rsidRPr="009B75C6" w:rsidRDefault="005D5A40" w:rsidP="00081709">
            <w:pPr>
              <w:rPr>
                <w:rFonts w:eastAsia="Times New Roman" w:cstheme="minorHAnsi"/>
                <w:color w:val="454545"/>
                <w:sz w:val="16"/>
                <w:szCs w:val="16"/>
              </w:rPr>
            </w:pPr>
          </w:p>
        </w:tc>
        <w:tc>
          <w:tcPr>
            <w:tcW w:w="5390" w:type="dxa"/>
          </w:tcPr>
          <w:p w14:paraId="56C20196"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Percent, Seasonally Adjusted; Quarterly</w:t>
            </w:r>
          </w:p>
          <w:p w14:paraId="6BC3AA96"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The </w:t>
            </w:r>
            <w:hyperlink r:id="rId9" w:history="1">
              <w:r w:rsidRPr="0050774D">
                <w:rPr>
                  <w:rFonts w:eastAsia="Times New Roman" w:cstheme="minorHAnsi"/>
                  <w:color w:val="454545"/>
                  <w:sz w:val="16"/>
                  <w:szCs w:val="16"/>
                </w:rPr>
                <w:t>Household Debt Service Ratio (DSR)</w:t>
              </w:r>
            </w:hyperlink>
            <w:r w:rsidRPr="0050774D">
              <w:rPr>
                <w:rFonts w:eastAsia="Times New Roman" w:cstheme="minorHAnsi"/>
                <w:color w:val="454545"/>
                <w:sz w:val="16"/>
                <w:szCs w:val="16"/>
              </w:rPr>
              <w:t> is the ratio of total required household debt payments to total disposable income. The DSR is divided into two parts. The Mortgage DSR </w:t>
            </w:r>
            <w:hyperlink r:id="rId10" w:history="1">
              <w:r w:rsidRPr="0050774D">
                <w:rPr>
                  <w:rFonts w:eastAsia="Times New Roman" w:cstheme="minorHAnsi"/>
                  <w:color w:val="454545"/>
                  <w:sz w:val="16"/>
                  <w:szCs w:val="16"/>
                </w:rPr>
                <w:t>(MDSP)</w:t>
              </w:r>
            </w:hyperlink>
            <w:r w:rsidRPr="0050774D">
              <w:rPr>
                <w:rFonts w:eastAsia="Times New Roman" w:cstheme="minorHAnsi"/>
                <w:color w:val="454545"/>
                <w:sz w:val="16"/>
                <w:szCs w:val="16"/>
              </w:rPr>
              <w:t> is total quarterly required mortgage payments divided by total quarterly disposable personal income. The Consumer DSR </w:t>
            </w:r>
            <w:hyperlink r:id="rId11" w:history="1">
              <w:r w:rsidRPr="0050774D">
                <w:rPr>
                  <w:rFonts w:eastAsia="Times New Roman" w:cstheme="minorHAnsi"/>
                  <w:color w:val="454545"/>
                  <w:sz w:val="16"/>
                  <w:szCs w:val="16"/>
                </w:rPr>
                <w:t>(CDSP)</w:t>
              </w:r>
            </w:hyperlink>
            <w:r w:rsidRPr="0050774D">
              <w:rPr>
                <w:rFonts w:eastAsia="Times New Roman" w:cstheme="minorHAnsi"/>
                <w:color w:val="454545"/>
                <w:sz w:val="16"/>
                <w:szCs w:val="16"/>
              </w:rPr>
              <w:t> is total quarterly scheduled consumer debt payments divided by total quarterly disposable personal income. The Mortgage DSR and the Consumer DSR sum to the DSR.</w:t>
            </w:r>
          </w:p>
        </w:tc>
      </w:tr>
      <w:tr w:rsidR="005D5A40" w14:paraId="78B4294C"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1F104F74"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Household Debt Service Payments as a Percent of Disposable Personal Income</w:t>
            </w:r>
          </w:p>
          <w:p w14:paraId="4FC4E803" w14:textId="77777777" w:rsidR="005D5A40" w:rsidRDefault="005D5A40" w:rsidP="00081709">
            <w:pPr>
              <w:rPr>
                <w:rFonts w:eastAsia="Times New Roman" w:cstheme="minorHAnsi"/>
                <w:b w:val="0"/>
                <w:bCs w:val="0"/>
                <w:color w:val="454545"/>
                <w:sz w:val="16"/>
                <w:szCs w:val="16"/>
              </w:rPr>
            </w:pPr>
            <w:hyperlink r:id="rId12" w:history="1">
              <w:r w:rsidRPr="009B75C6">
                <w:rPr>
                  <w:rStyle w:val="Hipervnculo"/>
                  <w:rFonts w:eastAsia="Times New Roman" w:cstheme="minorHAnsi"/>
                  <w:sz w:val="16"/>
                  <w:szCs w:val="16"/>
                  <w:u w:val="none"/>
                </w:rPr>
                <w:t>https://fred.stlouisfed.org/series/TDSP</w:t>
              </w:r>
            </w:hyperlink>
          </w:p>
          <w:p w14:paraId="500590E2" w14:textId="77777777" w:rsidR="005D5A40" w:rsidRPr="009B75C6" w:rsidRDefault="005D5A40" w:rsidP="00081709">
            <w:pPr>
              <w:rPr>
                <w:rFonts w:eastAsia="Times New Roman" w:cstheme="minorHAnsi"/>
                <w:color w:val="454545"/>
                <w:sz w:val="16"/>
                <w:szCs w:val="16"/>
              </w:rPr>
            </w:pPr>
          </w:p>
        </w:tc>
        <w:tc>
          <w:tcPr>
            <w:tcW w:w="5390" w:type="dxa"/>
          </w:tcPr>
          <w:p w14:paraId="0094071F"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Percent, Seasonally Adjusted</w:t>
            </w:r>
            <w:r>
              <w:rPr>
                <w:rFonts w:eastAsia="Times New Roman" w:cstheme="minorHAnsi"/>
                <w:color w:val="454545"/>
                <w:sz w:val="16"/>
                <w:szCs w:val="16"/>
              </w:rPr>
              <w:t xml:space="preserve">; </w:t>
            </w:r>
            <w:r w:rsidRPr="0050774D">
              <w:rPr>
                <w:rFonts w:eastAsia="Times New Roman" w:cstheme="minorHAnsi"/>
                <w:color w:val="454545"/>
                <w:sz w:val="16"/>
                <w:szCs w:val="16"/>
              </w:rPr>
              <w:t>Quarterly</w:t>
            </w:r>
          </w:p>
          <w:p w14:paraId="49E1DBA5"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p>
        </w:tc>
      </w:tr>
      <w:tr w:rsidR="005D5A40" w14:paraId="627C7C8D"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32A1448B"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Homeownership Rate in the United States</w:t>
            </w:r>
          </w:p>
          <w:p w14:paraId="6FCF4C9A" w14:textId="77777777" w:rsidR="005D5A40" w:rsidRPr="009B75C6" w:rsidRDefault="005D5A40" w:rsidP="00081709">
            <w:pPr>
              <w:rPr>
                <w:rFonts w:eastAsia="Times New Roman" w:cstheme="minorHAnsi"/>
                <w:color w:val="454545"/>
                <w:sz w:val="16"/>
                <w:szCs w:val="16"/>
              </w:rPr>
            </w:pPr>
            <w:hyperlink r:id="rId13" w:history="1">
              <w:r w:rsidRPr="009B75C6">
                <w:rPr>
                  <w:rStyle w:val="Hipervnculo"/>
                  <w:rFonts w:eastAsia="Times New Roman" w:cstheme="minorHAnsi"/>
                  <w:sz w:val="16"/>
                  <w:szCs w:val="16"/>
                  <w:u w:val="none"/>
                </w:rPr>
                <w:t>https://fred.stlouisfed.org/series/RHORUSQ156N</w:t>
              </w:r>
            </w:hyperlink>
          </w:p>
        </w:tc>
        <w:tc>
          <w:tcPr>
            <w:tcW w:w="5390" w:type="dxa"/>
          </w:tcPr>
          <w:p w14:paraId="7EBAB46A"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Percent, Not Seasonally Adjusted</w:t>
            </w:r>
            <w:r>
              <w:rPr>
                <w:rFonts w:eastAsia="Times New Roman" w:cstheme="minorHAnsi"/>
                <w:color w:val="454545"/>
                <w:sz w:val="16"/>
                <w:szCs w:val="16"/>
              </w:rPr>
              <w:t xml:space="preserve">; </w:t>
            </w:r>
            <w:r w:rsidRPr="0050774D">
              <w:rPr>
                <w:rFonts w:eastAsia="Times New Roman" w:cstheme="minorHAnsi"/>
                <w:color w:val="454545"/>
                <w:sz w:val="16"/>
                <w:szCs w:val="16"/>
              </w:rPr>
              <w:t>Quarterly</w:t>
            </w:r>
          </w:p>
          <w:p w14:paraId="5BA84C1B"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The homeownership rate is the proportion of households that is owner-occupied.</w:t>
            </w:r>
          </w:p>
        </w:tc>
      </w:tr>
      <w:tr w:rsidR="005D5A40" w14:paraId="650D86F4"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5CC317C5"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Mortgage Debt Service Payments as a Percent of Disposable Personal Income </w:t>
            </w:r>
          </w:p>
          <w:p w14:paraId="4373C5A5" w14:textId="77777777" w:rsidR="005D5A40" w:rsidRDefault="005D5A40" w:rsidP="00081709">
            <w:pPr>
              <w:rPr>
                <w:rFonts w:eastAsia="Times New Roman" w:cstheme="minorHAnsi"/>
                <w:b w:val="0"/>
                <w:bCs w:val="0"/>
                <w:color w:val="454545"/>
                <w:sz w:val="16"/>
                <w:szCs w:val="16"/>
              </w:rPr>
            </w:pPr>
            <w:hyperlink r:id="rId14" w:history="1">
              <w:r w:rsidRPr="009B75C6">
                <w:rPr>
                  <w:rStyle w:val="Hipervnculo"/>
                  <w:rFonts w:eastAsia="Times New Roman" w:cstheme="minorHAnsi"/>
                  <w:sz w:val="16"/>
                  <w:szCs w:val="16"/>
                  <w:u w:val="none"/>
                </w:rPr>
                <w:t>https://fred.stlouisfed.org/series/MDSP</w:t>
              </w:r>
            </w:hyperlink>
          </w:p>
          <w:p w14:paraId="4B72260E" w14:textId="77777777" w:rsidR="005D5A40" w:rsidRPr="009B75C6" w:rsidRDefault="005D5A40" w:rsidP="00081709">
            <w:pPr>
              <w:rPr>
                <w:rFonts w:eastAsia="Times New Roman" w:cstheme="minorHAnsi"/>
                <w:color w:val="454545"/>
                <w:sz w:val="16"/>
                <w:szCs w:val="16"/>
              </w:rPr>
            </w:pPr>
          </w:p>
        </w:tc>
        <w:tc>
          <w:tcPr>
            <w:tcW w:w="5390" w:type="dxa"/>
          </w:tcPr>
          <w:p w14:paraId="752ABC20"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Percent, Seasonally Adjusted</w:t>
            </w:r>
            <w:r>
              <w:rPr>
                <w:rFonts w:eastAsia="Times New Roman" w:cstheme="minorHAnsi"/>
                <w:color w:val="454545"/>
                <w:sz w:val="16"/>
                <w:szCs w:val="16"/>
              </w:rPr>
              <w:t xml:space="preserve">; </w:t>
            </w:r>
            <w:r w:rsidRPr="0050774D">
              <w:rPr>
                <w:rFonts w:eastAsia="Times New Roman" w:cstheme="minorHAnsi"/>
                <w:color w:val="454545"/>
                <w:sz w:val="16"/>
                <w:szCs w:val="16"/>
              </w:rPr>
              <w:t>Quarterly</w:t>
            </w:r>
          </w:p>
          <w:p w14:paraId="03801E0D"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p>
        </w:tc>
      </w:tr>
      <w:tr w:rsidR="005D5A40" w14:paraId="5EE47E48"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52FF1B40"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Homeowner Vacancy Rate in the United States</w:t>
            </w:r>
          </w:p>
          <w:p w14:paraId="1FC55393" w14:textId="77777777" w:rsidR="005D5A40" w:rsidRPr="009B75C6" w:rsidRDefault="005D5A40" w:rsidP="00081709">
            <w:pPr>
              <w:rPr>
                <w:rFonts w:eastAsia="Times New Roman" w:cstheme="minorHAnsi"/>
                <w:color w:val="454545"/>
                <w:sz w:val="16"/>
                <w:szCs w:val="16"/>
              </w:rPr>
            </w:pPr>
            <w:hyperlink r:id="rId15" w:history="1">
              <w:r w:rsidRPr="009B75C6">
                <w:rPr>
                  <w:rStyle w:val="Hipervnculo"/>
                  <w:rFonts w:eastAsia="Times New Roman" w:cstheme="minorHAnsi"/>
                  <w:sz w:val="16"/>
                  <w:szCs w:val="16"/>
                  <w:u w:val="none"/>
                </w:rPr>
                <w:t>https://fred.stlouisfed.org/series/RHVRUSQ156N</w:t>
              </w:r>
            </w:hyperlink>
          </w:p>
          <w:p w14:paraId="7023E266" w14:textId="77777777" w:rsidR="005D5A40" w:rsidRPr="009B75C6" w:rsidRDefault="005D5A40" w:rsidP="00081709">
            <w:pPr>
              <w:rPr>
                <w:rFonts w:eastAsia="Times New Roman" w:cstheme="minorHAnsi"/>
                <w:color w:val="454545"/>
                <w:sz w:val="16"/>
                <w:szCs w:val="16"/>
              </w:rPr>
            </w:pPr>
          </w:p>
        </w:tc>
        <w:tc>
          <w:tcPr>
            <w:tcW w:w="5390" w:type="dxa"/>
          </w:tcPr>
          <w:p w14:paraId="2BB16582"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Percent, Not Seasonally Adjusted</w:t>
            </w:r>
            <w:r>
              <w:rPr>
                <w:rFonts w:eastAsia="Times New Roman" w:cstheme="minorHAnsi"/>
                <w:color w:val="454545"/>
                <w:sz w:val="16"/>
                <w:szCs w:val="16"/>
              </w:rPr>
              <w:t xml:space="preserve">; </w:t>
            </w:r>
            <w:r w:rsidRPr="0050774D">
              <w:rPr>
                <w:rFonts w:eastAsia="Times New Roman" w:cstheme="minorHAnsi"/>
                <w:color w:val="454545"/>
                <w:sz w:val="16"/>
                <w:szCs w:val="16"/>
              </w:rPr>
              <w:t>Quarterly</w:t>
            </w:r>
          </w:p>
          <w:p w14:paraId="4F8FE8D8"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The homeowner vacancy rate is the proportion of the homeowner inventory that is vacant for sale.</w:t>
            </w:r>
          </w:p>
        </w:tc>
      </w:tr>
      <w:tr w:rsidR="005D5A40" w14:paraId="3A3E7BDE"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7ECD8BDC"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Rental Vacancy Rate in the United States</w:t>
            </w:r>
          </w:p>
          <w:p w14:paraId="2E7B72DB" w14:textId="77777777" w:rsidR="005D5A40" w:rsidRPr="009B75C6" w:rsidRDefault="005D5A40" w:rsidP="00081709">
            <w:pPr>
              <w:rPr>
                <w:rFonts w:eastAsia="Times New Roman" w:cstheme="minorHAnsi"/>
                <w:color w:val="454545"/>
                <w:sz w:val="16"/>
                <w:szCs w:val="16"/>
              </w:rPr>
            </w:pPr>
            <w:hyperlink r:id="rId16" w:history="1">
              <w:r w:rsidRPr="009B75C6">
                <w:rPr>
                  <w:rStyle w:val="Hipervnculo"/>
                  <w:rFonts w:eastAsia="Times New Roman" w:cstheme="minorHAnsi"/>
                  <w:sz w:val="16"/>
                  <w:szCs w:val="16"/>
                  <w:u w:val="none"/>
                </w:rPr>
                <w:t>https://fred.stlouisfed.org/series/RRVRUSQ156N</w:t>
              </w:r>
            </w:hyperlink>
          </w:p>
          <w:p w14:paraId="50F1FFAB" w14:textId="77777777" w:rsidR="005D5A40" w:rsidRPr="009B75C6" w:rsidRDefault="005D5A40" w:rsidP="00081709">
            <w:pPr>
              <w:rPr>
                <w:rFonts w:eastAsia="Times New Roman" w:cstheme="minorHAnsi"/>
                <w:color w:val="454545"/>
                <w:sz w:val="16"/>
                <w:szCs w:val="16"/>
              </w:rPr>
            </w:pPr>
          </w:p>
        </w:tc>
        <w:tc>
          <w:tcPr>
            <w:tcW w:w="5390" w:type="dxa"/>
          </w:tcPr>
          <w:p w14:paraId="6EEA213A"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Percent, Not Seasonally Adjusted</w:t>
            </w:r>
            <w:r>
              <w:rPr>
                <w:rFonts w:eastAsia="Times New Roman" w:cstheme="minorHAnsi"/>
                <w:color w:val="454545"/>
                <w:sz w:val="16"/>
                <w:szCs w:val="16"/>
              </w:rPr>
              <w:t xml:space="preserve">; </w:t>
            </w:r>
            <w:r w:rsidRPr="0050774D">
              <w:rPr>
                <w:rFonts w:eastAsia="Times New Roman" w:cstheme="minorHAnsi"/>
                <w:color w:val="454545"/>
                <w:sz w:val="16"/>
                <w:szCs w:val="16"/>
              </w:rPr>
              <w:t>Quarterly</w:t>
            </w:r>
          </w:p>
          <w:p w14:paraId="2709B3AB" w14:textId="77777777" w:rsidR="005D5A40" w:rsidRPr="0050774D" w:rsidRDefault="005D5A40"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The rental vacancy rate is the proportion of the rental inventory that is vacant for rent.</w:t>
            </w:r>
          </w:p>
        </w:tc>
      </w:tr>
      <w:tr w:rsidR="005D5A40" w14:paraId="11F83B1D"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0A22B7D6" w14:textId="77777777" w:rsidR="005D5A40" w:rsidRPr="009B75C6" w:rsidRDefault="005D5A40" w:rsidP="00081709">
            <w:pPr>
              <w:rPr>
                <w:rFonts w:eastAsia="Times New Roman" w:cstheme="minorHAnsi"/>
                <w:color w:val="454545"/>
                <w:sz w:val="16"/>
                <w:szCs w:val="16"/>
              </w:rPr>
            </w:pPr>
            <w:r w:rsidRPr="009B75C6">
              <w:rPr>
                <w:rFonts w:eastAsia="Times New Roman" w:cstheme="minorHAnsi"/>
                <w:color w:val="454545"/>
                <w:sz w:val="16"/>
                <w:szCs w:val="16"/>
              </w:rPr>
              <w:t>30-Year Fixed Rate Mortgage Average in the United States</w:t>
            </w:r>
          </w:p>
          <w:p w14:paraId="70F34B74" w14:textId="77777777" w:rsidR="005D5A40" w:rsidRPr="009B75C6" w:rsidRDefault="005D5A40" w:rsidP="00081709">
            <w:pPr>
              <w:rPr>
                <w:rFonts w:eastAsia="Times New Roman" w:cstheme="minorHAnsi"/>
                <w:color w:val="454545"/>
                <w:sz w:val="16"/>
                <w:szCs w:val="16"/>
              </w:rPr>
            </w:pPr>
            <w:hyperlink r:id="rId17" w:history="1">
              <w:r w:rsidRPr="009B75C6">
                <w:rPr>
                  <w:rFonts w:eastAsia="Times New Roman" w:cstheme="minorHAnsi"/>
                  <w:color w:val="454545"/>
                  <w:sz w:val="16"/>
                  <w:szCs w:val="16"/>
                </w:rPr>
                <w:t>https://fred.stlouisfed.org/series/MORTGAGE30US</w:t>
              </w:r>
            </w:hyperlink>
            <w:r w:rsidRPr="009B75C6">
              <w:rPr>
                <w:rFonts w:eastAsia="Times New Roman" w:cstheme="minorHAnsi"/>
                <w:color w:val="454545"/>
                <w:sz w:val="16"/>
                <w:szCs w:val="16"/>
              </w:rPr>
              <w:t xml:space="preserve"> </w:t>
            </w:r>
          </w:p>
        </w:tc>
        <w:tc>
          <w:tcPr>
            <w:tcW w:w="5390" w:type="dxa"/>
          </w:tcPr>
          <w:p w14:paraId="40A2A29E"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50774D">
              <w:rPr>
                <w:rFonts w:eastAsia="Times New Roman" w:cstheme="minorHAnsi"/>
                <w:color w:val="454545"/>
                <w:sz w:val="16"/>
                <w:szCs w:val="16"/>
              </w:rPr>
              <w:t>Average Percent, Not Seasonally Adjusted</w:t>
            </w:r>
            <w:r>
              <w:rPr>
                <w:rFonts w:eastAsia="Times New Roman" w:cstheme="minorHAnsi"/>
                <w:color w:val="454545"/>
                <w:sz w:val="16"/>
                <w:szCs w:val="16"/>
              </w:rPr>
              <w:t xml:space="preserve">; </w:t>
            </w:r>
            <w:r w:rsidRPr="0050774D">
              <w:rPr>
                <w:rFonts w:eastAsia="Times New Roman" w:cstheme="minorHAnsi"/>
                <w:color w:val="454545"/>
                <w:sz w:val="16"/>
                <w:szCs w:val="16"/>
              </w:rPr>
              <w:t>Aggregated monthly</w:t>
            </w:r>
          </w:p>
          <w:p w14:paraId="3A455C71" w14:textId="77777777" w:rsidR="005D5A40" w:rsidRPr="0050774D" w:rsidRDefault="005D5A40"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p>
        </w:tc>
      </w:tr>
    </w:tbl>
    <w:p w14:paraId="1B997227" w14:textId="77777777" w:rsidR="00C51B55" w:rsidRDefault="00C51B55"/>
    <w:sectPr w:rsidR="00C51B55" w:rsidSect="005D5A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0832C3"/>
    <w:multiLevelType w:val="hybridMultilevel"/>
    <w:tmpl w:val="60A06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672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40"/>
    <w:rsid w:val="003E1C48"/>
    <w:rsid w:val="005979C6"/>
    <w:rsid w:val="005C7437"/>
    <w:rsid w:val="005D5A40"/>
    <w:rsid w:val="00625CA4"/>
    <w:rsid w:val="00C51B55"/>
    <w:rsid w:val="00C935BD"/>
    <w:rsid w:val="00F77C9F"/>
    <w:rsid w:val="00FB7BC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3EB6"/>
  <w15:chartTrackingRefBased/>
  <w15:docId w15:val="{30F0E860-39F4-774F-8DED-CD17A1E0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A40"/>
    <w:rPr>
      <w:kern w:val="0"/>
      <w:lang w:val="en-US"/>
      <w14:ligatures w14:val="none"/>
    </w:rPr>
  </w:style>
  <w:style w:type="paragraph" w:styleId="Ttulo1">
    <w:name w:val="heading 1"/>
    <w:basedOn w:val="Normal"/>
    <w:next w:val="Normal"/>
    <w:link w:val="Ttulo1Car"/>
    <w:uiPriority w:val="9"/>
    <w:qFormat/>
    <w:rsid w:val="005D5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5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5A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5A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5A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5A4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5A4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5A4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5A4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A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5A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5A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5A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5A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5A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5A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5A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5A40"/>
    <w:rPr>
      <w:rFonts w:eastAsiaTheme="majorEastAsia" w:cstheme="majorBidi"/>
      <w:color w:val="272727" w:themeColor="text1" w:themeTint="D8"/>
    </w:rPr>
  </w:style>
  <w:style w:type="paragraph" w:styleId="Ttulo">
    <w:name w:val="Title"/>
    <w:basedOn w:val="Normal"/>
    <w:next w:val="Normal"/>
    <w:link w:val="TtuloCar"/>
    <w:uiPriority w:val="10"/>
    <w:qFormat/>
    <w:rsid w:val="005D5A4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5A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5A4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5A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5A4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D5A40"/>
    <w:rPr>
      <w:i/>
      <w:iCs/>
      <w:color w:val="404040" w:themeColor="text1" w:themeTint="BF"/>
    </w:rPr>
  </w:style>
  <w:style w:type="paragraph" w:styleId="Prrafodelista">
    <w:name w:val="List Paragraph"/>
    <w:basedOn w:val="Normal"/>
    <w:uiPriority w:val="34"/>
    <w:qFormat/>
    <w:rsid w:val="005D5A40"/>
    <w:pPr>
      <w:ind w:left="720"/>
      <w:contextualSpacing/>
    </w:pPr>
  </w:style>
  <w:style w:type="character" w:styleId="nfasisintenso">
    <w:name w:val="Intense Emphasis"/>
    <w:basedOn w:val="Fuentedeprrafopredeter"/>
    <w:uiPriority w:val="21"/>
    <w:qFormat/>
    <w:rsid w:val="005D5A40"/>
    <w:rPr>
      <w:i/>
      <w:iCs/>
      <w:color w:val="0F4761" w:themeColor="accent1" w:themeShade="BF"/>
    </w:rPr>
  </w:style>
  <w:style w:type="paragraph" w:styleId="Citadestacada">
    <w:name w:val="Intense Quote"/>
    <w:basedOn w:val="Normal"/>
    <w:next w:val="Normal"/>
    <w:link w:val="CitadestacadaCar"/>
    <w:uiPriority w:val="30"/>
    <w:qFormat/>
    <w:rsid w:val="005D5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5A40"/>
    <w:rPr>
      <w:i/>
      <w:iCs/>
      <w:color w:val="0F4761" w:themeColor="accent1" w:themeShade="BF"/>
    </w:rPr>
  </w:style>
  <w:style w:type="character" w:styleId="Referenciaintensa">
    <w:name w:val="Intense Reference"/>
    <w:basedOn w:val="Fuentedeprrafopredeter"/>
    <w:uiPriority w:val="32"/>
    <w:qFormat/>
    <w:rsid w:val="005D5A40"/>
    <w:rPr>
      <w:b/>
      <w:bCs/>
      <w:smallCaps/>
      <w:color w:val="0F4761" w:themeColor="accent1" w:themeShade="BF"/>
      <w:spacing w:val="5"/>
    </w:rPr>
  </w:style>
  <w:style w:type="character" w:styleId="Hipervnculo">
    <w:name w:val="Hyperlink"/>
    <w:basedOn w:val="Fuentedeprrafopredeter"/>
    <w:uiPriority w:val="99"/>
    <w:unhideWhenUsed/>
    <w:rsid w:val="005D5A40"/>
    <w:rPr>
      <w:color w:val="467886" w:themeColor="hyperlink"/>
      <w:u w:val="single"/>
    </w:rPr>
  </w:style>
  <w:style w:type="table" w:styleId="Tablanormal4">
    <w:name w:val="Plain Table 4"/>
    <w:basedOn w:val="Tablanormal"/>
    <w:uiPriority w:val="44"/>
    <w:rsid w:val="005D5A40"/>
    <w:rPr>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214977">
      <w:bodyDiv w:val="1"/>
      <w:marLeft w:val="0"/>
      <w:marRight w:val="0"/>
      <w:marTop w:val="0"/>
      <w:marBottom w:val="0"/>
      <w:divBdr>
        <w:top w:val="none" w:sz="0" w:space="0" w:color="auto"/>
        <w:left w:val="none" w:sz="0" w:space="0" w:color="auto"/>
        <w:bottom w:val="none" w:sz="0" w:space="0" w:color="auto"/>
        <w:right w:val="none" w:sz="0" w:space="0" w:color="auto"/>
      </w:divBdr>
    </w:div>
    <w:div w:id="871189969">
      <w:bodyDiv w:val="1"/>
      <w:marLeft w:val="0"/>
      <w:marRight w:val="0"/>
      <w:marTop w:val="0"/>
      <w:marBottom w:val="0"/>
      <w:divBdr>
        <w:top w:val="none" w:sz="0" w:space="0" w:color="auto"/>
        <w:left w:val="none" w:sz="0" w:space="0" w:color="auto"/>
        <w:bottom w:val="none" w:sz="0" w:space="0" w:color="auto"/>
        <w:right w:val="none" w:sz="0" w:space="0" w:color="auto"/>
      </w:divBdr>
    </w:div>
    <w:div w:id="17892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CDSP" TargetMode="External"/><Relationship Id="rId13" Type="http://schemas.openxmlformats.org/officeDocument/2006/relationships/hyperlink" Target="https://fred.stlouisfed.org/series/RHORUSQ156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CSUSHPINSA" TargetMode="External"/><Relationship Id="rId12" Type="http://schemas.openxmlformats.org/officeDocument/2006/relationships/hyperlink" Target="https://fred.stlouisfed.org/series/TDSP" TargetMode="External"/><Relationship Id="rId17" Type="http://schemas.openxmlformats.org/officeDocument/2006/relationships/hyperlink" Target="https://fred.stlouisfed.org/series/MORTGAGE30US" TargetMode="External"/><Relationship Id="rId2" Type="http://schemas.openxmlformats.org/officeDocument/2006/relationships/styles" Target="styles.xml"/><Relationship Id="rId16" Type="http://schemas.openxmlformats.org/officeDocument/2006/relationships/hyperlink" Target="https://fred.stlouisfed.org/series/RRVRUSQ156N" TargetMode="External"/><Relationship Id="rId1" Type="http://schemas.openxmlformats.org/officeDocument/2006/relationships/numbering" Target="numbering.xml"/><Relationship Id="rId6" Type="http://schemas.openxmlformats.org/officeDocument/2006/relationships/hyperlink" Target="https://fred.stlouisfed.org/series/PSAVERT" TargetMode="External"/><Relationship Id="rId11" Type="http://schemas.openxmlformats.org/officeDocument/2006/relationships/hyperlink" Target="https://fred.stlouisfed.org/series/CDSP" TargetMode="External"/><Relationship Id="rId5" Type="http://schemas.openxmlformats.org/officeDocument/2006/relationships/hyperlink" Target="https://fred.stlouisfed.org/series/DSPIC96" TargetMode="External"/><Relationship Id="rId15" Type="http://schemas.openxmlformats.org/officeDocument/2006/relationships/hyperlink" Target="https://fred.stlouisfed.org/series/RHVRUSQ156N" TargetMode="External"/><Relationship Id="rId10" Type="http://schemas.openxmlformats.org/officeDocument/2006/relationships/hyperlink" Target="https://fred.stlouisfed.org/series/MD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ed.stlouisfed.org/series/TDSP" TargetMode="External"/><Relationship Id="rId14" Type="http://schemas.openxmlformats.org/officeDocument/2006/relationships/hyperlink" Target="https://fred.stlouisfed.org/series/MD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732</Words>
  <Characters>4027</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Sacoto Molina, Matias N</dc:creator>
  <cp:keywords/>
  <dc:description/>
  <cp:lastModifiedBy>Sacoto Molina, Matias N</cp:lastModifiedBy>
  <cp:revision>2</cp:revision>
  <dcterms:created xsi:type="dcterms:W3CDTF">2024-09-02T04:04:00Z</dcterms:created>
  <dcterms:modified xsi:type="dcterms:W3CDTF">2024-09-16T05:41:00Z</dcterms:modified>
</cp:coreProperties>
</file>