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сроки-и-стоимость-разработки"/>
    <w:p>
      <w:pPr>
        <w:pStyle w:val="Heading1"/>
      </w:pPr>
      <w:r>
        <w:t xml:space="preserve">11. Сроки и стоимость разработки</w:t>
      </w:r>
    </w:p>
    <w:p>
      <w:pPr>
        <w:pStyle w:val="FirstParagraph"/>
      </w:pPr>
      <w:r>
        <w:t xml:space="preserve">Ориентировочная трудоемкость разработки системы составляет:</w:t>
      </w:r>
    </w:p>
    <w:p>
      <w:pPr>
        <w:pStyle w:val="BodyText"/>
      </w:pPr>
      <w:r>
        <w:rPr>
          <w:b/>
          <w:bCs/>
        </w:rPr>
        <w:t xml:space="preserve">60–80 часов.</w:t>
      </w:r>
    </w:p>
    <w:p>
      <w:pPr>
        <w:pStyle w:val="BodyText"/>
      </w:pPr>
      <w:r>
        <w:t xml:space="preserve">В указанную оценку входят разработка клиентского приложения MAX, административного приложения, серверной части, базы данных, интеграции с 1С на базе существующих</w:t>
      </w:r>
      <w:r>
        <w:t xml:space="preserve"> </w:t>
      </w:r>
      <w:r>
        <w:rPr>
          <w:rStyle w:val="VerbatimChar"/>
        </w:rPr>
        <w:t xml:space="preserve">gocom1c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integration-1c-worker</w:t>
      </w:r>
      <w:r>
        <w:t xml:space="preserve">, тестирование и развертывание системы.</w:t>
      </w:r>
    </w:p>
    <w:bookmarkStart w:id="9" w:name="стоимость-проекта"/>
    <w:p>
      <w:pPr>
        <w:pStyle w:val="Heading3"/>
      </w:pPr>
      <w:r>
        <w:t xml:space="preserve">Стоимость проекта</w:t>
      </w:r>
    </w:p>
    <w:p>
      <w:pPr>
        <w:pStyle w:val="FirstParagraph"/>
      </w:pPr>
      <w:r>
        <w:rPr>
          <w:b/>
          <w:bCs/>
        </w:rPr>
        <w:t xml:space="preserve">Общая стоимость разработки: 140 000 рублей.</w:t>
      </w:r>
    </w:p>
    <w:p>
      <w:pPr>
        <w:pStyle w:val="BodyText"/>
      </w:pPr>
      <w:r>
        <w:t xml:space="preserve">Стоимость включает выполнение работ, описанных в настоящем предложении.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