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06B6D4"/>
          <w:sz w:val="48"/>
          <w:szCs w:val="48"/>
        </w:rPr>
        <w:t xml:space="preserve">Macro Intelligence Platform</w:t>
      </w:r>
    </w:p>
    <w:p>
      <w:pPr>
        <w:spacing w:after="40"/>
      </w:pPr>
      <w:r>
        <w:rPr>
          <w:rFonts w:ascii="Arial" w:cs="Arial" w:eastAsia="Arial" w:hAnsi="Arial"/>
          <w:color w:val="8B5CF6"/>
          <w:sz w:val="28"/>
          <w:szCs w:val="28"/>
        </w:rPr>
        <w:t xml:space="preserve">System Architecture &amp; Technical Design</w:t>
      </w:r>
    </w:p>
    <w:p>
      <w:pPr>
        <w:spacing w:after="400"/>
      </w:pPr>
      <w:r>
        <w:rPr>
          <w:rFonts w:ascii="Arial" w:cs="Arial" w:eastAsia="Arial" w:hAnsi="Arial"/>
          <w:color w:val="64748B"/>
          <w:sz w:val="20"/>
          <w:szCs w:val="20"/>
        </w:rPr>
        <w:t xml:space="preserve">AdaBoost AI  ·  Version 3.0  ·  February 2026</w:t>
      </w:r>
    </w:p>
    <w:p>
      <w:pPr>
        <w:pStyle w:val="Heading1"/>
      </w:pPr>
      <w:r>
        <w:t xml:space="preserve">1. Architecture Overview</w:t>
      </w:r>
    </w:p>
    <w:p>
      <w:pPr>
        <w:spacing w:after="200"/>
      </w:pPr>
      <w:r>
        <w:rPr>
          <w:rFonts w:ascii="Arial" w:cs="Arial" w:eastAsia="Arial" w:hAnsi="Arial"/>
          <w:color w:val="CBD5E1"/>
          <w:sz w:val="22"/>
          <w:szCs w:val="22"/>
        </w:rPr>
        <w:t xml:space="preserve">The Macro Intelligence Platform is a multi-vertical economic analysis system that ingests 127 FRED time series across eight analytical domains, processes them through eight specialist AI agents, and synthesizes actionable intelligence via Claude Opus 4.6. The platform bridges traditional macroeconomic analysis with DeFi and cryptocurrency risk assessment, encoding two decades of quantitative finance expertise into automated, real-time surveillance.</w:t>
      </w:r>
    </w:p>
    <w:p>
      <w:pPr>
        <w:spacing w:after="200"/>
      </w:pPr>
      <w:r>
        <w:rPr>
          <w:rFonts w:ascii="Arial" w:cs="Arial" w:eastAsia="Arial" w:hAnsi="Arial"/>
          <w:color w:val="CBD5E1"/>
          <w:sz w:val="22"/>
          <w:szCs w:val="22"/>
        </w:rPr>
        <w:t xml:space="preserve">The system operates on a 15-minute refresh cycle. Each cycle, the AgentLoop fetches live data from the Federal Reserve Economic Data API, distributes it to domain-specific agents (yield curve, credit spread, inflation expectations, tail risk, cross-correlation, liquidity, dollar/volatility, and employment/financial stress), then passes all eight signal vectors to the orchestrator. The orchestrator resolves conflicts between agents, identifies the dominant macro regime, and maps transmission channels to crypto markets — including the M2-to-BTC correlation (ρ=0.94 at 90-day lag), S&amp;P-to-BTC equity beta (ρ=0.72–0.87), and VIX liquidation cascade thresholds (VIX&gt;30 triggers MEV liquidation events).</w:t>
      </w:r>
    </w:p>
    <w:p>
      <w:pPr>
        <w:spacing w:after="200"/>
      </w:pPr>
      <w:r>
        <w:rPr>
          <w:rFonts w:ascii="Arial" w:cs="Arial" w:eastAsia="Arial" w:hAnsi="Arial"/>
          <w:color w:val="CBD5E1"/>
          <w:sz w:val="22"/>
          <w:szCs w:val="22"/>
        </w:rPr>
        <w:t xml:space="preserve">A key differentiator is the human-in-the-loop prompt lifecycle. System prompts progress through five stages — Bootstrap, Draft, Evolving, Curated, and Self-Improve — ensuring that the AI synthesis improves with every cycle while maintaining human oversight on critical analytical decisions. Each vertical operates independently with its own prompt lineage, performance tracking (confidence, regime changes, conflicts detected), and auto-promotion thresholds. The system deliberately operates at Level 3 autonomy: it perceives, reasons, and acts within guardrails, but defers to human judgment on prompt curation and trade recommendations.</w:t>
      </w:r>
    </w:p>
    <w:p>
      <w:pPr>
        <w:spacing w:after="200"/>
      </w:pPr>
      <w:r>
        <w:rPr>
          <w:rFonts w:ascii="Arial" w:cs="Arial" w:eastAsia="Arial" w:hAnsi="Arial"/>
          <w:color w:val="CBD5E1"/>
          <w:sz w:val="22"/>
          <w:szCs w:val="22"/>
        </w:rPr>
        <w:t xml:space="preserve">The platform serves results through four output channels: a React dashboard with Recharts visualizations, a REST API for programmatic access, WebSocket connections for live push updates, and an x402 micropayment gateway ($0.05 USDC via Circle) for premium AI synthesis. Deployment uses Docker Compose with optional Morph Cloud hosting for sub-250ms snapshot restoration. The entire system — backend (Python/FastAPI), frontend (React/Vite), and AI pipeline — packages into a single OpenClaw skill for one-command deployment.</w:t>
      </w:r>
    </w:p>
    <w:p>
      <w:pPr>
        <w:pStyle w:val="Heading1"/>
      </w:pPr>
      <w:r>
        <w:t xml:space="preserve">2. System Layers</w:t>
      </w:r>
    </w:p>
    <w:p>
      <w:pPr>
        <w:spacing w:after="200"/>
      </w:pPr>
      <w:r>
        <w:rPr>
          <w:rFonts w:ascii="Arial" w:cs="Arial" w:eastAsia="Arial" w:hAnsi="Arial"/>
          <w:color w:val="64748B"/>
          <w:sz w:val="20"/>
          <w:szCs w:val="20"/>
        </w:rPr>
        <w:t xml:space="preserve">The platform is organized into six distinct processing layers, each with clear interfaces and fault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2"/>
              <w:left w:val="single" w:color="06B6D4" w:sz="2"/>
              <w:bottom w:val="none" w:color="FFFFFF" w:sz="0"/>
              <w:right w:val="single" w:color="06B6D4" w:sz="2"/>
            </w:tcBorders>
            <w:shd w:fill="0C4A6E" w:val="clear"/>
            <w:tcMar>
              <w:top w:type="dxa" w:w="80"/>
              <w:left w:type="dxa" w:w="160"/>
              <w:bottom w:type="dxa" w:w="80"/>
              <w:right w:type="dxa" w:w="160"/>
            </w:tcMar>
          </w:tcPr>
          <w:p>
            <w:pPr>
              <w:spacing w:after="40"/>
            </w:pPr>
            <w:r>
              <w:rPr>
                <w:rFonts w:ascii="Arial" w:cs="Arial" w:eastAsia="Arial" w:hAnsi="Arial"/>
                <w:b/>
                <w:bCs/>
                <w:color w:val="06B6D4"/>
                <w:sz w:val="18"/>
                <w:szCs w:val="18"/>
              </w:rPr>
              <w:t xml:space="preserve">LAYER 1 · DATA INGESTION</w:t>
            </w:r>
          </w:p>
          <w:p>
            <w:r>
              <w:rPr>
                <w:rFonts w:ascii="Arial" w:cs="Arial" w:eastAsia="Arial" w:hAnsi="Arial"/>
                <w:color w:val="E2E8F4"/>
                <w:sz w:val="16"/>
                <w:szCs w:val="16"/>
              </w:rPr>
              <w:t xml:space="preserve">FRED API → FREDClient → 127 series across 8 verticals</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jc w:val="center"/>
            </w:pPr>
            <w:r>
              <w:rPr>
                <w:rFonts w:ascii="Arial" w:cs="Arial" w:eastAsia="Arial" w:hAnsi="Arial"/>
                <w:color w:val="64748B"/>
                <w:sz w:val="20"/>
                <w:szCs w:val="20"/>
              </w:rPr>
              <w:t xml:space="preserve">▼</w:t>
            </w:r>
          </w:p>
        </w:tc>
      </w:tr>
      <w:tr>
        <w:tc>
          <w:tcPr>
            <w:tcW w:type="dxa" w:w="9360"/>
            <w:tcBorders>
              <w:top w:val="single" w:color="8B5CF6" w:sz="2"/>
              <w:left w:val="single" w:color="8B5CF6" w:sz="2"/>
              <w:bottom w:val="none" w:color="FFFFFF" w:sz="0"/>
              <w:right w:val="single" w:color="8B5CF6" w:sz="2"/>
            </w:tcBorders>
            <w:shd w:fill="1E1B4B" w:val="clear"/>
            <w:tcMar>
              <w:top w:type="dxa" w:w="80"/>
              <w:left w:type="dxa" w:w="160"/>
              <w:bottom w:type="dxa" w:w="80"/>
              <w:right w:type="dxa" w:w="160"/>
            </w:tcMar>
          </w:tcPr>
          <w:p>
            <w:pPr>
              <w:spacing w:after="40"/>
            </w:pPr>
            <w:r>
              <w:rPr>
                <w:rFonts w:ascii="Arial" w:cs="Arial" w:eastAsia="Arial" w:hAnsi="Arial"/>
                <w:b/>
                <w:bCs/>
                <w:color w:val="8B5CF6"/>
                <w:sz w:val="18"/>
                <w:szCs w:val="18"/>
              </w:rPr>
              <w:t xml:space="preserve">LAYER 2 · PROCESSING ENGINE</w:t>
            </w:r>
          </w:p>
          <w:p>
            <w:r>
              <w:rPr>
                <w:rFonts w:ascii="Arial" w:cs="Arial" w:eastAsia="Arial" w:hAnsi="Arial"/>
                <w:color w:val="E2E8F4"/>
                <w:sz w:val="16"/>
                <w:szCs w:val="16"/>
              </w:rPr>
              <w:t xml:space="preserve">AgentLoop (15 min) → 8 Specialist Agents → Signal Fusion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jc w:val="center"/>
            </w:pPr>
            <w:r>
              <w:rPr>
                <w:rFonts w:ascii="Arial" w:cs="Arial" w:eastAsia="Arial" w:hAnsi="Arial"/>
                <w:color w:val="64748B"/>
                <w:sz w:val="20"/>
                <w:szCs w:val="20"/>
              </w:rPr>
              <w:t xml:space="preserve">▼</w:t>
            </w:r>
          </w:p>
        </w:tc>
      </w:tr>
      <w:tr>
        <w:tc>
          <w:tcPr>
            <w:tcW w:type="dxa" w:w="9360"/>
            <w:tcBorders>
              <w:top w:val="single" w:color="3B82F6" w:sz="2"/>
              <w:left w:val="single" w:color="3B82F6" w:sz="2"/>
              <w:bottom w:val="none" w:color="FFFFFF" w:sz="0"/>
              <w:right w:val="single" w:color="3B82F6" w:sz="2"/>
            </w:tcBorders>
            <w:shd w:fill="172554" w:val="clear"/>
            <w:tcMar>
              <w:top w:type="dxa" w:w="80"/>
              <w:left w:type="dxa" w:w="160"/>
              <w:bottom w:type="dxa" w:w="80"/>
              <w:right w:type="dxa" w:w="160"/>
            </w:tcMar>
          </w:tcPr>
          <w:p>
            <w:pPr>
              <w:spacing w:after="40"/>
            </w:pPr>
            <w:r>
              <w:rPr>
                <w:rFonts w:ascii="Arial" w:cs="Arial" w:eastAsia="Arial" w:hAnsi="Arial"/>
                <w:b/>
                <w:bCs/>
                <w:color w:val="3B82F6"/>
                <w:sz w:val="18"/>
                <w:szCs w:val="18"/>
              </w:rPr>
              <w:t xml:space="preserve">LAYER 3 · AI ORCHESTRATOR</w:t>
            </w:r>
          </w:p>
          <w:p>
            <w:r>
              <w:rPr>
                <w:rFonts w:ascii="Arial" w:cs="Arial" w:eastAsia="Arial" w:hAnsi="Arial"/>
                <w:color w:val="E2E8F4"/>
                <w:sz w:val="16"/>
                <w:szCs w:val="16"/>
              </w:rPr>
              <w:t xml:space="preserve">Claude Opus 4.6 Synthesis · Rule-Based Fallback · Conflict Resolution</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jc w:val="center"/>
            </w:pPr>
            <w:r>
              <w:rPr>
                <w:rFonts w:ascii="Arial" w:cs="Arial" w:eastAsia="Arial" w:hAnsi="Arial"/>
                <w:color w:val="64748B"/>
                <w:sz w:val="20"/>
                <w:szCs w:val="20"/>
              </w:rPr>
              <w:t xml:space="preserve">▼</w:t>
            </w:r>
          </w:p>
        </w:tc>
      </w:tr>
      <w:tr>
        <w:tc>
          <w:tcPr>
            <w:tcW w:type="dxa" w:w="9360"/>
            <w:tcBorders>
              <w:top w:val="single" w:color="22C55E" w:sz="2"/>
              <w:left w:val="single" w:color="22C55E" w:sz="2"/>
              <w:bottom w:val="none" w:color="FFFFFF" w:sz="0"/>
              <w:right w:val="single" w:color="22C55E" w:sz="2"/>
            </w:tcBorders>
            <w:shd w:fill="14532D" w:val="clear"/>
            <w:tcMar>
              <w:top w:type="dxa" w:w="80"/>
              <w:left w:type="dxa" w:w="160"/>
              <w:bottom w:type="dxa" w:w="80"/>
              <w:right w:type="dxa" w:w="160"/>
            </w:tcMar>
          </w:tcPr>
          <w:p>
            <w:pPr>
              <w:spacing w:after="40"/>
            </w:pPr>
            <w:r>
              <w:rPr>
                <w:rFonts w:ascii="Arial" w:cs="Arial" w:eastAsia="Arial" w:hAnsi="Arial"/>
                <w:b/>
                <w:bCs/>
                <w:color w:val="22C55E"/>
                <w:sz w:val="18"/>
                <w:szCs w:val="18"/>
              </w:rPr>
              <w:t xml:space="preserve">LAYER 4 · PROMPT LIFECYCLE</w:t>
            </w:r>
          </w:p>
          <w:p>
            <w:r>
              <w:rPr>
                <w:rFonts w:ascii="Arial" w:cs="Arial" w:eastAsia="Arial" w:hAnsi="Arial"/>
                <w:color w:val="E2E8F4"/>
                <w:sz w:val="16"/>
                <w:szCs w:val="16"/>
              </w:rPr>
              <w:t xml:space="preserve">BOOTSTRAP → DRAFT → EVOLVING → CURATED → SELF-IMPROVE</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jc w:val="center"/>
            </w:pPr>
            <w:r>
              <w:rPr>
                <w:rFonts w:ascii="Arial" w:cs="Arial" w:eastAsia="Arial" w:hAnsi="Arial"/>
                <w:color w:val="64748B"/>
                <w:sz w:val="20"/>
                <w:szCs w:val="20"/>
              </w:rPr>
              <w:t xml:space="preserve">▼</w:t>
            </w:r>
          </w:p>
        </w:tc>
      </w:tr>
      <w:tr>
        <w:tc>
          <w:tcPr>
            <w:tcW w:type="dxa" w:w="9360"/>
            <w:tcBorders>
              <w:top w:val="single" w:color="F59E0B" w:sz="2"/>
              <w:left w:val="single" w:color="F59E0B" w:sz="2"/>
              <w:bottom w:val="none" w:color="FFFFFF" w:sz="0"/>
              <w:right w:val="single" w:color="F59E0B" w:sz="2"/>
            </w:tcBorders>
            <w:shd w:fill="451A03" w:val="clear"/>
            <w:tcMar>
              <w:top w:type="dxa" w:w="80"/>
              <w:left w:type="dxa" w:w="160"/>
              <w:bottom w:type="dxa" w:w="80"/>
              <w:right w:type="dxa" w:w="160"/>
            </w:tcMar>
          </w:tcPr>
          <w:p>
            <w:pPr>
              <w:spacing w:after="40"/>
            </w:pPr>
            <w:r>
              <w:rPr>
                <w:rFonts w:ascii="Arial" w:cs="Arial" w:eastAsia="Arial" w:hAnsi="Arial"/>
                <w:b/>
                <w:bCs/>
                <w:color w:val="F59E0B"/>
                <w:sz w:val="18"/>
                <w:szCs w:val="18"/>
              </w:rPr>
              <w:t xml:space="preserve">LAYER 5 · 8 VERTICALS</w:t>
            </w:r>
          </w:p>
          <w:p>
            <w:r>
              <w:rPr>
                <w:rFonts w:ascii="Arial" w:cs="Arial" w:eastAsia="Arial" w:hAnsi="Arial"/>
                <w:color w:val="E2E8F4"/>
                <w:sz w:val="16"/>
                <w:szCs w:val="16"/>
              </w:rPr>
              <w:t xml:space="preserve">DeFi · Fiscal · Housing · Small Biz · Inflation · Ag · Trade · Labor</w:t>
            </w:r>
          </w:p>
        </w:tc>
      </w:tr>
      <w:tr>
        <w:tc>
          <w:tcPr>
            <w:tcW w:type="dxa" w:w="9360"/>
            <w:tcBorders>
              <w:top w:val="none" w:color="FFFFFF" w:sz="0"/>
              <w:left w:val="none" w:color="FFFFFF" w:sz="0"/>
              <w:bottom w:val="none" w:color="FFFFFF" w:sz="0"/>
              <w:right w:val="none" w:color="FFFFFF" w:sz="0"/>
            </w:tcBorders>
            <w:shd w:fill="0F172A" w:val="clear"/>
            <w:tcMar>
              <w:top w:type="dxa" w:w="0"/>
              <w:left w:type="dxa" w:w="0"/>
              <w:bottom w:type="dxa" w:w="0"/>
              <w:right w:type="dxa" w:w="0"/>
            </w:tcMar>
          </w:tcPr>
          <w:p>
            <w:pPr>
              <w:jc w:val="center"/>
            </w:pPr>
            <w:r>
              <w:rPr>
                <w:rFonts w:ascii="Arial" w:cs="Arial" w:eastAsia="Arial" w:hAnsi="Arial"/>
                <w:color w:val="64748B"/>
                <w:sz w:val="20"/>
                <w:szCs w:val="20"/>
              </w:rPr>
              <w:t xml:space="preserve">▼</w:t>
            </w:r>
          </w:p>
        </w:tc>
      </w:tr>
      <w:tr>
        <w:tc>
          <w:tcPr>
            <w:tcW w:type="dxa" w:w="9360"/>
            <w:tcBorders>
              <w:top w:val="single" w:color="EF4444" w:sz="2"/>
              <w:left w:val="single" w:color="EF4444" w:sz="2"/>
              <w:bottom w:val="none" w:color="FFFFFF" w:sz="0"/>
              <w:right w:val="single" w:color="EF4444" w:sz="2"/>
            </w:tcBorders>
            <w:shd w:fill="450A0A" w:val="clear"/>
            <w:tcMar>
              <w:top w:type="dxa" w:w="80"/>
              <w:left w:type="dxa" w:w="160"/>
              <w:bottom w:type="dxa" w:w="80"/>
              <w:right w:type="dxa" w:w="160"/>
            </w:tcMar>
          </w:tcPr>
          <w:p>
            <w:pPr>
              <w:spacing w:after="40"/>
            </w:pPr>
            <w:r>
              <w:rPr>
                <w:rFonts w:ascii="Arial" w:cs="Arial" w:eastAsia="Arial" w:hAnsi="Arial"/>
                <w:b/>
                <w:bCs/>
                <w:color w:val="EF4444"/>
                <w:sz w:val="18"/>
                <w:szCs w:val="18"/>
              </w:rPr>
              <w:t xml:space="preserve">LAYER 6 · OUTPUT CHANNELS</w:t>
            </w:r>
          </w:p>
          <w:p>
            <w:r>
              <w:rPr>
                <w:rFonts w:ascii="Arial" w:cs="Arial" w:eastAsia="Arial" w:hAnsi="Arial"/>
                <w:color w:val="E2E8F4"/>
                <w:sz w:val="16"/>
                <w:szCs w:val="16"/>
              </w:rPr>
              <w:t xml:space="preserve">React Dashboard · REST API · WebSocket · x402 Micropayment</w:t>
            </w:r>
          </w:p>
        </w:tc>
      </w:tr>
    </w:tbl>
    <w:p>
      <w:r>
        <w:br w:type="page"/>
      </w:r>
    </w:p>
    <w:p>
      <w:pPr>
        <w:pStyle w:val="Heading1"/>
      </w:pPr>
      <w:r>
        <w:t xml:space="preserve">3. Agent Pipeline</w:t>
      </w:r>
    </w:p>
    <w:p>
      <w:pPr>
        <w:spacing w:after="200"/>
      </w:pPr>
      <w:r>
        <w:rPr>
          <w:rFonts w:ascii="Arial" w:cs="Arial" w:eastAsia="Arial" w:hAnsi="Arial"/>
          <w:color w:val="64748B"/>
          <w:sz w:val="20"/>
          <w:szCs w:val="20"/>
        </w:rPr>
        <w:t xml:space="preserve">Eight specialist agents process FRED data independently, then converge at the Opus 4.6 orchestrator for signal fusion and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334155" w:sz="1"/>
              <w:left w:val="single" w:color="334155" w:sz="1"/>
              <w:bottom w:val="single" w:color="334155" w:sz="1"/>
              <w:right w:val="single" w:color="334155" w:sz="1"/>
            </w:tcBorders>
            <w:shd w:fill="1E1B4B" w:val="clear"/>
            <w:tcMar>
              <w:top w:type="dxa" w:w="80"/>
              <w:left w:type="dxa" w:w="120"/>
              <w:bottom w:type="dxa" w:w="80"/>
              <w:right w:type="dxa" w:w="120"/>
            </w:tcMar>
          </w:tcPr>
          <w:p>
            <w:pPr>
              <w:jc w:val="center"/>
            </w:pPr>
            <w:r>
              <w:rPr>
                <w:rFonts w:ascii="Arial" w:cs="Arial" w:eastAsia="Arial" w:hAnsi="Arial"/>
                <w:b/>
                <w:bCs/>
                <w:color w:val="8B5CF6"/>
                <w:sz w:val="20"/>
                <w:szCs w:val="20"/>
              </w:rPr>
              <w:t xml:space="preserve">8 SPECIALIST AGENTS</w:t>
            </w:r>
          </w:p>
        </w:tc>
      </w:tr>
      <w:tr>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Yield Curve</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Credit Spread</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Inflation</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Tail Risk</w:t>
            </w:r>
          </w:p>
        </w:tc>
      </w:tr>
      <w:tr>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Cross-Correlation</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Liquidity</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Dollar/Vol</w:t>
            </w:r>
          </w:p>
        </w:tc>
        <w:tc>
          <w:tcPr>
            <w:tcW w:type="dxa" w:w="2340"/>
            <w:tcBorders>
              <w:top w:val="single" w:color="334155" w:sz="1"/>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color w:val="E2E8F4"/>
                <w:sz w:val="16"/>
                <w:szCs w:val="16"/>
              </w:rPr>
              <w:t xml:space="preserve">Employment</w:t>
            </w:r>
          </w:p>
        </w:tc>
      </w:tr>
      <w:tr>
        <w:tc>
          <w:tcPr>
            <w:tcW w:type="dxa" w:w="9360"/>
            <w:gridSpan w:val="4"/>
            <w:tcBorders>
              <w:top w:val="single" w:color="334155" w:sz="1"/>
              <w:left w:val="single" w:color="334155" w:sz="1"/>
              <w:bottom w:val="single" w:color="334155" w:sz="1"/>
              <w:right w:val="single" w:color="334155" w:sz="1"/>
            </w:tcBorders>
            <w:shd w:fill="172554" w:val="clear"/>
            <w:tcMar>
              <w:top w:type="dxa" w:w="80"/>
              <w:left w:type="dxa" w:w="120"/>
              <w:bottom w:type="dxa" w:w="80"/>
              <w:right w:type="dxa" w:w="120"/>
            </w:tcMar>
          </w:tcPr>
          <w:p>
            <w:pPr>
              <w:jc w:val="center"/>
            </w:pPr>
            <w:r>
              <w:rPr>
                <w:rFonts w:ascii="Arial" w:cs="Arial" w:eastAsia="Arial" w:hAnsi="Arial"/>
                <w:color w:val="64748B"/>
                <w:sz w:val="16"/>
                <w:szCs w:val="16"/>
              </w:rPr>
              <w:t xml:space="preserve">▼  SIGNAL FUSION  ▼</w:t>
            </w:r>
          </w:p>
          <w:p>
            <w:pPr>
              <w:spacing w:before="60"/>
              <w:jc w:val="center"/>
            </w:pPr>
            <w:r>
              <w:rPr>
                <w:rFonts w:ascii="Arial" w:cs="Arial" w:eastAsia="Arial" w:hAnsi="Arial"/>
                <w:b/>
                <w:bCs/>
                <w:color w:val="06B6D4"/>
                <w:sz w:val="20"/>
                <w:szCs w:val="20"/>
              </w:rPr>
              <w:t xml:space="preserve">Claude Opus 4.6 Orchestrator</w:t>
            </w:r>
          </w:p>
          <w:p>
            <w:pPr>
              <w:spacing w:before="40"/>
              <w:jc w:val="center"/>
            </w:pPr>
            <w:r>
              <w:rPr>
                <w:rFonts w:ascii="Arial" w:cs="Arial" w:eastAsia="Arial" w:hAnsi="Arial"/>
                <w:color w:val="64748B"/>
                <w:sz w:val="14"/>
                <w:szCs w:val="14"/>
              </w:rPr>
              <w:t xml:space="preserve">Regime detection · Conflict resolution · Macro→Crypto transmission mapping</w:t>
            </w:r>
          </w:p>
        </w:tc>
      </w:tr>
    </w:tbl>
    <w:p>
      <w:pPr>
        <w:spacing w:before="300"/>
      </w:pPr>
    </w:p>
    <w:p>
      <w:pPr>
        <w:pStyle w:val="Heading1"/>
      </w:pPr>
      <w:r>
        <w:t xml:space="preserve">4. Eight Verticals</w:t>
      </w:r>
    </w:p>
    <w:p>
      <w:pPr>
        <w:spacing w:after="200"/>
      </w:pPr>
      <w:r>
        <w:rPr>
          <w:rFonts w:ascii="Arial" w:cs="Arial" w:eastAsia="Arial" w:hAnsi="Arial"/>
          <w:color w:val="64748B"/>
          <w:sz w:val="20"/>
          <w:szCs w:val="20"/>
        </w:rPr>
        <w:t xml:space="preserve">Same engine, different lens. Each vertical shares the processing pipeline but applies domain-specific prompts, KPIs, charts, and customer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6B6D4"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06B6D4"/>
                <w:sz w:val="16"/>
                <w:szCs w:val="16"/>
              </w:rPr>
              <w:t xml:space="preserve">⚡ DeFi &amp; Crypto</w:t>
            </w:r>
          </w:p>
          <w:p>
            <w:pPr>
              <w:spacing w:before="30"/>
              <w:jc w:val="center"/>
            </w:pPr>
            <w:r>
              <w:rPr>
                <w:rFonts w:ascii="Arial" w:cs="Arial" w:eastAsia="Arial" w:hAnsi="Arial"/>
                <w:color w:val="64748B"/>
                <w:sz w:val="14"/>
                <w:szCs w:val="14"/>
              </w:rPr>
              <w:t xml:space="preserve">49 series</w:t>
            </w:r>
          </w:p>
        </w:tc>
        <w:tc>
          <w:tcPr>
            <w:tcW w:type="dxa" w:w="2340"/>
            <w:tcBorders>
              <w:top w:val="single" w:color="8B5CF6"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8B5CF6"/>
                <w:sz w:val="16"/>
                <w:szCs w:val="16"/>
              </w:rPr>
              <w:t xml:space="preserve">🏛 County Fiscal</w:t>
            </w:r>
          </w:p>
          <w:p>
            <w:pPr>
              <w:spacing w:before="30"/>
              <w:jc w:val="center"/>
            </w:pPr>
            <w:r>
              <w:rPr>
                <w:rFonts w:ascii="Arial" w:cs="Arial" w:eastAsia="Arial" w:hAnsi="Arial"/>
                <w:color w:val="64748B"/>
                <w:sz w:val="14"/>
                <w:szCs w:val="14"/>
              </w:rPr>
              <w:t xml:space="preserve">11 series</w:t>
            </w:r>
          </w:p>
        </w:tc>
        <w:tc>
          <w:tcPr>
            <w:tcW w:type="dxa" w:w="2340"/>
            <w:tcBorders>
              <w:top w:val="single" w:color="F59E0B"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F59E0B"/>
                <w:sz w:val="16"/>
                <w:szCs w:val="16"/>
              </w:rPr>
              <w:t xml:space="preserve">🏠 Housing</w:t>
            </w:r>
          </w:p>
          <w:p>
            <w:pPr>
              <w:spacing w:before="30"/>
              <w:jc w:val="center"/>
            </w:pPr>
            <w:r>
              <w:rPr>
                <w:rFonts w:ascii="Arial" w:cs="Arial" w:eastAsia="Arial" w:hAnsi="Arial"/>
                <w:color w:val="64748B"/>
                <w:sz w:val="14"/>
                <w:szCs w:val="14"/>
              </w:rPr>
              <w:t xml:space="preserve">10 series</w:t>
            </w:r>
          </w:p>
        </w:tc>
        <w:tc>
          <w:tcPr>
            <w:tcW w:type="dxa" w:w="2340"/>
            <w:tcBorders>
              <w:top w:val="single" w:color="22C55E"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22C55E"/>
                <w:sz w:val="16"/>
                <w:szCs w:val="16"/>
              </w:rPr>
              <w:t xml:space="preserve">🏪 Small Business</w:t>
            </w:r>
          </w:p>
          <w:p>
            <w:pPr>
              <w:spacing w:before="30"/>
              <w:jc w:val="center"/>
            </w:pPr>
            <w:r>
              <w:rPr>
                <w:rFonts w:ascii="Arial" w:cs="Arial" w:eastAsia="Arial" w:hAnsi="Arial"/>
                <w:color w:val="64748B"/>
                <w:sz w:val="14"/>
                <w:szCs w:val="14"/>
              </w:rPr>
              <w:t xml:space="preserve">10 series</w:t>
            </w:r>
          </w:p>
        </w:tc>
      </w:tr>
      <w:tr>
        <w:tc>
          <w:tcPr>
            <w:tcW w:type="dxa" w:w="2340"/>
            <w:tcBorders>
              <w:top w:val="single" w:color="EF4444"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EF4444"/>
                <w:sz w:val="16"/>
                <w:szCs w:val="16"/>
              </w:rPr>
              <w:t xml:space="preserve">💰 Inflation</w:t>
            </w:r>
          </w:p>
          <w:p>
            <w:pPr>
              <w:spacing w:before="30"/>
              <w:jc w:val="center"/>
            </w:pPr>
            <w:r>
              <w:rPr>
                <w:rFonts w:ascii="Arial" w:cs="Arial" w:eastAsia="Arial" w:hAnsi="Arial"/>
                <w:color w:val="64748B"/>
                <w:sz w:val="14"/>
                <w:szCs w:val="14"/>
              </w:rPr>
              <w:t xml:space="preserve">10 series</w:t>
            </w:r>
          </w:p>
        </w:tc>
        <w:tc>
          <w:tcPr>
            <w:tcW w:type="dxa" w:w="2340"/>
            <w:tcBorders>
              <w:top w:val="single" w:color="84CC16"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84CC16"/>
                <w:sz w:val="16"/>
                <w:szCs w:val="16"/>
              </w:rPr>
              <w:t xml:space="preserve">🌾 Agriculture</w:t>
            </w:r>
          </w:p>
          <w:p>
            <w:pPr>
              <w:spacing w:before="30"/>
              <w:jc w:val="center"/>
            </w:pPr>
            <w:r>
              <w:rPr>
                <w:rFonts w:ascii="Arial" w:cs="Arial" w:eastAsia="Arial" w:hAnsi="Arial"/>
                <w:color w:val="64748B"/>
                <w:sz w:val="14"/>
                <w:szCs w:val="14"/>
              </w:rPr>
              <w:t xml:space="preserve">10 series</w:t>
            </w:r>
          </w:p>
        </w:tc>
        <w:tc>
          <w:tcPr>
            <w:tcW w:type="dxa" w:w="2340"/>
            <w:tcBorders>
              <w:top w:val="single" w:color="0EA5E9"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0EA5E9"/>
                <w:sz w:val="16"/>
                <w:szCs w:val="16"/>
              </w:rPr>
              <w:t xml:space="preserve">🚢 Trade</w:t>
            </w:r>
          </w:p>
          <w:p>
            <w:pPr>
              <w:spacing w:before="30"/>
              <w:jc w:val="center"/>
            </w:pPr>
            <w:r>
              <w:rPr>
                <w:rFonts w:ascii="Arial" w:cs="Arial" w:eastAsia="Arial" w:hAnsi="Arial"/>
                <w:color w:val="64748B"/>
                <w:sz w:val="14"/>
                <w:szCs w:val="14"/>
              </w:rPr>
              <w:t xml:space="preserve">10 series</w:t>
            </w:r>
          </w:p>
        </w:tc>
        <w:tc>
          <w:tcPr>
            <w:tcW w:type="dxa" w:w="2340"/>
            <w:tcBorders>
              <w:top w:val="single" w:color="EC4899" w:sz="2"/>
              <w:left w:val="single" w:color="334155" w:sz="1"/>
              <w:bottom w:val="single" w:color="334155" w:sz="1"/>
              <w:right w:val="single" w:color="334155" w:sz="1"/>
            </w:tcBorders>
            <w:shd w:fill="1E293B" w:val="clear"/>
            <w:tcMar>
              <w:top w:type="dxa" w:w="60"/>
              <w:left w:type="dxa" w:w="80"/>
              <w:bottom w:type="dxa" w:w="60"/>
              <w:right w:type="dxa" w:w="80"/>
            </w:tcMar>
          </w:tcPr>
          <w:p>
            <w:pPr>
              <w:jc w:val="center"/>
            </w:pPr>
            <w:r>
              <w:rPr>
                <w:rFonts w:ascii="Arial" w:cs="Arial" w:eastAsia="Arial" w:hAnsi="Arial"/>
                <w:b/>
                <w:bCs/>
                <w:color w:val="EC4899"/>
                <w:sz w:val="16"/>
                <w:szCs w:val="16"/>
              </w:rPr>
              <w:t xml:space="preserve">👷 Labor Market</w:t>
            </w:r>
          </w:p>
          <w:p>
            <w:pPr>
              <w:spacing w:before="30"/>
              <w:jc w:val="center"/>
            </w:pPr>
            <w:r>
              <w:rPr>
                <w:rFonts w:ascii="Arial" w:cs="Arial" w:eastAsia="Arial" w:hAnsi="Arial"/>
                <w:color w:val="64748B"/>
                <w:sz w:val="14"/>
                <w:szCs w:val="14"/>
              </w:rPr>
              <w:t xml:space="preserve">11 series</w:t>
            </w:r>
          </w:p>
        </w:tc>
      </w:tr>
    </w:tbl>
    <w:p>
      <w:pPr>
        <w:spacing w:before="300"/>
      </w:pPr>
    </w:p>
    <w:p>
      <w:pPr>
        <w:pStyle w:val="Heading1"/>
      </w:pPr>
      <w:r>
        <w:t xml:space="preserve">5. Prompt Lifecycle</w:t>
      </w:r>
    </w:p>
    <w:p>
      <w:pPr>
        <w:spacing w:after="200"/>
      </w:pPr>
      <w:r>
        <w:rPr>
          <w:rFonts w:ascii="Arial" w:cs="Arial" w:eastAsia="Arial" w:hAnsi="Arial"/>
          <w:color w:val="64748B"/>
          <w:sz w:val="20"/>
          <w:szCs w:val="20"/>
        </w:rPr>
        <w:t xml:space="preserve">Prompts evolve through five stages with performance tracking and human oversight at every critical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9360"/>
            <w:gridSpan w:val="5"/>
            <w:tcBorders>
              <w:top w:val="single" w:color="334155" w:sz="1"/>
              <w:left w:val="single" w:color="334155" w:sz="1"/>
              <w:bottom w:val="single" w:color="334155" w:sz="1"/>
              <w:right w:val="single" w:color="334155" w:sz="1"/>
            </w:tcBorders>
            <w:shd w:fill="14532D" w:val="clear"/>
            <w:tcMar>
              <w:top w:type="dxa" w:w="60"/>
              <w:left w:type="dxa" w:w="120"/>
              <w:bottom w:type="dxa" w:w="60"/>
              <w:right w:type="dxa" w:w="120"/>
            </w:tcMar>
          </w:tcPr>
          <w:p>
            <w:pPr>
              <w:jc w:val="center"/>
            </w:pPr>
            <w:r>
              <w:rPr>
                <w:rFonts w:ascii="Arial" w:cs="Arial" w:eastAsia="Arial" w:hAnsi="Arial"/>
                <w:b/>
                <w:bCs/>
                <w:color w:val="22C55E"/>
                <w:sz w:val="18"/>
                <w:szCs w:val="18"/>
              </w:rPr>
              <w:t xml:space="preserve">PROMPT LIFECYCLE (Human-in-the-Loop)</w:t>
            </w:r>
          </w:p>
        </w:tc>
      </w:tr>
      <w:tr>
        <w:tc>
          <w:tcPr>
            <w:tcW w:type="dxa" w:w="1872"/>
            <w:tcBorders>
              <w:top w:val="single" w:color="8B5CF6" w:sz="3"/>
              <w:left w:val="single" w:color="334155" w:sz="1"/>
              <w:bottom w:val="single" w:color="334155" w:sz="1"/>
              <w:right w:val="single" w:color="334155" w:sz="1"/>
            </w:tcBorders>
            <w:shd w:fill="1E293B" w:val="clear"/>
            <w:tcMar>
              <w:top w:type="dxa" w:w="60"/>
              <w:left w:type="dxa" w:w="60"/>
              <w:bottom w:type="dxa" w:w="60"/>
              <w:right w:type="dxa" w:w="60"/>
            </w:tcMar>
          </w:tcPr>
          <w:p>
            <w:pPr>
              <w:jc w:val="center"/>
            </w:pPr>
            <w:r>
              <w:rPr>
                <w:rFonts w:ascii="Arial" w:cs="Arial" w:eastAsia="Arial" w:hAnsi="Arial"/>
                <w:b/>
                <w:bCs/>
                <w:color w:val="8B5CF6"/>
                <w:sz w:val="14"/>
                <w:szCs w:val="14"/>
              </w:rPr>
              <w:t xml:space="preserve">BOOTSTRAP</w:t>
            </w:r>
          </w:p>
          <w:p>
            <w:pPr>
              <w:spacing w:before="30"/>
              <w:jc w:val="center"/>
            </w:pPr>
            <w:r>
              <w:rPr>
                <w:rFonts w:ascii="Arial" w:cs="Arial" w:eastAsia="Arial" w:hAnsi="Arial"/>
                <w:color w:val="64748B"/>
                <w:sz w:val="12"/>
                <w:szCs w:val="12"/>
              </w:rPr>
              <w:t xml:space="preserve">Opus generates initial prompt</w:t>
            </w:r>
          </w:p>
        </w:tc>
        <w:tc>
          <w:tcPr>
            <w:tcW w:type="dxa" w:w="1872"/>
            <w:tcBorders>
              <w:top w:val="single" w:color="3B82F6" w:sz="3"/>
              <w:left w:val="single" w:color="334155" w:sz="1"/>
              <w:bottom w:val="single" w:color="334155" w:sz="1"/>
              <w:right w:val="single" w:color="334155" w:sz="1"/>
            </w:tcBorders>
            <w:shd w:fill="1E293B" w:val="clear"/>
            <w:tcMar>
              <w:top w:type="dxa" w:w="60"/>
              <w:left w:type="dxa" w:w="60"/>
              <w:bottom w:type="dxa" w:w="60"/>
              <w:right w:type="dxa" w:w="60"/>
            </w:tcMar>
          </w:tcPr>
          <w:p>
            <w:pPr>
              <w:jc w:val="center"/>
            </w:pPr>
            <w:r>
              <w:rPr>
                <w:rFonts w:ascii="Arial" w:cs="Arial" w:eastAsia="Arial" w:hAnsi="Arial"/>
                <w:b/>
                <w:bCs/>
                <w:color w:val="3B82F6"/>
                <w:sz w:val="14"/>
                <w:szCs w:val="14"/>
              </w:rPr>
              <w:t xml:space="preserve">DRAFT</w:t>
            </w:r>
          </w:p>
          <w:p>
            <w:pPr>
              <w:spacing w:before="30"/>
              <w:jc w:val="center"/>
            </w:pPr>
            <w:r>
              <w:rPr>
                <w:rFonts w:ascii="Arial" w:cs="Arial" w:eastAsia="Arial" w:hAnsi="Arial"/>
                <w:color w:val="64748B"/>
                <w:sz w:val="12"/>
                <w:szCs w:val="12"/>
              </w:rPr>
              <w:t xml:space="preserve">Auto-generated, tracking performance</w:t>
            </w:r>
          </w:p>
        </w:tc>
        <w:tc>
          <w:tcPr>
            <w:tcW w:type="dxa" w:w="1872"/>
            <w:tcBorders>
              <w:top w:val="single" w:color="F59E0B" w:sz="3"/>
              <w:left w:val="single" w:color="334155" w:sz="1"/>
              <w:bottom w:val="single" w:color="334155" w:sz="1"/>
              <w:right w:val="single" w:color="334155" w:sz="1"/>
            </w:tcBorders>
            <w:shd w:fill="1E293B" w:val="clear"/>
            <w:tcMar>
              <w:top w:type="dxa" w:w="60"/>
              <w:left w:type="dxa" w:w="60"/>
              <w:bottom w:type="dxa" w:w="60"/>
              <w:right w:type="dxa" w:w="60"/>
            </w:tcMar>
          </w:tcPr>
          <w:p>
            <w:pPr>
              <w:jc w:val="center"/>
            </w:pPr>
            <w:r>
              <w:rPr>
                <w:rFonts w:ascii="Arial" w:cs="Arial" w:eastAsia="Arial" w:hAnsi="Arial"/>
                <w:b/>
                <w:bCs/>
                <w:color w:val="F59E0B"/>
                <w:sz w:val="14"/>
                <w:szCs w:val="14"/>
              </w:rPr>
              <w:t xml:space="preserve">EVOLVING</w:t>
            </w:r>
          </w:p>
          <w:p>
            <w:pPr>
              <w:spacing w:before="30"/>
              <w:jc w:val="center"/>
            </w:pPr>
            <w:r>
              <w:rPr>
                <w:rFonts w:ascii="Arial" w:cs="Arial" w:eastAsia="Arial" w:hAnsi="Arial"/>
                <w:color w:val="64748B"/>
                <w:sz w:val="12"/>
                <w:szCs w:val="12"/>
              </w:rPr>
              <w:t xml:space="preserve">20+ runs, confidence &gt; 0.6</w:t>
            </w:r>
          </w:p>
        </w:tc>
        <w:tc>
          <w:tcPr>
            <w:tcW w:type="dxa" w:w="1872"/>
            <w:tcBorders>
              <w:top w:val="single" w:color="22C55E" w:sz="3"/>
              <w:left w:val="single" w:color="334155" w:sz="1"/>
              <w:bottom w:val="single" w:color="334155" w:sz="1"/>
              <w:right w:val="single" w:color="334155" w:sz="1"/>
            </w:tcBorders>
            <w:shd w:fill="1E293B" w:val="clear"/>
            <w:tcMar>
              <w:top w:type="dxa" w:w="60"/>
              <w:left w:type="dxa" w:w="60"/>
              <w:bottom w:type="dxa" w:w="60"/>
              <w:right w:type="dxa" w:w="60"/>
            </w:tcMar>
          </w:tcPr>
          <w:p>
            <w:pPr>
              <w:jc w:val="center"/>
            </w:pPr>
            <w:r>
              <w:rPr>
                <w:rFonts w:ascii="Arial" w:cs="Arial" w:eastAsia="Arial" w:hAnsi="Arial"/>
                <w:b/>
                <w:bCs/>
                <w:color w:val="22C55E"/>
                <w:sz w:val="14"/>
                <w:szCs w:val="14"/>
              </w:rPr>
              <w:t xml:space="preserve">CURATED</w:t>
            </w:r>
          </w:p>
          <w:p>
            <w:pPr>
              <w:spacing w:before="30"/>
              <w:jc w:val="center"/>
            </w:pPr>
            <w:r>
              <w:rPr>
                <w:rFonts w:ascii="Arial" w:cs="Arial" w:eastAsia="Arial" w:hAnsi="Arial"/>
                <w:color w:val="64748B"/>
                <w:sz w:val="12"/>
                <w:szCs w:val="12"/>
              </w:rPr>
              <w:t xml:space="preserve">Human-approved, production-ready</w:t>
            </w:r>
          </w:p>
        </w:tc>
        <w:tc>
          <w:tcPr>
            <w:tcW w:type="dxa" w:w="1872"/>
            <w:tcBorders>
              <w:top w:val="single" w:color="06B6D4" w:sz="3"/>
              <w:left w:val="single" w:color="334155" w:sz="1"/>
              <w:bottom w:val="single" w:color="334155" w:sz="1"/>
              <w:right w:val="single" w:color="334155" w:sz="1"/>
            </w:tcBorders>
            <w:shd w:fill="1E293B" w:val="clear"/>
            <w:tcMar>
              <w:top w:type="dxa" w:w="60"/>
              <w:left w:type="dxa" w:w="60"/>
              <w:bottom w:type="dxa" w:w="60"/>
              <w:right w:type="dxa" w:w="60"/>
            </w:tcMar>
          </w:tcPr>
          <w:p>
            <w:pPr>
              <w:jc w:val="center"/>
            </w:pPr>
            <w:r>
              <w:rPr>
                <w:rFonts w:ascii="Arial" w:cs="Arial" w:eastAsia="Arial" w:hAnsi="Arial"/>
                <w:b/>
                <w:bCs/>
                <w:color w:val="06B6D4"/>
                <w:sz w:val="14"/>
                <w:szCs w:val="14"/>
              </w:rPr>
              <w:t xml:space="preserve">SELF-IMPROVE</w:t>
            </w:r>
          </w:p>
          <w:p>
            <w:pPr>
              <w:spacing w:before="30"/>
              <w:jc w:val="center"/>
            </w:pPr>
            <w:r>
              <w:rPr>
                <w:rFonts w:ascii="Arial" w:cs="Arial" w:eastAsia="Arial" w:hAnsi="Arial"/>
                <w:color w:val="64748B"/>
                <w:sz w:val="12"/>
                <w:szCs w:val="12"/>
              </w:rPr>
              <w:t xml:space="preserve">Opus suggests refinements</w:t>
            </w:r>
          </w:p>
        </w:tc>
      </w:tr>
      <w:tr>
        <w:tc>
          <w:tcPr>
            <w:tcW w:type="dxa" w:w="9360"/>
            <w:gridSpan w:val="5"/>
            <w:tcBorders>
              <w:top w:val="single" w:color="334155" w:sz="1"/>
              <w:left w:val="single" w:color="334155" w:sz="1"/>
              <w:bottom w:val="single" w:color="334155" w:sz="1"/>
              <w:right w:val="single" w:color="334155" w:sz="1"/>
            </w:tcBorders>
            <w:shd w:fill="0F172A" w:val="clear"/>
            <w:tcMar>
              <w:top w:type="dxa" w:w="40"/>
              <w:left w:type="dxa" w:w="120"/>
              <w:bottom w:type="dxa" w:w="40"/>
              <w:right w:type="dxa" w:w="120"/>
            </w:tcMar>
          </w:tcPr>
          <w:p>
            <w:pPr>
              <w:jc w:val="center"/>
            </w:pPr>
            <w:r>
              <w:rPr>
                <w:rFonts w:ascii="Arial" w:cs="Arial" w:eastAsia="Arial" w:hAnsi="Arial"/>
                <w:color w:val="64748B"/>
                <w:sz w:val="14"/>
                <w:szCs w:val="14"/>
              </w:rPr>
              <w:t xml:space="preserve">BOOTSTRAP → DRAFT → EVOLVING → CURATED → SELF-IMPROVE</w:t>
            </w:r>
          </w:p>
        </w:tc>
      </w:tr>
    </w:tbl>
    <w:p>
      <w:pPr>
        <w:spacing w:before="300"/>
      </w:pPr>
    </w:p>
    <w:p>
      <w:pPr>
        <w:pStyle w:val="Heading1"/>
      </w:pPr>
      <w:r>
        <w:t xml:space="preserve">6. Data Flow</w:t>
      </w:r>
    </w:p>
    <w:p>
      <w:pPr>
        <w:spacing w:after="200"/>
      </w:pPr>
      <w:r>
        <w:rPr>
          <w:rFonts w:ascii="Arial" w:cs="Arial" w:eastAsia="Arial" w:hAnsi="Arial"/>
          <w:color w:val="64748B"/>
          <w:sz w:val="20"/>
          <w:szCs w:val="20"/>
        </w:rPr>
        <w:t xml:space="preserve">End-to-end pipeline from FRED ingestion to user-facing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7160"/>
      </w:tblGrid>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FRED API</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127 FRED Series (15-min refresh)</w:t>
            </w:r>
          </w:p>
        </w:tc>
      </w:tr>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FREDClient</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Async HTTP · Rate limiting · Caching</w:t>
            </w:r>
          </w:p>
        </w:tc>
      </w:tr>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8 Agents</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Yield · Credit · Inflation · Tail · Corr · Liq · USD · Jobs</w:t>
            </w:r>
          </w:p>
        </w:tc>
      </w:tr>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Opus 4.6</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Regime synthesis · Conflict resolution · Transmission mapping</w:t>
            </w:r>
          </w:p>
        </w:tc>
      </w:tr>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Dashboard</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React · Recharts · WebSocket live updates</w:t>
            </w:r>
          </w:p>
        </w:tc>
      </w:tr>
      <w:tr>
        <w:tc>
          <w:tcPr>
            <w:tcW w:type="dxa" w:w="18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6"/>
                <w:szCs w:val="16"/>
              </w:rPr>
              <w:t xml:space="preserve">x402 Pay</w:t>
            </w:r>
          </w:p>
        </w:tc>
        <w:tc>
          <w:tcPr>
            <w:tcW w:type="dxa" w:w="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center"/>
            </w:pPr>
            <w:r>
              <w:rPr>
                <w:rFonts w:ascii="Arial" w:cs="Arial" w:eastAsia="Arial" w:hAnsi="Arial"/>
                <w:b w:val="false"/>
                <w:bCs w:val="false"/>
                <w:color w:val="64748B"/>
                <w:sz w:val="16"/>
                <w:szCs w:val="16"/>
              </w:rPr>
              <w:t xml:space="preserve">→</w:t>
            </w:r>
          </w:p>
        </w:tc>
        <w:tc>
          <w:tcPr>
            <w:tcW w:type="dxa" w:w="71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6"/>
                <w:szCs w:val="16"/>
              </w:rPr>
              <w:t xml:space="preserve">$0.05 USDC per premium synthesis via Circle</w:t>
            </w:r>
          </w:p>
        </w:tc>
      </w:tr>
    </w:tbl>
    <w:p>
      <w:r>
        <w:br w:type="page"/>
      </w: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Layer</w:t>
            </w:r>
          </w:p>
        </w:tc>
        <w:tc>
          <w:tcPr>
            <w:tcW w:type="dxa" w:w="696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Technology</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Backend</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Python 3.12 · FastAPI · Uvicorn · httpx · asyncio</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Frontend</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React 18 · Vite 6 · Recharts · WebSocket</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AI Engine</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Claude Opus 4.6 (Anthropic API) · Rule-based fallback</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Data Source</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FRED API (Federal Reserve Economic Data) · 127 series</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Payments</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x402 Protocol · Circle USDC · $0.05/synthesis micropayment</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Deployment</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Docker Compose · Morph Cloud · OpenClaw Skill</w:t>
            </w:r>
          </w:p>
        </w:tc>
      </w:tr>
      <w:tr>
        <w:tc>
          <w:tcPr>
            <w:tcW w:type="dxa" w:w="240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Monitoring</w:t>
            </w:r>
          </w:p>
        </w:tc>
        <w:tc>
          <w:tcPr>
            <w:tcW w:type="dxa" w:w="69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Prompt lifecycle tracking · Confidence scoring · Regime detection</w:t>
            </w:r>
          </w:p>
        </w:tc>
      </w:tr>
    </w:tbl>
    <w:p>
      <w:pPr>
        <w:pStyle w:val="Heading1"/>
      </w:pPr>
      <w:r>
        <w:t xml:space="preserve">8. Key Correlations</w:t>
      </w:r>
    </w:p>
    <w:p>
      <w:pPr>
        <w:spacing w:after="200"/>
      </w:pPr>
      <w:r>
        <w:rPr>
          <w:rFonts w:ascii="Arial" w:cs="Arial" w:eastAsia="Arial" w:hAnsi="Arial"/>
          <w:color w:val="64748B"/>
          <w:sz w:val="20"/>
          <w:szCs w:val="20"/>
        </w:rPr>
        <w:t xml:space="preserve">Proprietary macro-to-crypto transmission channels encoded from 20 years of quantitative finance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Channel</w:t>
            </w:r>
          </w:p>
        </w:tc>
        <w:tc>
          <w:tcPr>
            <w:tcW w:type="dxa" w:w="156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Correlation</w:t>
            </w:r>
          </w:p>
        </w:tc>
        <w:tc>
          <w:tcPr>
            <w:tcW w:type="dxa" w:w="156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Lag</w:t>
            </w:r>
          </w:p>
        </w:tc>
        <w:tc>
          <w:tcPr>
            <w:tcW w:type="dxa" w:w="3120"/>
            <w:gridSpan w:val="1"/>
            <w:tcBorders>
              <w:top w:val="single" w:color="334155" w:sz="1"/>
              <w:left w:val="single" w:color="334155" w:sz="1"/>
              <w:bottom w:val="single" w:color="334155" w:sz="1"/>
              <w:right w:val="single" w:color="334155" w:sz="1"/>
            </w:tcBorders>
            <w:shd w:fill="1E293B" w:val="clear"/>
            <w:tcMar>
              <w:top w:type="dxa" w:w="60"/>
              <w:left w:type="dxa" w:w="100"/>
              <w:bottom w:type="dxa" w:w="60"/>
              <w:right w:type="dxa" w:w="100"/>
            </w:tcMar>
          </w:tcPr>
          <w:p>
            <w:pPr>
              <w:spacing w:before="0" w:after="0"/>
              <w:jc w:val="left"/>
            </w:pPr>
            <w:r>
              <w:rPr>
                <w:rFonts w:ascii="Arial" w:cs="Arial" w:eastAsia="Arial" w:hAnsi="Arial"/>
                <w:b/>
                <w:bCs/>
                <w:color w:val="06B6D4"/>
                <w:sz w:val="18"/>
                <w:szCs w:val="18"/>
              </w:rPr>
              <w:t xml:space="preserve">Implication</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M2 → BTC</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22C55E"/>
                <w:sz w:val="18"/>
                <w:szCs w:val="18"/>
              </w:rPr>
              <w:t xml:space="preserve">ρ = 0.94</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~90 days</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Primary crypto bull transmission</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S&amp;P 500 → BTC</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22C55E"/>
                <w:sz w:val="18"/>
                <w:szCs w:val="18"/>
              </w:rPr>
              <w:t xml:space="preserve">ρ = 0.72–0.87</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24–48 hrs</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Equity beta confirmation signal</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USD Index → BTC</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F4444"/>
                <w:sz w:val="18"/>
                <w:szCs w:val="18"/>
              </w:rPr>
              <w:t xml:space="preserve">ρ ≈ -0.5</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Real-time</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Inverse — strong USD = crypto headwind</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VIX &gt; 30</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F59E0B"/>
                <w:sz w:val="18"/>
                <w:szCs w:val="18"/>
              </w:rPr>
              <w:t xml:space="preserve">Threshold</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Immediate</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MEV liquidation cascades triggered</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Credit → DeFi</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F59E0B"/>
                <w:sz w:val="18"/>
                <w:szCs w:val="18"/>
              </w:rPr>
              <w:t xml:space="preserve">Spread-dep.</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24–72 hrs</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HY spread widening → DeFi TVL outflows</w:t>
            </w:r>
          </w:p>
        </w:tc>
      </w:tr>
      <w:tr>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ISM &gt; 50</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22C55E"/>
                <w:sz w:val="18"/>
                <w:szCs w:val="18"/>
              </w:rPr>
              <w:t xml:space="preserve">Threshold</w:t>
            </w:r>
          </w:p>
        </w:tc>
        <w:tc>
          <w:tcPr>
            <w:tcW w:type="dxa" w:w="156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~30 days</w:t>
            </w:r>
          </w:p>
        </w:tc>
        <w:tc>
          <w:tcPr>
            <w:tcW w:type="dxa" w:w="3120"/>
            <w:gridSpan w:val="1"/>
            <w:tcBorders>
              <w:top w:val="single" w:color="334155" w:sz="1"/>
              <w:left w:val="single" w:color="334155" w:sz="1"/>
              <w:bottom w:val="single" w:color="334155" w:sz="1"/>
              <w:right w:val="single" w:color="334155" w:sz="1"/>
            </w:tcBorders>
            <w:shd w:fill="0F172A" w:val="clear"/>
            <w:tcMar>
              <w:top w:type="dxa" w:w="60"/>
              <w:left w:type="dxa" w:w="100"/>
              <w:bottom w:type="dxa" w:w="60"/>
              <w:right w:type="dxa" w:w="100"/>
            </w:tcMar>
          </w:tcPr>
          <w:p>
            <w:pPr>
              <w:spacing w:before="0" w:after="0"/>
              <w:jc w:val="left"/>
            </w:pPr>
            <w:r>
              <w:rPr>
                <w:rFonts w:ascii="Arial" w:cs="Arial" w:eastAsia="Arial" w:hAnsi="Arial"/>
                <w:b w:val="false"/>
                <w:bCs w:val="false"/>
                <w:color w:val="E2E8F4"/>
                <w:sz w:val="18"/>
                <w:szCs w:val="18"/>
              </w:rPr>
              <w:t xml:space="preserve">Expansion → altseason trigger</w:t>
            </w:r>
          </w:p>
        </w:tc>
      </w:tr>
    </w:tbl>
    <w:p>
      <w:pPr>
        <w:spacing w:before="400" w:after="200"/>
      </w:pPr>
    </w:p>
    <w:p>
      <w:pPr>
        <w:spacing w:after="0"/>
      </w:pPr>
      <w:r>
        <w:rPr>
          <w:rFonts w:ascii="Arial" w:cs="Arial" w:eastAsia="Arial" w:hAnsi="Arial"/>
          <w:i/>
          <w:iCs/>
          <w:color w:val="64748B"/>
          <w:sz w:val="18"/>
          <w:szCs w:val="18"/>
        </w:rPr>
        <w:t xml:space="preserve">— End of Architecture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4"/>
        <w:szCs w:val="14"/>
      </w:rPr>
      <w:t xml:space="preserve">AdaBoost 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4"/>
        <w:szCs w:val="14"/>
      </w:rPr>
      <w:t xml:space="preserve">MACRO INTELLIGENCE PLATFORM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B6D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8B5CF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2026-02-25T08:21:58.203Z</dcterms:created>
  <dcterms:modified xsi:type="dcterms:W3CDTF">2026-02-25T08:21:58.204Z</dcterms:modified>
</cp:coreProperties>
</file>

<file path=docProps/custom.xml><?xml version="1.0" encoding="utf-8"?>
<Properties xmlns="http://schemas.openxmlformats.org/officeDocument/2006/custom-properties" xmlns:vt="http://schemas.openxmlformats.org/officeDocument/2006/docPropsVTypes"/>
</file>