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sitkaz.kz — как встроить материал книги в приложение</w:t>
      </w:r>
    </w:p>
    <w:p>
      <w:pPr>
        <w:spacing w:after="200"/>
      </w:pPr>
      <w:r>
        <w:rPr>
          <w:color w:val="666666"/>
          <w:sz w:val="20"/>
          <w:szCs w:val="20"/>
        </w:rPr>
        <w:t xml:space="preserve">Аналитическая записка для ознакомления. В коде приложения ничего не менялось.</w:t>
      </w:r>
    </w:p>
    <w:p>
      <w:pPr>
        <w:pStyle w:val="Heading1"/>
        <w:spacing w:after="140" w:before="320"/>
      </w:pPr>
      <w:r>
        <w:t xml:space="preserve">1. Главный вывод</w:t>
      </w:r>
    </w:p>
    <w:p>
      <w:pPr>
        <w:spacing w:after="130"/>
      </w:pPr>
      <w:r>
        <w:t xml:space="preserve">У книги есть готовая авторская структура, которая ложится на приложение лучше, чем нынешние фразы-заготовки. Не нужно придумывать модули и уроки — они уже заданы: 14 глав, внутри пронумерованные подглавы (1.1, 1.2, 2.1 …). Это снимает всю работу по проектированию оглавления курса.</w:t>
      </w:r>
    </w:p>
    <w:p>
      <w:pPr>
        <w:spacing w:after="130"/>
      </w:pPr>
      <w:r>
        <w:t xml:space="preserve">Есть принципиальный момент, который надо решить до наполнения (см. раздел 5 о правах). От него зависит, переносим ли мы текст как есть или используем книгу как каркас, наполняя своими формулировками.</w:t>
      </w:r>
    </w:p>
    <w:p>
      <w:pPr>
        <w:pStyle w:val="Heading1"/>
        <w:spacing w:after="140" w:before="320"/>
      </w:pPr>
      <w:r>
        <w:t xml:space="preserve">2. Что реально лежит в каждой главе</w:t>
      </w:r>
    </w:p>
    <w:p>
      <w:pPr>
        <w:spacing w:after="130"/>
      </w:pPr>
      <w:r>
        <w:t xml:space="preserve">Разобрав главы, я вижу пять разных типов учебных единиц. Сейчас в приложении есть только один из них (плоские «фразы»). Вот все пять: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Термины и понятия. </w:t>
      </w:r>
      <w:r>
        <w:t xml:space="preserve">Короткие казахские слова с точным значением (термины родства, названия обычаев, ключевые понятия) — это словарь.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Пословицы (мақал-мәтел). </w:t>
      </w:r>
      <w:r>
        <w:t xml:space="preserve">Казахский оригинал + смысл/эквивалент. Их в книге очень много — это её ядро и сильнейшая сторона.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Фразеологизмы и языковые штампы. </w:t>
      </w:r>
      <w:r>
        <w:t xml:space="preserve">Готовые выражения под ситуацию: благопожелания, устойчивые реакции, формулы вежливости. Ближе всего к нынешним «ситуативным фразам».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Устойчивые словосочетания. </w:t>
      </w:r>
      <w:r>
        <w:t xml:space="preserve">Например, целые таблицы сочетаний вокруг одного слова со значениями — удобный отдельный формат «слово + сочетания».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Культурные заметки. </w:t>
      </w:r>
      <w:r>
        <w:t xml:space="preserve">2–3 абзаца объяснения «почему так у казахов» (устройство родословной, жузы, гостеприимство). Короткий экран-чтение перед изучением фраз — именно это делает курс «ситуативным».</w:t>
      </w:r>
    </w:p>
    <w:p>
      <w:pPr>
        <w:pStyle w:val="Heading1"/>
        <w:spacing w:after="140" w:before="320"/>
      </w:pPr>
      <w:r>
        <w:t xml:space="preserve">3. Как это ложится на структуру бота</w:t>
      </w:r>
    </w:p>
    <w:p>
      <w:pPr>
        <w:pStyle w:val="Heading2"/>
        <w:spacing w:after="100" w:before="240"/>
      </w:pPr>
      <w:r>
        <w:t xml:space="preserve">Модули = главы (их 14)</w:t>
      </w:r>
    </w:p>
    <w:p>
      <w:pPr>
        <w:spacing w:after="130"/>
      </w:pPr>
      <w:r>
        <w:t xml:space="preserve">Сейчас 3 модуля-заготовки. Заменяем на реальные главы книги: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pct" w:w="15%"/>
            <w:shd w:fill="F295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№</w:t>
            </w:r>
          </w:p>
        </w:tc>
        <w:tc>
          <w:tcPr>
            <w:tcW w:type="pct" w:w="85%"/>
            <w:shd w:fill="F295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Тема (модуль)</w:t>
            </w:r>
          </w:p>
        </w:tc>
      </w:tr>
      <w:tr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</w:t>
            </w:r>
          </w:p>
        </w:tc>
        <w:tc>
          <w:tcPr>
            <w:tcW w:type="pct" w:w="8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Происхождение (ТЕК)</w:t>
            </w:r>
          </w:p>
        </w:tc>
      </w:tr>
      <w:tr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II</w:t>
            </w:r>
          </w:p>
        </w:tc>
        <w:tc>
          <w:tcPr>
            <w:tcW w:type="pct" w:w="8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Семья (ҮЙ-ІШІ)</w:t>
            </w:r>
          </w:p>
        </w:tc>
      </w:tr>
      <w:tr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III</w:t>
            </w:r>
          </w:p>
        </w:tc>
        <w:tc>
          <w:tcPr>
            <w:tcW w:type="pct" w:w="8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Родственники (ТУҒАН-ТУЫСҚАН)</w:t>
            </w:r>
          </w:p>
        </w:tc>
      </w:tr>
      <w:tr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IV</w:t>
            </w:r>
          </w:p>
        </w:tc>
        <w:tc>
          <w:tcPr>
            <w:tcW w:type="pct" w:w="8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Характер (МІНЕЗ)</w:t>
            </w:r>
          </w:p>
        </w:tc>
      </w:tr>
      <w:tr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</w:t>
            </w:r>
          </w:p>
        </w:tc>
        <w:tc>
          <w:tcPr>
            <w:tcW w:type="pct" w:w="8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Наследие (МҰРА)</w:t>
            </w:r>
          </w:p>
        </w:tc>
      </w:tr>
      <w:tr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</w:t>
            </w:r>
          </w:p>
        </w:tc>
        <w:tc>
          <w:tcPr>
            <w:tcW w:type="pct" w:w="8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Мировоззрение (КӨЗҚАРАС)</w:t>
            </w:r>
          </w:p>
        </w:tc>
      </w:tr>
      <w:tr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VII</w:t>
            </w:r>
          </w:p>
        </w:tc>
        <w:tc>
          <w:tcPr>
            <w:tcW w:type="pct" w:w="8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Этикет (ЖӨН БІЛУ)</w:t>
            </w:r>
          </w:p>
        </w:tc>
      </w:tr>
      <w:tr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VIII</w:t>
            </w:r>
          </w:p>
        </w:tc>
        <w:tc>
          <w:tcPr>
            <w:tcW w:type="pct" w:w="8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Женитьба (ҮЙЛЕНУ)</w:t>
            </w:r>
          </w:p>
        </w:tc>
      </w:tr>
      <w:tr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IX</w:t>
            </w:r>
          </w:p>
        </w:tc>
        <w:tc>
          <w:tcPr>
            <w:tcW w:type="pct" w:w="8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Похороны (ЖЕРЛЕУ)</w:t>
            </w:r>
          </w:p>
        </w:tc>
      </w:tr>
      <w:tr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X</w:t>
            </w:r>
          </w:p>
        </w:tc>
        <w:tc>
          <w:tcPr>
            <w:tcW w:type="pct" w:w="8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Пожелания (БАТА-ТІЛЕК)</w:t>
            </w:r>
          </w:p>
        </w:tc>
      </w:tr>
      <w:tr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XI</w:t>
            </w:r>
          </w:p>
        </w:tc>
        <w:tc>
          <w:tcPr>
            <w:tcW w:type="pct" w:w="8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Пословицы (МАҚАЛ)</w:t>
            </w:r>
          </w:p>
        </w:tc>
      </w:tr>
      <w:tr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XII</w:t>
            </w:r>
          </w:p>
        </w:tc>
        <w:tc>
          <w:tcPr>
            <w:tcW w:type="pct" w:w="8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Фразеологизмы</w:t>
            </w:r>
          </w:p>
        </w:tc>
      </w:tr>
      <w:tr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XIII</w:t>
            </w:r>
          </w:p>
        </w:tc>
        <w:tc>
          <w:tcPr>
            <w:tcW w:type="pct" w:w="8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Имена (АТТАР)</w:t>
            </w:r>
          </w:p>
        </w:tc>
      </w:tr>
      <w:tr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XIV</w:t>
            </w:r>
          </w:p>
        </w:tc>
        <w:tc>
          <w:tcPr>
            <w:tcW w:type="pct" w:w="8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Поговорки о родах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t xml:space="preserve">Уроки = подглавы</w:t>
      </w:r>
    </w:p>
    <w:p>
      <w:pPr>
        <w:spacing w:after="130"/>
      </w:pPr>
      <w:r>
        <w:t xml:space="preserve">Они уже пронумерованы в книге (например, глава II: 2.1 дедушка-бабушка, 2.2 отец-мать, 2.3 супруги, 2.4 дети). Берём прямо эту разбивку.</w:t>
      </w:r>
    </w:p>
    <w:p>
      <w:pPr>
        <w:pStyle w:val="Heading2"/>
        <w:spacing w:after="100" w:before="240"/>
      </w:pPr>
      <w:r>
        <w:t xml:space="preserve">Единица контента получает тип</w:t>
      </w:r>
    </w:p>
    <w:p>
      <w:pPr>
        <w:spacing w:after="130"/>
      </w:pPr>
      <w:r>
        <w:t xml:space="preserve">Сейчас урок — плоский список фраз. Предлагаю каждой единице дать поле type, а уроку — опциональную вступительную заметку. Схематично: у урока есть заголовок (казахский), перевод названия, короткая культурная заметка (2–3 абзаца) и список элементов, каждый из которых помечен типом: термин, пословица, фраза или устойчивое сочетание, с казахским оригиналом, переводом и произношением. Это обратно совместимо: старые фразы просто получают тип «фраза».</w:t>
      </w:r>
    </w:p>
    <w:p>
      <w:pPr>
        <w:pStyle w:val="Heading1"/>
        <w:spacing w:after="140" w:before="320"/>
      </w:pPr>
      <w:r>
        <w:t xml:space="preserve">4. Что добавить в интерфейсе</w:t>
      </w:r>
    </w:p>
    <w:p>
      <w:pPr>
        <w:spacing w:after="130"/>
      </w:pPr>
      <w:r>
        <w:t xml:space="preserve">Небольшие расширения нынешнего пошагового тренажёра (Изучение → Практика → Экзамен):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Экран-заметка </w:t>
      </w:r>
      <w:r>
        <w:t xml:space="preserve">в начале урока: 2–3 абзаца контекста перед фразами, барс-маскот в роли рассказчика. Сначала «почему так», потом сами выражения.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Карточка «пословица» </w:t>
      </w:r>
      <w:r>
        <w:t xml:space="preserve">— визуально отличается от обычной фразы (значок, подпись «мақал»), оригинал крупно + смысл. В квизе — упражнение «подбери смысл».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Карточка «термин» </w:t>
      </w:r>
      <w:r>
        <w:t xml:space="preserve">— казахское слово + короткое определение; в квизе «что означает».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Формат «слово и его сочетания» </w:t>
      </w:r>
      <w:r>
        <w:t xml:space="preserve">— для таблиц вокруг одного слова: один экран-хаб со списком сочетаний и переводами.</w:t>
      </w:r>
    </w:p>
    <w:p>
      <w:pPr>
        <w:spacing w:after="130"/>
      </w:pPr>
      <w:r>
        <w:t xml:space="preserve">Ни один существующий экран при этом не ломается — это добавления поверх.</w:t>
      </w:r>
    </w:p>
    <w:p>
      <w:pPr>
        <w:pStyle w:val="Heading1"/>
        <w:spacing w:after="140" w:before="320"/>
      </w:pPr>
      <w:r>
        <w:t xml:space="preserve">5. Права (решить до наполнения)</w:t>
      </w:r>
    </w:p>
    <w:p>
      <w:pPr>
        <w:spacing w:after="130"/>
      </w:pPr>
      <w:r>
        <w:t xml:space="preserve">Книга помечена запретом на воспроизведение без письменного разрешения автора. Приложение публичное (живёт на Vercel), поэтому дословный перенос пословиц, фраз и авторских переводов в бот равнозначен воспроизведению. Два чистых пути: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A. Получить разрешение </w:t>
      </w:r>
      <w:r>
        <w:t xml:space="preserve">Каната Тасибекова на использование материала. Тогда переносим содержимое как есть — лучший вариант по качеству.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B. Книга как каркас. </w:t>
      </w:r>
      <w:r>
        <w:t xml:space="preserve">Используем её структуру (главы, подглавы, набор тем и понятий — это факты, не объект охраны), а конкретные фразы, пословицы и пояснения формулируем самостоятельно или из открытых источников.</w:t>
      </w:r>
    </w:p>
    <w:p>
      <w:pPr>
        <w:spacing w:after="130"/>
      </w:pPr>
      <w:r>
        <w:t xml:space="preserve">Оба пути совместимы с планом выше. Разница только в том, откуда берётся текст внутри слотов.</w:t>
      </w:r>
    </w:p>
    <w:p>
      <w:pPr>
        <w:pStyle w:val="Heading1"/>
        <w:spacing w:after="140" w:before="320"/>
      </w:pPr>
      <w:r>
        <w:t xml:space="preserve">6. Предлагаемый порядок работ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Расширить модель данных (тип элемента + заметка урока) и добавить новые типы карточек и экран-заметку — на 1–2 примерах-заглушках, чтобы увидеть, как урок из книги выглядит в боте. Это чистая разработка, без контента.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Определиться с правами (путь A или B).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Наполнить главы контентом по выбранному пути, поглавно.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Постепенно заменить нынешние фразы-заготовки на реальную структуру.</w:t>
      </w:r>
    </w:p>
    <w:p>
      <w:pPr>
        <w:spacing w:after="130"/>
      </w:pPr>
      <w:r>
        <w:t xml:space="preserve">Кидать остальные главы для проектирования уже не нужно — структуру видно целиком. Главы понадобятся только на этапе наполнения (шаг 3).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2026-07-23T19:33:24.235Z</dcterms:created>
  <dcterms:modified xsi:type="dcterms:W3CDTF">2026-07-23T19:33:24.235Z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