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2"/>
          <w:sz w:val="32"/>
          <w:szCs w:val="32"/>
        </w:rPr>
        <w:t xml:space="preserve">Разбор двух видео и как добавить их в приложение</w:t>
      </w:r>
    </w:p>
    <w:p>
      <w:pPr>
        <w:pBdr>
          <w:bottom w:val="single" w:color="C56A1B" w:sz="8"/>
        </w:pBdr>
        <w:spacing w:after="200"/>
      </w:pPr>
      <w:r>
        <w:rPr>
          <w:color w:val="5A6B7B"/>
          <w:sz w:val="18"/>
          <w:szCs w:val="18"/>
        </w:rPr>
        <w:t xml:space="preserve">Проект sitkaz  ·  Дата: 4 августа 2026  ·  Черновик — код не меняется</w:t>
      </w:r>
    </w:p>
    <w:p>
      <w:pPr>
        <w:pStyle w:val="Heading1"/>
        <w:spacing w:after="120" w:before="300"/>
      </w:pPr>
      <w:r>
        <w:rPr>
          <w:b/>
          <w:bCs/>
          <w:color w:val="1F3A52"/>
        </w:rPr>
        <w:t xml:space="preserve">1. Что это за видео</w:t>
      </w:r>
    </w:p>
    <w:p>
      <w:pPr>
        <w:spacing w:after="120" w:line="278"/>
      </w:pPr>
      <w:r>
        <w:rPr>
          <w:sz w:val="21"/>
          <w:szCs w:val="21"/>
        </w:rPr>
        <w:t xml:space="preserve">Два коротких анимированных ролика-инфографики на красном фоне (тот же красный, что у новой иконки sit·kaz), со звуком. Это готовые видео-лекции по теме «Приветствие» — оформлены аккуратно, в фирменном стиле, с орнаментом. Оба напрямую относятся к уроку 1 (ТЕК · Сәлем беру, қоштасу).</w:t>
      </w:r>
    </w:p>
    <w:tbl>
      <w:tblPr>
        <w:tblW w:type="dxa" w:w="8800"/>
        <w:tblBorders>
          <w:top w:val="single" w:color="EAF2F9" w:sz="4"/>
          <w:left w:val="single" w:color="EAF2F9" w:sz="4"/>
          <w:bottom w:val="single" w:color="EAF2F9" w:sz="4"/>
          <w:right w:val="single" w:color="EAF2F9" w:sz="4"/>
          <w:insideH w:val="single" w:color="EAF2F9" w:sz="4"/>
          <w:insideV w:val="single" w:color="EAF2F9" w:sz="4"/>
        </w:tblBorders>
      </w:tblPr>
      <w:tblGrid>
        <w:gridCol w:w="2400"/>
        <w:gridCol w:w="1800"/>
        <w:gridCol w:w="4600"/>
      </w:tblGrid>
      <w:tr>
        <w:trPr>
          <w:tblHeader/>
        </w:trPr>
        <w:tc>
          <w:tcPr>
            <w:tcW w:type="dxa" w:w="2400"/>
            <w:shd w:fill="1F3A52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1800"/>
            <w:shd w:fill="1F3A52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Длительность</w:t>
            </w:r>
          </w:p>
        </w:tc>
        <w:tc>
          <w:tcPr>
            <w:tcW w:type="dxa" w:w="4600"/>
            <w:shd w:fill="1F3A52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Тема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2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Видео 1 (67f0…)</w:t>
            </w:r>
          </w:p>
        </w:tc>
        <w:tc>
          <w:tcPr>
            <w:tcW w:type="dxa" w:w="18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2:53</w:t>
            </w:r>
          </w:p>
        </w:tc>
        <w:tc>
          <w:tcPr>
            <w:tcW w:type="dxa" w:w="46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Три уровня вежливости приветствия (ты / вы / вы мн.)</w:t>
            </w:r>
          </w:p>
        </w:tc>
      </w:tr>
      <w:tr>
        <w:tc>
          <w:tcPr>
            <w:tcW w:type="dxa" w:w="24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2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Видео 2 (f342…)</w:t>
            </w:r>
          </w:p>
        </w:tc>
        <w:tc>
          <w:tcPr>
            <w:tcW w:type="dxa" w:w="18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1:50</w:t>
            </w:r>
          </w:p>
        </w:tc>
        <w:tc>
          <w:tcPr>
            <w:tcW w:type="dxa" w:w="46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Этикет: кто кого приветствует первым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A52"/>
        </w:rPr>
        <w:t xml:space="preserve">2. Видео 1 — уровни вежливости приветствия</w:t>
      </w:r>
    </w:p>
    <w:p>
      <w:pPr>
        <w:spacing w:after="120" w:line="278"/>
      </w:pPr>
      <w:r>
        <w:rPr>
          <w:sz w:val="21"/>
          <w:szCs w:val="21"/>
        </w:rPr>
        <w:t xml:space="preserve">Анимация показывает, как одни и те же приветствия меняются по форме в зависимости от того, к кому обращаешься: «ты», «вы» (вежливо) и «вы» (множественное). Фразы «расходятся» от блоков ТЫ / ВЫ / ВЫ(мн.).</w:t>
      </w:r>
    </w:p>
    <w:tbl>
      <w:tblPr>
        <w:tblW w:type="dxa" w:w="8800"/>
        <w:tblBorders>
          <w:top w:val="single" w:color="EAF2F9" w:sz="4"/>
          <w:left w:val="single" w:color="EAF2F9" w:sz="4"/>
          <w:bottom w:val="single" w:color="EAF2F9" w:sz="4"/>
          <w:right w:val="single" w:color="EAF2F9" w:sz="4"/>
          <w:insideH w:val="single" w:color="EAF2F9" w:sz="4"/>
          <w:insideV w:val="single" w:color="EAF2F9" w:sz="4"/>
        </w:tblBorders>
      </w:tblPr>
      <w:tblGrid>
        <w:gridCol w:w="2900"/>
        <w:gridCol w:w="2900"/>
        <w:gridCol w:w="3000"/>
      </w:tblGrid>
      <w:tr>
        <w:trPr>
          <w:tblHeader/>
        </w:trPr>
        <w:tc>
          <w:tcPr>
            <w:tcW w:type="dxa" w:w="2900"/>
            <w:shd w:fill="1F3A52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Ты</w:t>
            </w:r>
          </w:p>
        </w:tc>
        <w:tc>
          <w:tcPr>
            <w:tcW w:type="dxa" w:w="2900"/>
            <w:shd w:fill="1F3A52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Вы (вежл.)</w:t>
            </w:r>
          </w:p>
        </w:tc>
        <w:tc>
          <w:tcPr>
            <w:tcW w:type="dxa" w:w="3000"/>
            <w:shd w:fill="1F3A52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Вы (мн.)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2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Сәлеметсің бе! — Здравствуй!</w:t>
            </w:r>
          </w:p>
        </w:tc>
        <w:tc>
          <w:tcPr>
            <w:tcW w:type="dxa" w:w="29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Сәлеметсіз бе! — Здравствуйте!</w:t>
            </w:r>
          </w:p>
        </w:tc>
        <w:tc>
          <w:tcPr>
            <w:tcW w:type="dxa" w:w="30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Сәлеметсіздер ме! — Здравствуйте!</w:t>
            </w:r>
          </w:p>
        </w:tc>
      </w:tr>
      <w:tr>
        <w:tc>
          <w:tcPr>
            <w:tcW w:type="dxa" w:w="29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2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Амансың ба! — Здоров ли ты?</w:t>
            </w:r>
          </w:p>
        </w:tc>
        <w:tc>
          <w:tcPr>
            <w:tcW w:type="dxa" w:w="29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Амансыз ба? — Здоровы ли вы?</w:t>
            </w:r>
          </w:p>
        </w:tc>
        <w:tc>
          <w:tcPr>
            <w:tcW w:type="dxa" w:w="30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Амансыздар ма? — Здоровы ли вы?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2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Қалайсың! — Как ты?</w:t>
            </w:r>
          </w:p>
        </w:tc>
        <w:tc>
          <w:tcPr>
            <w:tcW w:type="dxa" w:w="29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Қалайсыз? — Как вы?</w:t>
            </w:r>
          </w:p>
        </w:tc>
        <w:tc>
          <w:tcPr>
            <w:tcW w:type="dxa" w:w="30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Қалайсыздар? — Как вы?</w:t>
            </w:r>
          </w:p>
        </w:tc>
      </w:tr>
      <w:tr>
        <w:tc>
          <w:tcPr>
            <w:tcW w:type="dxa" w:w="29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2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Хал жақсы ма? — Как самочувствие?</w:t>
            </w:r>
          </w:p>
        </w:tc>
        <w:tc>
          <w:tcPr>
            <w:tcW w:type="dxa" w:w="29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Халыңыз жақсы ма? — Как ваше самочувствие?</w:t>
            </w:r>
          </w:p>
        </w:tc>
        <w:tc>
          <w:tcPr>
            <w:tcW w:type="dxa" w:w="3000"/>
            <w:shd w:fill="F4F8F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Халдарыңыз жақсы ма? — Как ваше самочувствие?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2"/>
            </w:pPr>
            <w:r>
              <w:rPr>
                <w:b/>
                <w:bCs/>
                <w:color w:val="7A3E12"/>
                <w:sz w:val="19"/>
                <w:szCs w:val="19"/>
              </w:rPr>
              <w:t xml:space="preserve">Армысың! — Приветствую тебя!</w:t>
            </w:r>
          </w:p>
        </w:tc>
        <w:tc>
          <w:tcPr>
            <w:tcW w:type="dxa" w:w="29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Армысыз! — Приветствую Вас!</w:t>
            </w:r>
          </w:p>
        </w:tc>
        <w:tc>
          <w:tcPr>
            <w:tcW w:type="dxa" w:w="3000"/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Армысыздар! — Приветствую вас!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A52"/>
        </w:rPr>
        <w:t xml:space="preserve">3. Видео 2 — кто приветствует первым (этикет)</w:t>
      </w:r>
    </w:p>
    <w:p>
      <w:pPr>
        <w:spacing w:after="120" w:line="278"/>
      </w:pPr>
      <w:r>
        <w:rPr>
          <w:b/>
          <w:bCs/>
          <w:sz w:val="21"/>
          <w:szCs w:val="21"/>
        </w:rPr>
        <w:t xml:space="preserve">Вступление: </w:t>
      </w:r>
      <w:r>
        <w:rPr>
          <w:sz w:val="21"/>
          <w:szCs w:val="21"/>
        </w:rPr>
        <w:t xml:space="preserve">«Қазақ халқының ата салты бойынша, сәлем беру әдептеріне сүйенсек…» — «По обычаям предков, если опираться на этикет приветствия…». Далее — правила, кто здоровается первым: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Аттылы → жаяуға</w:t>
      </w:r>
      <w:r>
        <w:rPr>
          <w:sz w:val="21"/>
          <w:szCs w:val="21"/>
        </w:rPr>
        <w:t xml:space="preserve"> — всадник (верхом) приветствует пешего.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Жүріп келе жатқан → отырғанға</w:t>
      </w:r>
      <w:r>
        <w:rPr>
          <w:sz w:val="21"/>
          <w:szCs w:val="21"/>
        </w:rPr>
        <w:t xml:space="preserve"> — идущий приветствует сидящего.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Азшылық → көпшілікке</w:t>
      </w:r>
      <w:r>
        <w:rPr>
          <w:sz w:val="21"/>
          <w:szCs w:val="21"/>
        </w:rPr>
        <w:t xml:space="preserve"> — меньшинство приветствует большинство.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Жасы кішісі → жасы үлкенге</w:t>
      </w:r>
      <w:r>
        <w:rPr>
          <w:sz w:val="21"/>
          <w:szCs w:val="21"/>
        </w:rPr>
        <w:t xml:space="preserve"> — младший приветствует старшего.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Ер адам әйел адамға бірінші</w:t>
      </w:r>
      <w:r>
        <w:rPr>
          <w:sz w:val="21"/>
          <w:szCs w:val="21"/>
        </w:rPr>
        <w:t xml:space="preserve"> — мужчина приветствует женщину первым.</w:t>
      </w:r>
    </w:p>
    <w:p>
      <w:pPr>
        <w:pStyle w:val="Heading1"/>
        <w:spacing w:after="120" w:before="300"/>
      </w:pPr>
      <w:r>
        <w:rPr>
          <w:b/>
          <w:bCs/>
          <w:color w:val="1F3A52"/>
        </w:rPr>
        <w:t xml:space="preserve">4. Моя оценка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Качество — высокое. </w:t>
      </w:r>
      <w:r>
        <w:rPr>
          <w:sz w:val="21"/>
          <w:szCs w:val="21"/>
        </w:rPr>
        <w:t xml:space="preserve">Ролики чистые, анимированные, со звуком, в едином фирменном стиле (красный + орнамент, как иконка и логотип). Выглядят как готовый продукт, не черновик.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Попадание в контент — точное. </w:t>
      </w:r>
      <w:r>
        <w:rPr>
          <w:sz w:val="21"/>
          <w:szCs w:val="21"/>
        </w:rPr>
        <w:t xml:space="preserve">Видео 1 — ровно та система приветствий (ты/вы/вы мн.), что уже есть словами в уроке 1. Видео 2 — культурный этикет «кто первым здоровается», которого в тексте нет — отличное дополнение.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Педагогическая польза — большая. </w:t>
      </w:r>
      <w:r>
        <w:rPr>
          <w:sz w:val="21"/>
          <w:szCs w:val="21"/>
        </w:rPr>
        <w:t xml:space="preserve">Превращают список слов в живую мини-лекцию: визуально + на слух, разные каналы восприятия — лучше запоминается. Особенно ценно для темы «Приветствие», с которой все начинают.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Формат — идеален для поля video. </w:t>
      </w:r>
      <w:r>
        <w:rPr>
          <w:sz w:val="21"/>
          <w:szCs w:val="21"/>
        </w:rPr>
        <w:t xml:space="preserve">В приложении у каждого урока уже есть поле video (сейчас пустое) и заготовка плеера в CSS. Эти ролики ложатся туда как видео-лекция урока 1.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Что учесть. </w:t>
      </w:r>
      <w:r>
        <w:rPr>
          <w:sz w:val="21"/>
          <w:szCs w:val="21"/>
        </w:rPr>
        <w:t xml:space="preserve">Нужно решить хостинг и подключить плеер в код (каркас есть, JSX-часть — небольшая доработка). И убедиться в правах на ролики (если делались для тебя/тобой — всё чисто).</w:t>
      </w:r>
    </w:p>
    <w:p>
      <w:pPr>
        <w:pStyle w:val="Heading1"/>
        <w:spacing w:after="120" w:before="300"/>
      </w:pPr>
      <w:r>
        <w:rPr>
          <w:b/>
          <w:bCs/>
          <w:color w:val="1F3A52"/>
        </w:rPr>
        <w:t xml:space="preserve">5. Как добавить в приложение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Шаг 1 — хостинг. </w:t>
      </w:r>
      <w:r>
        <w:rPr>
          <w:sz w:val="21"/>
          <w:szCs w:val="21"/>
        </w:rPr>
        <w:t xml:space="preserve">Ролики лёгкие (13 и 20 МБ). Варианты: Vimeo (чисто, без рекламы, ок в Telegram), свой mp4 на CDN (Cloudflare/Bunny), либо YouTube (бесплатно, но в Telegram капризнее). Для мини-аппа надёжнее Vimeo или прямой mp4.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Шаг 2 — привязать к уроку. </w:t>
      </w:r>
      <w:r>
        <w:rPr>
          <w:sz w:val="21"/>
          <w:szCs w:val="21"/>
        </w:rPr>
        <w:t xml:space="preserve">Вписать ссылку в поле video урока 1 в data/course.js. Оба ролика — для урока 1; можно склеить в один или показать оба (лекция + этикет).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Шаг 3 — подключить плеер. </w:t>
      </w:r>
      <w:r>
        <w:rPr>
          <w:sz w:val="21"/>
          <w:szCs w:val="21"/>
        </w:rPr>
        <w:t xml:space="preserve">Вывести видео в начале этапа «Изучение»: &lt;iframe&gt; для Vimeo/YouTube или &lt;video&gt; для mp4. Готовый CSS (.video-box) уже есть — нужен небольшой кусок JSX.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sz w:val="21"/>
          <w:szCs w:val="21"/>
        </w:rPr>
        <w:t xml:space="preserve">Куда показывать. </w:t>
      </w:r>
      <w:r>
        <w:rPr>
          <w:sz w:val="21"/>
          <w:szCs w:val="21"/>
        </w:rPr>
        <w:t xml:space="preserve">Лучше всего — экран-заставка урока перед карточками: «Посмотри лекцию → затем слова». Если video пусто у других уроков — там остаётся текущий поток без видео.</w:t>
      </w:r>
    </w:p>
    <w:p>
      <w:pPr>
        <w:spacing w:after="120" w:line="278"/>
      </w:pPr>
      <w:r>
        <w:rPr>
          <w:b/>
          <w:bCs/>
          <w:sz w:val="21"/>
          <w:szCs w:val="21"/>
        </w:rPr>
        <w:t xml:space="preserve">Рекомендация: </w:t>
      </w:r>
      <w:r>
        <w:rPr>
          <w:sz w:val="21"/>
          <w:szCs w:val="21"/>
        </w:rPr>
        <w:t xml:space="preserve">подключить оба ролика к уроку 1 как видео-лекцию (лекция про уровни вежливости + этикет «кто первым»). Это сильно усилит первый урок и покажет, что курс — не только карточки. Дальше по такому же принципу можно добавлять видео к другим темам.</w:t>
      </w:r>
    </w:p>
    <w:p>
      <w:pPr>
        <w:pBdr>
          <w:top w:val="single" w:color="EAF2F9" w:sz="6"/>
        </w:pBdr>
        <w:spacing w:before="240"/>
      </w:pPr>
      <w:r>
        <w:rPr>
          <w:i/>
          <w:iCs/>
          <w:color w:val="5A6B7B"/>
          <w:sz w:val="20"/>
          <w:szCs w:val="20"/>
        </w:rPr>
        <w:t xml:space="preserve">Итог: два качественных фирменных ролика точно по уроку 1 — готовы к использованию. Нужен только хостинг и небольшая доработка плеера (каркас в CSS уже есть). Пока ничего не трогаю — жду решения по хостингу и подключению.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C56A1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354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2026-08-04T11:50:23.356Z</dcterms:created>
  <dcterms:modified xsi:type="dcterms:W3CDTF">2026-08-04T11:50:23.383Z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