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Process Walkthrough Narrative</w:t>
      </w:r>
    </w:p>
    <w:p>
      <w:pPr>
        <w:pBdr>
          <w:bottom w:val="single" w:color="C49A3C" w:sz="8" w:space="2"/>
        </w:pBd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Dropdown Logistics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Process Area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Governance &amp; Oversight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Process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Framework Governance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Subprocess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Independent Review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Process Owner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CSO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Audit Period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FY2025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Dave Kitchens, CPA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2026-03-13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Template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TPL-WLK-001 v1.0.0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 Process Overview</w:t>
      </w:r>
    </w:p>
    <w:p>
      <w:pPr>
        <w:spacing w:after="200"/>
      </w:pPr>
      <w:r>
        <w:rPr>
          <w:rFonts w:ascii="Source Serif 4" w:cs="Source Serif 4" w:eastAsia="Source Serif 4" w:hAnsi="Source Serif 4"/>
        </w:rPr>
        <w:t xml:space="preserve">TRADITIONAL domain. Governance &amp; Oversight — Framework Governance.</w:t>
      </w:r>
    </w:p>
    <w:p>
      <w:pPr>
        <w:pStyle w:val="Heading2"/>
      </w:pPr>
      <w:r>
        <w:t xml:space="preserve">2. Key Control Points</w:t>
      </w:r>
    </w:p>
    <w:p>
      <w:pPr>
        <w:spacing w:after="200"/>
      </w:pPr>
      <w:r>
        <w:rPr>
          <w:rFonts w:ascii="Source Serif 4" w:cs="Source Serif 4" w:eastAsia="Source Serif 4" w:hAnsi="Source Serif 4"/>
        </w:rPr>
        <w:t xml:space="preserve">The following 1 control(s) operate within this process to mitigate identified risks:</w:t>
      </w:r>
    </w:p>
    <w:p>
      <w:pPr>
        <w:pStyle w:val="Heading3"/>
      </w:pPr>
      <w:r>
        <w:t xml:space="preserve">2.1  CTRL-GOV-001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Control Description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The DDL Audit Universe is reviewed and approved on a quarterly basis by a party independent of the framework author. The Council serves as the independent review body. The review prompt must not pre-suggest conclusions. This control governs the framework itself.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Control Type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DETECTIVE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Control Nature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Frequency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Key Control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Assertion(s)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Completeness, Accuracy, Presentation and Disclosure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Framework Ref(s)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COSO-CE-02, COSO-MA-16, COSO-MA-17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CSO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Design Effectiveness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NOT TESTED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NOT TESTED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Space Grotesk" w:cs="Space Grotesk" w:eastAsia="Space Grotesk" w:hAnsi="Space Grotesk"/>
          <w:b/>
          <w:bCs/>
          <w:sz w:val="20"/>
          <w:szCs w:val="20"/>
        </w:rPr>
        <w:t xml:space="preserve">Walkthrough Observation: </w:t>
      </w:r>
      <w:r>
        <w:rPr>
          <w:rFonts w:ascii="Source Serif 4" w:cs="Source Serif 4" w:eastAsia="Source Serif 4" w:hAnsi="Source Serif 4"/>
          <w:i/>
          <w:iCs/>
          <w:color w:val="6B7B8D"/>
        </w:rPr>
        <w:t xml:space="preserve">[Document observations from walkthrough here. Include: who performs the control, what evidence is retained, what system(s) are used, how exceptions are handled, and where documentation is stored.]</w:t>
      </w:r>
    </w:p>
    <w:p>
      <w:pPr>
        <w:pStyle w:val="Heading2"/>
      </w:pPr>
      <w:r>
        <w:t xml:space="preserve">3. Risk Summary</w:t>
      </w:r>
    </w:p>
    <w:p>
      <w:pPr>
        <w:spacing w:after="200"/>
      </w:pPr>
      <w:r>
        <w:rPr>
          <w:rFonts w:ascii="Source Serif 4" w:cs="Source Serif 4" w:eastAsia="Source Serif 4" w:hAnsi="Source Serif 4"/>
        </w:rPr>
        <w:t xml:space="preserve">The following 1 risk(s) have been identified for this process: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200"/>
        <w:gridCol w:w="29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6"/>
                <w:szCs w:val="16"/>
              </w:rPr>
              <w:t xml:space="preserve">Risk ID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6"/>
                <w:szCs w:val="16"/>
              </w:rPr>
              <w:t xml:space="preserve">Risk Description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6"/>
                <w:szCs w:val="16"/>
              </w:rPr>
              <w:t xml:space="preserve">Rating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6"/>
                <w:szCs w:val="16"/>
              </w:rPr>
              <w:t xml:space="preserve">Mapped Controls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23531"/>
                <w:sz w:val="18"/>
                <w:szCs w:val="18"/>
              </w:rPr>
              <w:t xml:space="preserve">RSK-GOV-001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b w:val="false"/>
                <w:bCs w:val="false"/>
                <w:sz w:val="18"/>
                <w:szCs w:val="18"/>
              </w:rPr>
              <w:t xml:space="preserve">The DDL Audit Universe framework is not independently reviewed, allowing structural errors, drift, or bias to persist unchallenged. Without periodic independent review, the framework becomes an assertion rather than a governed system.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sz w:val="18"/>
                <w:szCs w:val="18"/>
              </w:rPr>
              <w:t xml:space="preserve">CTRL-GOV-001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Gap Analysis</w:t>
      </w:r>
    </w:p>
    <w:p>
      <w:pPr>
        <w:spacing w:after="200"/>
      </w:pPr>
      <w:r>
        <w:rPr>
          <w:rFonts w:ascii="Source Serif 4" w:cs="Source Serif 4" w:eastAsia="Source Serif 4" w:hAnsi="Source Serif 4"/>
          <w:b/>
          <w:bCs/>
          <w:color w:val="059669"/>
        </w:rPr>
        <w:t xml:space="preserve">✓ </w:t>
      </w:r>
      <w:r>
        <w:rPr>
          <w:rFonts w:ascii="Source Serif 4" w:cs="Source Serif 4" w:eastAsia="Source Serif 4" w:hAnsi="Source Serif 4"/>
        </w:rPr>
        <w:t xml:space="preserve">All identified risks have at least one mapped control. No coverage gaps detected.</w:t>
      </w:r>
    </w:p>
    <w:p>
      <w:pPr>
        <w:spacing w:after="200"/>
      </w:pPr>
    </w:p>
    <w:p>
      <w:pPr>
        <w:pStyle w:val="Heading2"/>
      </w:pPr>
      <w:r>
        <w:t xml:space="preserve">5.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1200"/>
        <w:gridCol w:w="2280"/>
      </w:tblGrid>
      <w:tr>
        <w:trPr>
          <w:trHeight w:val="600" w:hRule="atLeast"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9A3C" w:sz="4" w:space="4"/>
      </w:pBdr>
      <w:jc w:val="center"/>
    </w:pPr>
    <w:r>
      <w:rPr>
        <w:rFonts w:ascii="JetBrains Mono" w:cs="JetBrains Mono" w:eastAsia="JetBrains Mono" w:hAnsi="JetBrains Mono"/>
        <w:color w:val="6B7B8D"/>
        <w:sz w:val="14"/>
        <w:szCs w:val="14"/>
      </w:rPr>
      <w:t xml:space="preserve">Dropdown Logistics</w:t>
    </w:r>
    <w:r>
      <w:rPr>
        <w:rFonts w:ascii="JetBrains Mono" w:cs="JetBrains Mono" w:eastAsia="JetBrains Mono" w:hAnsi="JetBrains Mono"/>
        <w:color w:val="4A5568"/>
        <w:sz w:val="14"/>
        <w:szCs w:val="14"/>
      </w:rPr>
      <w:t xml:space="preserve">  •  Chaos → Structured → Automated  •  </w:t>
    </w:r>
    <w:r>
      <w:rPr>
        <w:rFonts w:ascii="JetBrains Mono" w:cs="JetBrains Mono" w:eastAsia="JetBrains Mono" w:hAnsi="JetBrains Mono"/>
        <w:color w:val="4A5568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A556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9A3C" w:sz="6" w:space="4"/>
      </w:pBdr>
    </w:pPr>
    <w:r>
      <w:rPr>
        <w:rFonts w:ascii="Space Grotesk" w:cs="Space Grotesk" w:eastAsia="Space Grotesk" w:hAnsi="Space Grotesk"/>
        <w:b/>
        <w:bCs/>
        <w:color w:val="0D1B2A"/>
        <w:sz w:val="18"/>
        <w:szCs w:val="18"/>
      </w:rPr>
      <w:t xml:space="preserve">Dropdown Logistics</w:t>
    </w:r>
    <w:r>
      <w:rPr>
        <w:rFonts w:ascii="JetBrains Mono" w:cs="JetBrains Mono" w:eastAsia="JetBrains Mono" w:hAnsi="JetBrains Mono"/>
        <w:color w:val="6B7B8D"/>
        <w:sz w:val="14"/>
        <w:szCs w:val="14"/>
      </w:rPr>
      <w:t xml:space="preserve">  •  FY2025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erif 4" w:cs="Source Serif 4" w:eastAsia="Source Serif 4" w:hAnsi="Source Serif 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pace Grotesk" w:cs="Space Grotesk" w:eastAsia="Space Grotesk" w:hAnsi="Space Grotesk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Space Grotesk" w:cs="Space Grotesk" w:eastAsia="Space Grotesk" w:hAnsi="Space Grotesk"/>
      <w:b/>
      <w:bCs/>
      <w:color w:val="0D1B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pace Grotesk" w:cs="Space Grotesk" w:eastAsia="Space Grotesk" w:hAnsi="Space Grotesk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2026-03-13T19:57:30.900Z</dcterms:created>
  <dcterms:modified xsi:type="dcterms:W3CDTF">2026-03-13T19:57:30.900Z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