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Process Walkthrough Narrative</w:t>
      </w:r>
    </w:p>
    <w:p>
      <w:pPr>
        <w:pBdr>
          <w:bottom w:val="single" w:color="C49A3C" w:sz="8" w:space="2"/>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Company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Dropdown Logistics</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Process Area</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Human-AI Boundary</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Process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Human Confirmation</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Subprocess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Builder-Confirms-All</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Process 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Audit Period</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FY2025</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Prepared By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Dave Kitchens, CPA</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2026-03-13</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Template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TPL-WLK-001 v1.0.0</w:t>
            </w:r>
          </w:p>
        </w:tc>
      </w:tr>
    </w:tbl>
    <w:p>
      <w:pPr>
        <w:spacing w:after="200"/>
      </w:pPr>
    </w:p>
    <w:p>
      <w:pPr>
        <w:pStyle w:val="Heading2"/>
      </w:pPr>
      <w:r>
        <w:t xml:space="preserve">1. Process Overview</w:t>
      </w:r>
    </w:p>
    <w:p>
      <w:pPr>
        <w:spacing w:after="200"/>
      </w:pPr>
      <w:r>
        <w:rPr>
          <w:rFonts w:ascii="Source Serif 4" w:cs="Source Serif 4" w:eastAsia="Source Serif 4" w:hAnsi="Source Serif 4"/>
        </w:rPr>
        <w:t xml:space="preserve">AI-NATIVE domain. Human-AI Boundary — Human Confirmation.</w:t>
      </w:r>
    </w:p>
    <w:p>
      <w:pPr>
        <w:pStyle w:val="Heading2"/>
      </w:pPr>
      <w:r>
        <w:t xml:space="preserve">2. Key Control Points</w:t>
      </w:r>
    </w:p>
    <w:p>
      <w:pPr>
        <w:spacing w:after="200"/>
      </w:pPr>
      <w:r>
        <w:rPr>
          <w:rFonts w:ascii="Source Serif 4" w:cs="Source Serif 4" w:eastAsia="Source Serif 4" w:hAnsi="Source Serif 4"/>
        </w:rPr>
        <w:t xml:space="preserve">The following 3 control(s) operate within this process to mitigate identified risks:</w:t>
      </w:r>
    </w:p>
    <w:p>
      <w:pPr>
        <w:pStyle w:val="Heading3"/>
      </w:pPr>
      <w:r>
        <w:t xml:space="preserve">2.1  CTRL-HAB-001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 AI-generated artifact, recommendation, control object, risk statement, or output of material consequence is treated as final without explicit human confirmation by the builder. AI models draft, suggest, analyze, and propose. The builder confirms, approves, rejects, or modifies. This applies to all DDL production contexts.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PREVENTIVE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MONTHLY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Yes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Occurrence, Rights and Obligations, Presentation and Disclosure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COSO-CE-05, COSO-CA-10, COSO-IC-14</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3"/>
      </w:pPr>
      <w:r>
        <w:t xml:space="preserve">2.2  CTRL-HAB-002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The builder periodically evaluates whether the boundary between AI suggestion and human decision is being maintained. Reviews whether AI outputs are accepted without substantive review, whether the builder defers judgment to AI, and whether verification steps are performed consistently.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DETECTIVE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QUARTERLY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Yes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Completeness, Valuation and Allocation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COSO-MA-16, COSO-CE-05</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3"/>
      </w:pPr>
      <w:r>
        <w:t xml:space="preserve">2.3  CTRL-HAB-003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All DDL deliverables, published content, and client-facing outputs that incorporate AI-generated or AI-assisted content include appropriate disclosure. Internal artifacts use the generation_method metadata field; client deliverables include a methodology note; published content includes author attribution.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PREVENTIVE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AD HOC</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Yes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Presentation and Disclosure, Rights and Obligations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COSO-IC-15, COSO-CE-01</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2"/>
      </w:pPr>
      <w:r>
        <w:t xml:space="preserve">3. Risk Summary</w:t>
      </w:r>
    </w:p>
    <w:p>
      <w:pPr>
        <w:spacing w:after="200"/>
      </w:pPr>
      <w:r>
        <w:rPr>
          <w:rFonts w:ascii="Source Serif 4" w:cs="Source Serif 4" w:eastAsia="Source Serif 4" w:hAnsi="Source Serif 4"/>
        </w:rPr>
        <w:t xml:space="preserve">The following 3 risk(s) have been identified for this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2960"/>
      </w:tblGrid>
      <w:tr>
        <w:tc>
          <w:tcPr>
            <w:tcW w:type="dxa" w:w="12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Risk ID</w:t>
            </w:r>
          </w:p>
        </w:tc>
        <w:tc>
          <w:tcPr>
            <w:tcW w:type="dxa" w:w="40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Risk Description</w:t>
            </w:r>
          </w:p>
        </w:tc>
        <w:tc>
          <w:tcPr>
            <w:tcW w:type="dxa" w:w="12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Rating</w:t>
            </w:r>
          </w:p>
        </w:tc>
        <w:tc>
          <w:tcPr>
            <w:tcW w:type="dxa" w:w="296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Mapped Controls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bCs/>
                <w:color w:val="B23531"/>
                <w:sz w:val="18"/>
                <w:szCs w:val="18"/>
              </w:rPr>
              <w:t xml:space="preserve">RSK-HAB-001</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An AI-generated artifact or output is treated as canonical without human review. Builder-confirms-all principle is violated.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CRITICAL</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val="false"/>
                <w:bCs w:val="false"/>
                <w:sz w:val="18"/>
                <w:szCs w:val="18"/>
              </w:rPr>
              <w:t xml:space="preserve">CTRL-HAB-001, CTRL-HAB-003</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bCs/>
                <w:color w:val="B23531"/>
                <w:sz w:val="18"/>
                <w:szCs w:val="18"/>
              </w:rPr>
              <w:t xml:space="preserve">RSK-HAB-002</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As the operator becomes more comfortable with AI outputs, the threshold for human review informally relaxes. Builder confirms all degrades to builder skims most.</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CRITICAL</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val="false"/>
                <w:bCs w:val="false"/>
                <w:sz w:val="18"/>
                <w:szCs w:val="18"/>
              </w:rPr>
              <w:t xml:space="preserve">CTRL-HAB-002</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bCs/>
                <w:color w:val="B23531"/>
                <w:sz w:val="18"/>
                <w:szCs w:val="18"/>
              </w:rPr>
              <w:t xml:space="preserve">RSK-HAB-003</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DDL deliverables or published content incorporate material AI-generated content without appropriate disclosure. Stakeholders are misled about production method.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MEDIUM</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val="false"/>
                <w:bCs w:val="false"/>
                <w:sz w:val="18"/>
                <w:szCs w:val="18"/>
              </w:rPr>
              <w:t xml:space="preserve">CTRL-HAB-003</w:t>
            </w:r>
          </w:p>
        </w:tc>
      </w:tr>
    </w:tbl>
    <w:p>
      <w:pPr>
        <w:spacing w:after="200"/>
      </w:pPr>
    </w:p>
    <w:p>
      <w:pPr>
        <w:pStyle w:val="Heading2"/>
      </w:pPr>
      <w:r>
        <w:t xml:space="preserve">4. Gap Analysis</w:t>
      </w:r>
    </w:p>
    <w:p>
      <w:pPr>
        <w:spacing w:after="200"/>
      </w:pPr>
      <w:r>
        <w:rPr>
          <w:rFonts w:ascii="Source Serif 4" w:cs="Source Serif 4" w:eastAsia="Source Serif 4" w:hAnsi="Source Serif 4"/>
          <w:b/>
          <w:bCs/>
          <w:color w:val="059669"/>
        </w:rPr>
        <w:t xml:space="preserve">✓ </w:t>
      </w:r>
      <w:r>
        <w:rPr>
          <w:rFonts w:ascii="Source Serif 4" w:cs="Source Serif 4" w:eastAsia="Source Serif 4" w:hAnsi="Source Serif 4"/>
        </w:rPr>
        <w:t xml:space="preserve">All identified risks have at least one mapped control. No coverage gaps detected.</w:t>
      </w:r>
    </w:p>
    <w:p>
      <w:pPr>
        <w:spacing w:after="200"/>
      </w:pPr>
    </w:p>
    <w:p>
      <w:pPr>
        <w:pStyle w:val="Heading2"/>
      </w:pPr>
      <w:r>
        <w:t xml:space="preserve">5. 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200"/>
        <w:gridCol w:w="2280"/>
      </w:tblGrid>
      <w:tr>
        <w:trPr>
          <w:trHeight w:val="600" w:hRule="atLeast"/>
        </w:trPr>
        <w:tc>
          <w:tcPr>
            <w:tcW w:type="dxa" w:w="24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Prepared By</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sz w:val="18"/>
                <w:szCs w:val="18"/>
              </w:rPr>
              <w:t xml:space="preserve">Date</w:t>
            </w:r>
          </w:p>
        </w:tc>
        <w:tc>
          <w:tcPr>
            <w:tcW w:type="dxa" w:w="2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r>
      <w:tr>
        <w:trPr>
          <w:trHeight w:val="600" w:hRule="atLeast"/>
        </w:trPr>
        <w:tc>
          <w:tcPr>
            <w:tcW w:type="dxa" w:w="24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Reviewed By</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sz w:val="18"/>
                <w:szCs w:val="18"/>
              </w:rPr>
              <w:t xml:space="preserve">Date</w:t>
            </w:r>
          </w:p>
        </w:tc>
        <w:tc>
          <w:tcPr>
            <w:tcW w:type="dxa" w:w="2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r>
      <w:tr>
        <w:trPr>
          <w:trHeight w:val="600" w:hRule="atLeast"/>
        </w:trPr>
        <w:tc>
          <w:tcPr>
            <w:tcW w:type="dxa" w:w="24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Approved By</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sz w:val="18"/>
                <w:szCs w:val="18"/>
              </w:rPr>
              <w:t xml:space="preserve">Date</w:t>
            </w:r>
          </w:p>
        </w:tc>
        <w:tc>
          <w:tcPr>
            <w:tcW w:type="dxa" w:w="2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3C" w:sz="4" w:space="4"/>
      </w:pBdr>
      <w:jc w:val="center"/>
    </w:pPr>
    <w:r>
      <w:rPr>
        <w:rFonts w:ascii="JetBrains Mono" w:cs="JetBrains Mono" w:eastAsia="JetBrains Mono" w:hAnsi="JetBrains Mono"/>
        <w:color w:val="6B7B8D"/>
        <w:sz w:val="14"/>
        <w:szCs w:val="14"/>
      </w:rPr>
      <w:t xml:space="preserve">Dropdown Logistics</w:t>
    </w:r>
    <w:r>
      <w:rPr>
        <w:rFonts w:ascii="JetBrains Mono" w:cs="JetBrains Mono" w:eastAsia="JetBrains Mono" w:hAnsi="JetBrains Mono"/>
        <w:color w:val="4A5568"/>
        <w:sz w:val="14"/>
        <w:szCs w:val="14"/>
      </w:rPr>
      <w:t xml:space="preserve">  •  Chaos → Structured → Automated  •  </w:t>
    </w:r>
    <w:r>
      <w:rPr>
        <w:rFonts w:ascii="JetBrains Mono" w:cs="JetBrains Mono" w:eastAsia="JetBrains Mono" w:hAnsi="JetBrains Mono"/>
        <w:color w:val="4A5568"/>
        <w:sz w:val="14"/>
        <w:szCs w:val="14"/>
      </w:rPr>
      <w:t xml:space="preserve">Page </w:t>
    </w:r>
    <w:r>
      <w:rPr>
        <w:rFonts w:ascii="JetBrains Mono" w:cs="JetBrains Mono" w:eastAsia="JetBrains Mono" w:hAnsi="JetBrains Mono"/>
        <w:color w:val="4A556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6" w:space="4"/>
      </w:pBdr>
    </w:pPr>
    <w:r>
      <w:rPr>
        <w:rFonts w:ascii="Space Grotesk" w:cs="Space Grotesk" w:eastAsia="Space Grotesk" w:hAnsi="Space Grotesk"/>
        <w:b/>
        <w:bCs/>
        <w:color w:val="0D1B2A"/>
        <w:sz w:val="18"/>
        <w:szCs w:val="18"/>
      </w:rPr>
      <w:t xml:space="preserve">Dropdown Logistics</w:t>
    </w:r>
    <w:r>
      <w:rPr>
        <w:rFonts w:ascii="JetBrains Mono" w:cs="JetBrains Mono" w:eastAsia="JetBrains Mono" w:hAnsi="JetBrains Mono"/>
        <w:color w:val="6B7B8D"/>
        <w:sz w:val="14"/>
        <w:szCs w:val="14"/>
      </w:rPr>
      <w:t xml:space="preserve">  •  FY2025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pace Grotesk" w:cs="Space Grotesk" w:eastAsia="Space Grotesk" w:hAnsi="Space Grotesk"/>
      <w:b/>
      <w:bCs/>
      <w:color w:val="0D1B2A"/>
      <w:sz w:val="36"/>
      <w:szCs w:val="36"/>
    </w:rPr>
  </w:style>
  <w:style w:type="paragraph" w:styleId="Heading2">
    <w:name w:val="Heading 2"/>
    <w:basedOn w:val="Normal"/>
    <w:next w:val="Normal"/>
    <w:qFormat/>
    <w:pPr>
      <w:spacing w:after="120" w:before="280"/>
      <w:outlineLvl w:val="1"/>
    </w:pPr>
    <w:rPr>
      <w:rFonts w:ascii="Space Grotesk" w:cs="Space Grotesk" w:eastAsia="Space Grotesk" w:hAnsi="Space Grotesk"/>
      <w:b/>
      <w:bCs/>
      <w:color w:val="0D1B2A"/>
      <w:sz w:val="28"/>
      <w:szCs w:val="28"/>
    </w:rPr>
  </w:style>
  <w:style w:type="paragraph" w:styleId="Heading3">
    <w:name w:val="Heading 3"/>
    <w:basedOn w:val="Normal"/>
    <w:next w:val="Normal"/>
    <w:qFormat/>
    <w:pPr>
      <w:spacing w:after="100" w:before="200"/>
      <w:outlineLvl w:val="2"/>
    </w:pPr>
    <w:rPr>
      <w:rFonts w:ascii="Space Grotesk" w:cs="Space Grotesk" w:eastAsia="Space Grotesk" w:hAnsi="Space Grotesk"/>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2026-03-13T19:57:31.365Z</dcterms:created>
  <dcterms:modified xsi:type="dcterms:W3CDTF">2026-03-13T19:57:31.365Z</dcterms:modified>
</cp:coreProperties>
</file>

<file path=docProps/custom.xml><?xml version="1.0" encoding="utf-8"?>
<Properties xmlns="http://schemas.openxmlformats.org/officeDocument/2006/custom-properties" xmlns:vt="http://schemas.openxmlformats.org/officeDocument/2006/docPropsVTypes"/>
</file>