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A525" w14:textId="2E4770BD" w:rsidR="00E540B3" w:rsidRPr="002B0404" w:rsidRDefault="00D8138F">
      <w:pPr>
        <w:rPr>
          <w:b/>
          <w:bCs/>
          <w:color w:val="00B0F0"/>
          <w:sz w:val="28"/>
          <w:szCs w:val="28"/>
        </w:rPr>
      </w:pPr>
      <w:r w:rsidRPr="002B0404">
        <w:rPr>
          <w:b/>
          <w:bCs/>
          <w:color w:val="00B0F0"/>
          <w:sz w:val="28"/>
          <w:szCs w:val="28"/>
        </w:rPr>
        <w:t>Business Requirements and Considerations for PPL/PPA Investment Strategies</w:t>
      </w:r>
    </w:p>
    <w:p w14:paraId="2A93A9F2" w14:textId="77777777" w:rsidR="00D8138F" w:rsidRDefault="00D8138F">
      <w:pPr>
        <w:rPr>
          <w:rFonts w:ascii="inter" w:eastAsia="inter" w:hAnsi="inter" w:cs="inter"/>
          <w:color w:val="000000"/>
        </w:rPr>
      </w:pPr>
    </w:p>
    <w:p w14:paraId="10B8F8A0" w14:textId="76E2B06F" w:rsidR="00FD6016" w:rsidRDefault="00D34362" w:rsidP="00D34362">
      <w:pPr>
        <w:contextualSpacing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Our end state goal is to effectively integrate Private Placement Life Insurance (PPLI) and Private Placement Annuities (PPA) into </w:t>
      </w:r>
      <w:r>
        <w:rPr>
          <w:rFonts w:ascii="inter" w:eastAsia="inter" w:hAnsi="inter" w:cs="inter"/>
          <w:color w:val="000000"/>
        </w:rPr>
        <w:t xml:space="preserve">HNW </w:t>
      </w:r>
      <w:r>
        <w:rPr>
          <w:rFonts w:ascii="inter" w:eastAsia="inter" w:hAnsi="inter" w:cs="inter"/>
          <w:color w:val="000000"/>
        </w:rPr>
        <w:t>client portfolios to showcase their value as both alternative investments and estate planning tools</w:t>
      </w:r>
      <w:r>
        <w:rPr>
          <w:rFonts w:ascii="inter" w:eastAsia="inter" w:hAnsi="inter" w:cs="inter"/>
          <w:color w:val="000000"/>
        </w:rPr>
        <w:t xml:space="preserve">, empowering the RIAs to bring risk management and tax planning into their </w:t>
      </w:r>
      <w:r w:rsidR="00FD6016">
        <w:rPr>
          <w:rFonts w:ascii="inter" w:eastAsia="inter" w:hAnsi="inter" w:cs="inter"/>
          <w:color w:val="000000"/>
        </w:rPr>
        <w:t xml:space="preserve">wealth management practice. </w:t>
      </w:r>
    </w:p>
    <w:p w14:paraId="0FA1CB47" w14:textId="3E990DF3" w:rsidR="00D34362" w:rsidRDefault="00D34362" w:rsidP="00D34362">
      <w:pPr>
        <w:contextualSpacing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 </w:t>
      </w:r>
    </w:p>
    <w:p w14:paraId="43084180" w14:textId="424C56B8" w:rsidR="00D34362" w:rsidRPr="00A44E4D" w:rsidRDefault="00D34362" w:rsidP="00D34362">
      <w:pPr>
        <w:contextualSpacing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We will build a bridge into existing top wealth management platforms (like </w:t>
      </w:r>
      <w:proofErr w:type="spellStart"/>
      <w:r>
        <w:rPr>
          <w:rFonts w:ascii="inter" w:eastAsia="inter" w:hAnsi="inter" w:cs="inter"/>
          <w:color w:val="000000"/>
        </w:rPr>
        <w:t>Addepar</w:t>
      </w:r>
      <w:proofErr w:type="spellEnd"/>
      <w:r>
        <w:rPr>
          <w:rFonts w:ascii="inter" w:eastAsia="inter" w:hAnsi="inter" w:cs="inter"/>
          <w:color w:val="000000"/>
        </w:rPr>
        <w:t>)</w:t>
      </w:r>
      <w:r w:rsidR="00FD6016">
        <w:rPr>
          <w:rFonts w:ascii="inter" w:eastAsia="inter" w:hAnsi="inter" w:cs="inter"/>
          <w:color w:val="000000"/>
        </w:rPr>
        <w:t xml:space="preserve"> to integrate the risk management side, starting with PPLI and PPA solutions. </w:t>
      </w:r>
      <w:r>
        <w:rPr>
          <w:rFonts w:ascii="inter" w:eastAsia="inter" w:hAnsi="inter" w:cs="inter"/>
          <w:color w:val="000000"/>
        </w:rPr>
        <w:t xml:space="preserve"> To do this successfully, we will focus </w:t>
      </w:r>
      <w:r>
        <w:rPr>
          <w:rFonts w:ascii="inter" w:eastAsia="inter" w:hAnsi="inter" w:cs="inter"/>
          <w:color w:val="000000"/>
        </w:rPr>
        <w:t>on seamless data integration, tailored advice tools, premium client-facing interfaces, and interactive advisor-facing capabilities that acknowledge RIAs technical and client experience priorities</w:t>
      </w:r>
      <w:r w:rsidR="00FD6016">
        <w:rPr>
          <w:rFonts w:ascii="inter" w:eastAsia="inter" w:hAnsi="inter" w:cs="inter"/>
          <w:color w:val="000000"/>
        </w:rPr>
        <w:t>.   This will allow</w:t>
      </w:r>
      <w:r>
        <w:rPr>
          <w:rFonts w:ascii="inter" w:eastAsia="inter" w:hAnsi="inter" w:cs="inter"/>
          <w:color w:val="000000"/>
        </w:rPr>
        <w:t xml:space="preserve"> the bridge </w:t>
      </w:r>
      <w:r w:rsidR="00FD6016">
        <w:rPr>
          <w:rFonts w:ascii="inter" w:eastAsia="inter" w:hAnsi="inter" w:cs="inter"/>
          <w:color w:val="000000"/>
        </w:rPr>
        <w:t xml:space="preserve">to </w:t>
      </w:r>
      <w:r>
        <w:rPr>
          <w:rFonts w:ascii="inter" w:eastAsia="inter" w:hAnsi="inter" w:cs="inter"/>
          <w:color w:val="000000"/>
        </w:rPr>
        <w:t>add significant value, differentiation, and stickiness to any of the top wealth management platforms.</w:t>
      </w:r>
    </w:p>
    <w:p w14:paraId="07FD97DF" w14:textId="63793086" w:rsidR="0002560F" w:rsidRPr="00A44E4D" w:rsidRDefault="00D8138F" w:rsidP="00A44E4D">
      <w:pPr>
        <w:contextualSpacing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High net worth clients expect not only privacy and security, but also sophisticated tools that help them manage and optimize all aspects of their wealth—across both public and private </w:t>
      </w:r>
      <w:r w:rsidR="00A44E4D">
        <w:rPr>
          <w:rFonts w:ascii="inter" w:eastAsia="inter" w:hAnsi="inter" w:cs="inter"/>
          <w:color w:val="000000"/>
        </w:rPr>
        <w:t>investments and</w:t>
      </w:r>
      <w:r>
        <w:rPr>
          <w:rFonts w:ascii="inter" w:eastAsia="inter" w:hAnsi="inter" w:cs="inter"/>
          <w:color w:val="000000"/>
        </w:rPr>
        <w:t xml:space="preserve"> including estate-planning vehicles like PPLI and PPA. </w:t>
      </w:r>
      <w:r w:rsidR="00D34362">
        <w:rPr>
          <w:rFonts w:ascii="inter" w:eastAsia="inter" w:hAnsi="inter" w:cs="inter"/>
          <w:color w:val="000000"/>
        </w:rPr>
        <w:t xml:space="preserve">   </w:t>
      </w:r>
      <w:r w:rsidR="00FD6016">
        <w:rPr>
          <w:rFonts w:ascii="inter" w:eastAsia="inter" w:hAnsi="inter" w:cs="inter"/>
          <w:color w:val="000000"/>
        </w:rPr>
        <w:t>We will consider this in building features that will provide RIAs with tools that enhance their interaction and engagement with their Private Clients.</w:t>
      </w:r>
    </w:p>
    <w:p w14:paraId="6AB1FE4E" w14:textId="77777777" w:rsidR="0002560F" w:rsidRDefault="0002560F" w:rsidP="0002560F">
      <w:pPr>
        <w:contextualSpacing/>
        <w:rPr>
          <w:rFonts w:ascii="inter" w:eastAsia="inter" w:hAnsi="inter" w:cs="inter"/>
          <w:color w:val="000000"/>
        </w:rPr>
      </w:pPr>
    </w:p>
    <w:p w14:paraId="3A40C500" w14:textId="255B3A2D" w:rsidR="0002560F" w:rsidRPr="00A44E4D" w:rsidRDefault="00FD6016" w:rsidP="0002560F">
      <w:pPr>
        <w:contextualSpacing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At a high level, we</w:t>
      </w:r>
      <w:r w:rsidR="0002560F">
        <w:rPr>
          <w:rFonts w:ascii="inter" w:eastAsia="inter" w:hAnsi="inter" w:cs="inter"/>
          <w:color w:val="000000"/>
        </w:rPr>
        <w:t xml:space="preserve"> aim to deliver an integrated digital platform</w:t>
      </w:r>
      <w:r>
        <w:rPr>
          <w:rFonts w:ascii="inter" w:eastAsia="inter" w:hAnsi="inter" w:cs="inter"/>
          <w:color w:val="000000"/>
        </w:rPr>
        <w:t xml:space="preserve"> that achieves the following:</w:t>
      </w:r>
      <w:r w:rsidR="0002560F">
        <w:rPr>
          <w:rFonts w:ascii="inter" w:eastAsia="inter" w:hAnsi="inter" w:cs="inter"/>
          <w:color w:val="000000"/>
        </w:rPr>
        <w:br/>
      </w:r>
    </w:p>
    <w:p w14:paraId="04C565AF" w14:textId="7543A37B" w:rsidR="0002560F" w:rsidRPr="00A44E4D" w:rsidRDefault="0002560F" w:rsidP="0002560F">
      <w:pPr>
        <w:pStyle w:val="ListParagraph"/>
        <w:numPr>
          <w:ilvl w:val="0"/>
          <w:numId w:val="20"/>
        </w:numPr>
        <w:rPr>
          <w:rFonts w:ascii="inter" w:eastAsia="inter" w:hAnsi="inter" w:cs="inter"/>
          <w:color w:val="000000"/>
        </w:rPr>
      </w:pPr>
      <w:r w:rsidRPr="00A44E4D">
        <w:rPr>
          <w:rFonts w:ascii="inter" w:eastAsia="inter" w:hAnsi="inter" w:cs="inter"/>
          <w:color w:val="000000"/>
        </w:rPr>
        <w:t>A tech-enabled platform that digitizes the entire PPLI</w:t>
      </w:r>
      <w:r w:rsidRPr="00A44E4D">
        <w:rPr>
          <w:rFonts w:ascii="inter" w:eastAsia="inter" w:hAnsi="inter" w:cs="inter"/>
          <w:color w:val="000000"/>
        </w:rPr>
        <w:t>/PPA</w:t>
      </w:r>
      <w:r w:rsidRPr="00A44E4D">
        <w:rPr>
          <w:rFonts w:ascii="inter" w:eastAsia="inter" w:hAnsi="inter" w:cs="inter"/>
          <w:color w:val="000000"/>
        </w:rPr>
        <w:t xml:space="preserve"> lifecycle — from client intake and policy suitability to underwriting, carrier selection, and funding</w:t>
      </w:r>
    </w:p>
    <w:p w14:paraId="23DA9702" w14:textId="77777777" w:rsidR="0002560F" w:rsidRPr="00A44E4D" w:rsidRDefault="0002560F" w:rsidP="0002560F">
      <w:pPr>
        <w:numPr>
          <w:ilvl w:val="0"/>
          <w:numId w:val="20"/>
        </w:numPr>
        <w:contextualSpacing/>
        <w:rPr>
          <w:rFonts w:ascii="inter" w:eastAsia="inter" w:hAnsi="inter" w:cs="inter"/>
          <w:color w:val="000000"/>
        </w:rPr>
      </w:pPr>
      <w:r w:rsidRPr="00A44E4D">
        <w:rPr>
          <w:rFonts w:ascii="inter" w:eastAsia="inter" w:hAnsi="inter" w:cs="inter"/>
          <w:color w:val="000000"/>
        </w:rPr>
        <w:t>Integration of real-time portfolio and policy data to ensure strategic alignment with each client's tax, investment, and estate goals</w:t>
      </w:r>
    </w:p>
    <w:p w14:paraId="13DFF68E" w14:textId="77777777" w:rsidR="0002560F" w:rsidRPr="00A44E4D" w:rsidRDefault="0002560F" w:rsidP="0002560F">
      <w:pPr>
        <w:numPr>
          <w:ilvl w:val="0"/>
          <w:numId w:val="20"/>
        </w:numPr>
        <w:contextualSpacing/>
        <w:rPr>
          <w:rFonts w:ascii="inter" w:eastAsia="inter" w:hAnsi="inter" w:cs="inter"/>
          <w:color w:val="000000"/>
        </w:rPr>
      </w:pPr>
      <w:r w:rsidRPr="00A44E4D">
        <w:rPr>
          <w:rFonts w:ascii="inter" w:eastAsia="inter" w:hAnsi="inter" w:cs="inter"/>
          <w:color w:val="000000"/>
        </w:rPr>
        <w:t>Access to a curated network of carrier partners, Insurance Dedicated Funds (IDFs), and qualified structuring specialists</w:t>
      </w:r>
    </w:p>
    <w:p w14:paraId="12025C5D" w14:textId="77777777" w:rsidR="0002560F" w:rsidRPr="00A44E4D" w:rsidRDefault="0002560F" w:rsidP="0002560F">
      <w:pPr>
        <w:numPr>
          <w:ilvl w:val="0"/>
          <w:numId w:val="20"/>
        </w:numPr>
        <w:contextualSpacing/>
        <w:rPr>
          <w:rFonts w:ascii="inter" w:eastAsia="inter" w:hAnsi="inter" w:cs="inter"/>
          <w:color w:val="000000"/>
        </w:rPr>
      </w:pPr>
      <w:r w:rsidRPr="00A44E4D">
        <w:rPr>
          <w:rFonts w:ascii="inter" w:eastAsia="inter" w:hAnsi="inter" w:cs="inter"/>
          <w:color w:val="000000"/>
        </w:rPr>
        <w:t>A compliance-conscious, RIA-friendly experience that respects the fiduciary model and removes the friction of traditional commission-based insurance channels</w:t>
      </w:r>
    </w:p>
    <w:p w14:paraId="3E4D5A93" w14:textId="785EBC1C" w:rsidR="0002560F" w:rsidRPr="00FD6016" w:rsidRDefault="0002560F" w:rsidP="0002560F">
      <w:pPr>
        <w:numPr>
          <w:ilvl w:val="0"/>
          <w:numId w:val="20"/>
        </w:numPr>
        <w:contextualSpacing/>
        <w:rPr>
          <w:rFonts w:cs="Segoe UI Emoji"/>
        </w:rPr>
      </w:pPr>
      <w:r w:rsidRPr="00A44E4D">
        <w:rPr>
          <w:rFonts w:ascii="inter" w:eastAsia="inter" w:hAnsi="inter" w:cs="inter"/>
          <w:color w:val="000000"/>
        </w:rPr>
        <w:t>A solution that empowers RIAs to</w:t>
      </w:r>
      <w:r w:rsidRPr="00A44E4D">
        <w:rPr>
          <w:rFonts w:ascii="inter" w:eastAsia="inter" w:hAnsi="inter" w:cs="inter"/>
          <w:color w:val="000000"/>
        </w:rPr>
        <w:t xml:space="preserve"> optimiz</w:t>
      </w:r>
      <w:r w:rsidRPr="00A44E4D">
        <w:rPr>
          <w:rFonts w:ascii="inter" w:eastAsia="inter" w:hAnsi="inter" w:cs="inter"/>
          <w:color w:val="000000"/>
        </w:rPr>
        <w:t>e</w:t>
      </w:r>
      <w:r w:rsidRPr="00A44E4D">
        <w:rPr>
          <w:rFonts w:ascii="inter" w:eastAsia="inter" w:hAnsi="inter" w:cs="inter"/>
          <w:color w:val="000000"/>
        </w:rPr>
        <w:t xml:space="preserve"> insurance structures and </w:t>
      </w:r>
      <w:r w:rsidRPr="00A44E4D">
        <w:rPr>
          <w:rFonts w:ascii="inter" w:eastAsia="inter" w:hAnsi="inter" w:cs="inter"/>
          <w:color w:val="000000"/>
        </w:rPr>
        <w:t>fully optimize</w:t>
      </w:r>
      <w:r w:rsidRPr="00A44E4D">
        <w:rPr>
          <w:rFonts w:ascii="inter" w:eastAsia="inter" w:hAnsi="inter" w:cs="inter"/>
          <w:color w:val="000000"/>
        </w:rPr>
        <w:t xml:space="preserve"> portfolio allocations</w:t>
      </w:r>
      <w:r w:rsidRPr="00A44E4D">
        <w:rPr>
          <w:rFonts w:ascii="inter" w:eastAsia="inter" w:hAnsi="inter" w:cs="inter"/>
          <w:color w:val="000000"/>
        </w:rPr>
        <w:t xml:space="preserve"> with best tax efficient strategies</w:t>
      </w:r>
    </w:p>
    <w:p w14:paraId="4BF5DEF9" w14:textId="191AE2B0" w:rsidR="00FD6016" w:rsidRDefault="00FD6016" w:rsidP="0002560F">
      <w:pPr>
        <w:numPr>
          <w:ilvl w:val="0"/>
          <w:numId w:val="20"/>
        </w:numPr>
        <w:contextualSpacing/>
        <w:rPr>
          <w:rFonts w:cs="Segoe UI Emoji"/>
        </w:rPr>
      </w:pPr>
      <w:r>
        <w:rPr>
          <w:rFonts w:ascii="inter" w:eastAsia="inter" w:hAnsi="inter" w:cs="inter"/>
          <w:color w:val="000000"/>
        </w:rPr>
        <w:t xml:space="preserve">A sales enablement capability that improves </w:t>
      </w:r>
      <w:proofErr w:type="spellStart"/>
      <w:r>
        <w:rPr>
          <w:rFonts w:ascii="inter" w:eastAsia="inter" w:hAnsi="inter" w:cs="inter"/>
          <w:color w:val="000000"/>
        </w:rPr>
        <w:t>RIAs’</w:t>
      </w:r>
      <w:proofErr w:type="spellEnd"/>
      <w:r>
        <w:rPr>
          <w:rFonts w:ascii="inter" w:eastAsia="inter" w:hAnsi="inter" w:cs="inter"/>
          <w:color w:val="000000"/>
        </w:rPr>
        <w:t xml:space="preserve"> (and by extension their HNWIs) holistic wealth management planning tools, enabling tighter communications and triggers engagement for the RIA, furthering their value-add to their Private Clients.</w:t>
      </w:r>
    </w:p>
    <w:p w14:paraId="2AC28DC4" w14:textId="77777777" w:rsidR="0002560F" w:rsidRDefault="0002560F">
      <w:pPr>
        <w:rPr>
          <w:rFonts w:ascii="inter" w:eastAsia="inter" w:hAnsi="inter" w:cs="inter"/>
          <w:color w:val="000000"/>
        </w:rPr>
      </w:pPr>
    </w:p>
    <w:p w14:paraId="75BC4325" w14:textId="77777777" w:rsidR="00FD6016" w:rsidRDefault="00FD6016" w:rsidP="0031178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32C373C4" w14:textId="377745C4" w:rsidR="0002560F" w:rsidRPr="00421BDC" w:rsidRDefault="00A44E4D" w:rsidP="0031178D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6"/>
          <w:szCs w:val="26"/>
        </w:rPr>
      </w:pPr>
      <w:r w:rsidRPr="00421BDC">
        <w:rPr>
          <w:rFonts w:ascii="inter" w:eastAsia="inter" w:hAnsi="inter" w:cs="inter"/>
          <w:b/>
          <w:color w:val="000000"/>
          <w:sz w:val="26"/>
          <w:szCs w:val="26"/>
        </w:rPr>
        <w:t>DESIGN CONSIDERATIONS</w:t>
      </w:r>
    </w:p>
    <w:p w14:paraId="7746A501" w14:textId="65636FC3" w:rsidR="0031178D" w:rsidRPr="0031178D" w:rsidRDefault="0031178D" w:rsidP="0031178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Building an Ideal Customer Experience</w:t>
      </w:r>
    </w:p>
    <w:p w14:paraId="6C3500A3" w14:textId="77777777" w:rsidR="0031178D" w:rsidRDefault="0031178D" w:rsidP="0031178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Unified Dashboard</w:t>
      </w:r>
    </w:p>
    <w:p w14:paraId="48664EFF" w14:textId="77777777" w:rsidR="0031178D" w:rsidRDefault="0031178D" w:rsidP="0031178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Present clients with a single, intuitive dashboard that showcases all holdings: traditional investments, private placements, insurance, and alternatives.</w:t>
      </w:r>
    </w:p>
    <w:p w14:paraId="17F16820" w14:textId="77777777" w:rsidR="0031178D" w:rsidRDefault="0031178D" w:rsidP="0031178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Enable drill-down and aggregation: clients should see both granular details (e.g., PPLI cash value, death benefit, underlying fund performance) and consolidated net worth and asset allocation.</w:t>
      </w:r>
    </w:p>
    <w:p w14:paraId="23346526" w14:textId="77777777" w:rsidR="0031178D" w:rsidRDefault="0031178D" w:rsidP="0031178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Personalization &amp; Advice</w:t>
      </w:r>
    </w:p>
    <w:p w14:paraId="2C192E42" w14:textId="77777777" w:rsidR="0031178D" w:rsidRDefault="0031178D" w:rsidP="0031178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Contextual recommendations: Leverage AI to suggest personalized strategies for tax efficiency, estate planning, or alternative investment opportunities arising from PPLI/PPA accounts.</w:t>
      </w:r>
    </w:p>
    <w:p w14:paraId="5D107071" w14:textId="77777777" w:rsidR="0031178D" w:rsidRDefault="0031178D" w:rsidP="0031178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Dynamic scenario modeling tools: Allow clients or advisors to simulate impacts on taxes and estate value under various private placement strategies.</w:t>
      </w:r>
    </w:p>
    <w:p w14:paraId="5AB6906A" w14:textId="77777777" w:rsidR="0031178D" w:rsidRDefault="0031178D" w:rsidP="0031178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Policy Management Tools</w:t>
      </w:r>
    </w:p>
    <w:p w14:paraId="28CF2BE5" w14:textId="1C723792" w:rsidR="0031178D" w:rsidRDefault="0031178D" w:rsidP="0031178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Secure document vault for policy details, premium notices, and beneficiary designations</w:t>
      </w:r>
      <w:r w:rsidR="00A44E4D">
        <w:rPr>
          <w:rFonts w:ascii="inter" w:eastAsia="inter" w:hAnsi="inter" w:cs="inter"/>
          <w:color w:val="000000"/>
          <w:sz w:val="21"/>
        </w:rPr>
        <w:t xml:space="preserve"> (Match or improve existing security of wealth management platform)</w:t>
      </w:r>
    </w:p>
    <w:p w14:paraId="2ED3AD8F" w14:textId="77777777" w:rsidR="0031178D" w:rsidRDefault="0031178D" w:rsidP="0031178D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In-app support and education: Content explaining PPLI/PPA features, risk factors, and benefits.</w:t>
      </w:r>
    </w:p>
    <w:p w14:paraId="09B617BA" w14:textId="77777777" w:rsidR="0031178D" w:rsidRDefault="0031178D" w:rsidP="0031178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Alternative Investments Integration</w:t>
      </w:r>
    </w:p>
    <w:p w14:paraId="115753C8" w14:textId="77777777" w:rsidR="00A44E4D" w:rsidRDefault="0031178D" w:rsidP="0031178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Show underlying fund options held within insurance wrappers, with analytics and performance benchmarking against traditional and non-traditional assets.</w:t>
      </w:r>
    </w:p>
    <w:p w14:paraId="586A08E8" w14:textId="5D0110E2" w:rsidR="00E45EF0" w:rsidRDefault="0031178D" w:rsidP="00A44E4D">
      <w:pPr>
        <w:numPr>
          <w:ilvl w:val="0"/>
          <w:numId w:val="4"/>
        </w:numPr>
        <w:spacing w:before="105" w:after="105" w:line="360" w:lineRule="auto"/>
      </w:pPr>
      <w:r w:rsidRPr="00A44E4D">
        <w:rPr>
          <w:rFonts w:ascii="inter" w:eastAsia="inter" w:hAnsi="inter" w:cs="inter"/>
          <w:color w:val="000000"/>
          <w:sz w:val="21"/>
        </w:rPr>
        <w:t>Allow allocation changes and new alternative investment elections (subject to carrier and platform approval) through the platform</w:t>
      </w:r>
    </w:p>
    <w:p w14:paraId="267026C6" w14:textId="77777777" w:rsidR="00421BDC" w:rsidRDefault="00421BDC" w:rsidP="00E45EF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18159C30" w14:textId="77777777" w:rsidR="00421BDC" w:rsidRDefault="00421BDC" w:rsidP="00E45EF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0D93E07B" w14:textId="378C2FE1" w:rsidR="00E45EF0" w:rsidRDefault="00E45EF0" w:rsidP="00E45E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lastRenderedPageBreak/>
        <w:t>User Experience Highlights</w:t>
      </w:r>
    </w:p>
    <w:p w14:paraId="7D178D78" w14:textId="77777777" w:rsidR="00E45EF0" w:rsidRDefault="00E45EF0" w:rsidP="00E45EF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Easy Navigation:</w:t>
      </w:r>
      <w:r>
        <w:rPr>
          <w:rFonts w:ascii="inter" w:eastAsia="inter" w:hAnsi="inter" w:cs="inter"/>
          <w:color w:val="000000"/>
          <w:sz w:val="21"/>
        </w:rPr>
        <w:t xml:space="preserve"> Clean interface with intuitive navigation between portfolio summary, detailed asset views, scenario modeling, and documents.</w:t>
      </w:r>
    </w:p>
    <w:p w14:paraId="0B9B3D0B" w14:textId="77777777" w:rsidR="00E45EF0" w:rsidRDefault="00E45EF0" w:rsidP="00E45EF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Personalization:</w:t>
      </w:r>
      <w:r>
        <w:rPr>
          <w:rFonts w:ascii="inter" w:eastAsia="inter" w:hAnsi="inter" w:cs="inter"/>
          <w:color w:val="000000"/>
          <w:sz w:val="21"/>
        </w:rPr>
        <w:t xml:space="preserve"> Custom risk profiles and client goals directly inform recommended actions and analyses.</w:t>
      </w:r>
    </w:p>
    <w:p w14:paraId="515BFE50" w14:textId="77777777" w:rsidR="00421BDC" w:rsidRDefault="00421BDC" w:rsidP="00421BD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Security &amp; Compliance</w:t>
      </w:r>
    </w:p>
    <w:p w14:paraId="513828BD" w14:textId="77777777" w:rsidR="00421BDC" w:rsidRDefault="00421BDC" w:rsidP="00421BD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Safeguard sensitive insurance data and adhere to privacy laws specific to </w:t>
      </w:r>
      <w:proofErr w:type="gramStart"/>
      <w:r>
        <w:rPr>
          <w:rFonts w:ascii="inter" w:eastAsia="inter" w:hAnsi="inter" w:cs="inter"/>
          <w:color w:val="000000"/>
          <w:sz w:val="21"/>
        </w:rPr>
        <w:t>high net worth</w:t>
      </w:r>
      <w:proofErr w:type="gramEnd"/>
      <w:r>
        <w:rPr>
          <w:rFonts w:ascii="inter" w:eastAsia="inter" w:hAnsi="inter" w:cs="inter"/>
          <w:color w:val="000000"/>
          <w:sz w:val="21"/>
        </w:rPr>
        <w:t xml:space="preserve"> client profiles.</w:t>
      </w:r>
    </w:p>
    <w:p w14:paraId="727FC727" w14:textId="77777777" w:rsidR="00421BDC" w:rsidRPr="00155B01" w:rsidRDefault="00421BDC" w:rsidP="00421BDC">
      <w:pPr>
        <w:numPr>
          <w:ilvl w:val="0"/>
          <w:numId w:val="5"/>
        </w:numPr>
        <w:spacing w:before="105" w:after="105" w:line="360" w:lineRule="auto"/>
      </w:pPr>
      <w:r w:rsidRPr="00155B01">
        <w:rPr>
          <w:rFonts w:ascii="inter" w:eastAsia="inter" w:hAnsi="inter" w:cs="inter"/>
          <w:color w:val="000000"/>
          <w:sz w:val="21"/>
        </w:rPr>
        <w:t>Build programmable permissions and audit trails for client, advisor, and insurer access.</w:t>
      </w:r>
    </w:p>
    <w:p w14:paraId="2B0823F9" w14:textId="77777777" w:rsidR="00421BDC" w:rsidRPr="00554280" w:rsidRDefault="00421BDC" w:rsidP="00421BD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17"/>
        </w:rPr>
        <w:t>Build client-facing consent modules with granular permissions for sharing PPLI/PPA details with advisors.</w:t>
      </w:r>
      <w:r>
        <w:rPr>
          <w:rFonts w:ascii="inter" w:eastAsia="inter" w:hAnsi="inter" w:cs="inter"/>
          <w:color w:val="000000"/>
          <w:sz w:val="17"/>
        </w:rPr>
        <w:br/>
      </w:r>
      <w:r>
        <w:rPr>
          <w:rFonts w:ascii="inter" w:eastAsia="inter" w:hAnsi="inter" w:cs="inter"/>
          <w:color w:val="000000"/>
          <w:sz w:val="17"/>
        </w:rPr>
        <w:br/>
        <w:t>Support single sign-on and deep linking for frictionless navigation.</w:t>
      </w:r>
      <w:r>
        <w:rPr>
          <w:rFonts w:ascii="inter" w:eastAsia="inter" w:hAnsi="inter" w:cs="inter"/>
          <w:color w:val="000000"/>
          <w:sz w:val="17"/>
        </w:rPr>
        <w:br/>
        <w:t>Use modular, cloud-first architecture to allow easy expansion as new insurance offerings emerge</w:t>
      </w:r>
      <w:r>
        <w:rPr>
          <w:rFonts w:ascii="inter" w:eastAsia="inter" w:hAnsi="inter" w:cs="inter"/>
          <w:color w:val="000000"/>
          <w:sz w:val="17"/>
        </w:rPr>
        <w:br/>
      </w:r>
      <w:r>
        <w:rPr>
          <w:rFonts w:ascii="inter" w:eastAsia="inter" w:hAnsi="inter" w:cs="inter"/>
          <w:color w:val="000000"/>
          <w:sz w:val="21"/>
        </w:rPr>
        <w:t>Implement real-time monitoring of data feeds and client experience metrics to ensure reliability and satisfaction</w:t>
      </w:r>
    </w:p>
    <w:p w14:paraId="098B8C96" w14:textId="77777777" w:rsidR="00101CDC" w:rsidRPr="00101CDC" w:rsidRDefault="00421BDC" w:rsidP="00421BD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Integration should support KYC/AML protocols, audit trails, regulatory reporting, and secure document storage.</w:t>
      </w:r>
    </w:p>
    <w:p w14:paraId="7258C439" w14:textId="499D1821" w:rsidR="00421BDC" w:rsidRPr="002C5FED" w:rsidRDefault="00101CDC" w:rsidP="00421BDC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Automatic checks and reminders when insurance wrapper rules, such as diversification or investor control, require attention</w:t>
      </w:r>
      <w:r w:rsidR="00421BDC">
        <w:rPr>
          <w:rFonts w:ascii="inter" w:eastAsia="inter" w:hAnsi="inter" w:cs="inter"/>
          <w:color w:val="000000"/>
          <w:sz w:val="21"/>
        </w:rPr>
        <w:br/>
      </w:r>
    </w:p>
    <w:p w14:paraId="526CA475" w14:textId="77777777" w:rsidR="00421BDC" w:rsidRDefault="00421BDC" w:rsidP="00101CDC">
      <w:pPr>
        <w:spacing w:before="105" w:after="105" w:line="360" w:lineRule="auto"/>
        <w:ind w:left="180"/>
      </w:pPr>
      <w:r>
        <w:rPr>
          <w:rFonts w:ascii="inter" w:eastAsia="inter" w:hAnsi="inter" w:cs="inter"/>
          <w:b/>
          <w:color w:val="000000"/>
          <w:sz w:val="21"/>
        </w:rPr>
        <w:t>Authentication &amp; Consent Management</w:t>
      </w:r>
    </w:p>
    <w:p w14:paraId="2CEE0FF8" w14:textId="77777777" w:rsidR="00421BDC" w:rsidRDefault="00421BDC" w:rsidP="00421BDC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Implement OAuth2 or SAML-based SSO so advisors and clients move seamlessly between wealth and insurance platforms.</w:t>
      </w:r>
    </w:p>
    <w:p w14:paraId="43E77369" w14:textId="77777777" w:rsidR="00421BDC" w:rsidRDefault="00421BDC" w:rsidP="00421BDC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Granular consent modules allow clients to control which data is shared with which parties, improving privacy and compliance.</w:t>
      </w:r>
    </w:p>
    <w:p w14:paraId="21436694" w14:textId="77777777" w:rsidR="00421BDC" w:rsidRDefault="00421BDC" w:rsidP="00101CDC">
      <w:p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Automated Data Feeds</w:t>
      </w:r>
    </w:p>
    <w:p w14:paraId="36FF067A" w14:textId="581DCD1F" w:rsidR="00421BDC" w:rsidRPr="00101CDC" w:rsidRDefault="00421BDC" w:rsidP="00101CDC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Ensure feeds capture cash value, NAVs, death benefit, premium funding, and underlying fund performance from insurers and custodians, so view in the wealth management portal is always up to date</w:t>
      </w:r>
      <w:bookmarkStart w:id="0" w:name="fnref1:1"/>
      <w:bookmarkEnd w:id="0"/>
    </w:p>
    <w:p w14:paraId="70A84BA9" w14:textId="77777777" w:rsidR="00421BDC" w:rsidRDefault="00421BDC" w:rsidP="00421BD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lastRenderedPageBreak/>
        <w:t>Enabling E-Applications and Automated Underwriting</w:t>
      </w:r>
    </w:p>
    <w:p w14:paraId="036B8E54" w14:textId="77777777" w:rsidR="00421BDC" w:rsidRDefault="00421BDC" w:rsidP="00421BDC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Creating a frictionless E-application process for complex insurance wrappers requires both digital accessibility and robust automation:</w:t>
      </w:r>
    </w:p>
    <w:p w14:paraId="503FF0A0" w14:textId="77777777" w:rsidR="00421BDC" w:rsidRDefault="00421BDC" w:rsidP="00421BD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Dynamic E-Application Forms</w:t>
      </w:r>
    </w:p>
    <w:p w14:paraId="3FFF083C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Pre-fill known investment and client data from your platform.</w:t>
      </w:r>
    </w:p>
    <w:p w14:paraId="35EBC508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Include smart, context-driven flows to collect health, financial background, accreditation, and trust/estate structure data.</w:t>
      </w:r>
    </w:p>
    <w:p w14:paraId="30F29894" w14:textId="77777777" w:rsidR="00421BDC" w:rsidRDefault="00421BDC" w:rsidP="00421BD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Real-Time Validation</w:t>
      </w:r>
    </w:p>
    <w:p w14:paraId="65D422FB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Implement front-end checks to minimize errors and flag missing or noncompliant entries before submission.</w:t>
      </w:r>
    </w:p>
    <w:p w14:paraId="164EE063" w14:textId="77777777" w:rsidR="00421BDC" w:rsidRDefault="00421BDC" w:rsidP="00421BD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Automated Underwriting APIs</w:t>
      </w:r>
    </w:p>
    <w:p w14:paraId="6B02EA56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Leverage insurance carrier APIs that support automated risk assessment, medical data checks, financial verification, and straight-through processing for policy approval</w:t>
      </w:r>
      <w:bookmarkStart w:id="1" w:name="fnref3"/>
      <w:bookmarkEnd w:id="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[3]</w:t>
      </w:r>
      <w:r>
        <w:fldChar w:fldCharType="end"/>
      </w:r>
      <w:bookmarkStart w:id="2" w:name="fnref4"/>
      <w:bookmarkEnd w:id="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[4]</w:t>
      </w:r>
      <w:r>
        <w:fldChar w:fldCharType="end"/>
      </w:r>
      <w:bookmarkStart w:id="3" w:name="fnref5"/>
      <w:bookmarkEnd w:id="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[5]</w:t>
      </w:r>
      <w:r>
        <w:fldChar w:fldCharType="end"/>
      </w:r>
      <w:bookmarkStart w:id="4" w:name="fnref6"/>
      <w:bookmarkEnd w:id="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  <w:sz w:val="21"/>
        </w:rPr>
        <w:t>.</w:t>
      </w:r>
    </w:p>
    <w:p w14:paraId="69E4E42B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Support digital signatures, document uploads, automatic identity/document verification, and real-time status updates for clients and advisors.</w:t>
      </w:r>
    </w:p>
    <w:p w14:paraId="0D123A4A" w14:textId="77777777" w:rsidR="00421BDC" w:rsidRDefault="00421BDC" w:rsidP="00421BDC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Instant Policy Issuance</w:t>
      </w:r>
    </w:p>
    <w:p w14:paraId="0F52D53E" w14:textId="77777777" w:rsidR="00421BDC" w:rsidRDefault="00421BDC" w:rsidP="00421BD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Integrate with carrier back-offices so, upon approval, digital policies (policy PDFs/contracts, beneficiary declarations) are automatically issued and stored in the client portal</w:t>
      </w:r>
      <w:bookmarkStart w:id="5" w:name="fnref5:1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  <w:sz w:val="21"/>
        </w:rPr>
        <w:t>.</w:t>
      </w:r>
    </w:p>
    <w:p w14:paraId="77CB7360" w14:textId="77777777" w:rsidR="00421BDC" w:rsidRDefault="00421BDC" w:rsidP="00421BD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5316317F" w14:textId="77777777" w:rsidR="00421BDC" w:rsidRDefault="00421BDC" w:rsidP="00421BD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Simulating and Managing Investment Allocations in Wrappers</w:t>
      </w:r>
    </w:p>
    <w:p w14:paraId="1575A623" w14:textId="77777777" w:rsidR="00421BDC" w:rsidRDefault="00421BDC" w:rsidP="00421BDC">
      <w:pPr>
        <w:spacing w:after="210" w:line="360" w:lineRule="auto"/>
      </w:pPr>
      <w:r>
        <w:rPr>
          <w:rFonts w:ascii="inter" w:eastAsia="inter" w:hAnsi="inter" w:cs="inter"/>
          <w:color w:val="000000"/>
        </w:rPr>
        <w:t>Simulation tools help clients and advisors visually allocate capital into various investment options supported within insurance wrappers:</w:t>
      </w:r>
    </w:p>
    <w:p w14:paraId="5D734DC0" w14:textId="77777777" w:rsidR="00421BDC" w:rsidRDefault="00421BDC" w:rsidP="00421BD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Configurable Allocation Tools</w:t>
      </w:r>
    </w:p>
    <w:p w14:paraId="2B7AB211" w14:textId="77777777" w:rsidR="00421BDC" w:rsidRDefault="00421BDC" w:rsidP="00421BDC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Allow users to model how much to allocate to different asset classes (private equity, real estate, hedge funds, etc.) inside insurance wrappers while observing wrapper-imposed limits and IRS §817(h) diversification</w:t>
      </w:r>
      <w:bookmarkStart w:id="6" w:name="fnref1:2"/>
      <w:bookmarkStart w:id="7" w:name="fnref7"/>
      <w:bookmarkStart w:id="8" w:name="fnref8"/>
      <w:bookmarkEnd w:id="6"/>
      <w:bookmarkEnd w:id="7"/>
      <w:bookmarkEnd w:id="8"/>
      <w:r>
        <w:t xml:space="preserve"> </w:t>
      </w:r>
    </w:p>
    <w:p w14:paraId="1D0DFE8F" w14:textId="77777777" w:rsidR="00421BDC" w:rsidRDefault="00421BDC" w:rsidP="00421BDC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lastRenderedPageBreak/>
        <w:t>Support scenario analysis: clients/RIAs can forecast outcomes based on asset allocations, projected returns, premium funding scenarios, and potential funding structures (cash, premium financing, trust contributions).</w:t>
      </w:r>
    </w:p>
    <w:p w14:paraId="3CEB7942" w14:textId="77777777" w:rsidR="00421BDC" w:rsidRDefault="00421BDC" w:rsidP="00421BD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Tax &amp; Value-for-Money Modeling</w:t>
      </w:r>
    </w:p>
    <w:p w14:paraId="3097B37E" w14:textId="77777777" w:rsidR="00421BDC" w:rsidRDefault="00421BDC" w:rsidP="00421BDC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Calculate tax deferral, estate-tax impact, and projected after-tax/after-fee returns vs. standard investing for each allocation scenario</w:t>
      </w:r>
      <w:bookmarkStart w:id="9" w:name="fnref8:1"/>
      <w:bookmarkStart w:id="10" w:name="fnref9"/>
      <w:bookmarkEnd w:id="9"/>
      <w:bookmarkEnd w:id="10"/>
      <w:r>
        <w:t xml:space="preserve"> </w:t>
      </w:r>
    </w:p>
    <w:p w14:paraId="46CDAC6F" w14:textId="77777777" w:rsidR="00421BDC" w:rsidRDefault="00421BDC" w:rsidP="00421BDC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Integrated Case Studies</w:t>
      </w:r>
    </w:p>
    <w:p w14:paraId="5B5CF8FC" w14:textId="77777777" w:rsidR="00421BDC" w:rsidRDefault="00421BDC" w:rsidP="00421BDC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Present real-world allocation examples for ultra-high-net-worth profiles to illustrate the benefits and tradeoffs of various wrapper/investment choices</w:t>
      </w:r>
      <w:bookmarkStart w:id="11" w:name="fnref1:3"/>
      <w:bookmarkEnd w:id="11"/>
    </w:p>
    <w:p w14:paraId="18C8D383" w14:textId="77777777" w:rsidR="00421BDC" w:rsidRDefault="00421BDC" w:rsidP="00421BD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Customized Dashboards and Modeling for Advisors &amp; Clients</w:t>
      </w:r>
    </w:p>
    <w:p w14:paraId="6B66F4A5" w14:textId="77777777" w:rsidR="00421BDC" w:rsidRDefault="00421BDC" w:rsidP="00421BD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well-designed dashboard is essential for ongoing engagement and transparent reporting: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25"/>
        <w:gridCol w:w="6629"/>
      </w:tblGrid>
      <w:tr w:rsidR="00421BDC" w14:paraId="2BA04BBB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456A6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Dashboard Features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3D101E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421BDC" w14:paraId="441EFDFC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60FF0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Holistic Portfolio 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1E3D36" w14:textId="7764A763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Aggregate all client assets (including traditional and insurance-wrapped) in a unified net-worth summary</w:t>
            </w:r>
            <w:r w:rsidR="00101CDC">
              <w:t xml:space="preserve"> </w:t>
            </w:r>
          </w:p>
        </w:tc>
      </w:tr>
      <w:tr w:rsidR="00421BDC" w14:paraId="5C9C1AE8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027D51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 NAV &amp; Policy Performance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8E854A" w14:textId="39943F68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Show current values, historical performance, and real-time NAVs of each insurance-wrapped investment</w:t>
            </w:r>
          </w:p>
        </w:tc>
      </w:tr>
      <w:tr w:rsidR="00421BDC" w14:paraId="63A3C341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12ADE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Allocation Visualization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9678C3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Interactive charts and sliders to view and adjust wrapper asset allocations</w:t>
            </w:r>
          </w:p>
        </w:tc>
      </w:tr>
      <w:tr w:rsidR="00421BDC" w14:paraId="232EAD66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67C8B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Policy Details &amp; Document Vault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64917F" w14:textId="55967289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Instant access to policy documents, beneficiary forms, compliance letters, etc.</w:t>
            </w:r>
            <w:r w:rsidR="00101CDC">
              <w:t xml:space="preserve"> </w:t>
            </w:r>
          </w:p>
        </w:tc>
      </w:tr>
      <w:tr w:rsidR="00421BDC" w14:paraId="1F24F2B3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EEA0F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 &amp; Estate Modeling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2630A5" w14:textId="19CDF074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Simulate estate-tax savings, tax-deferral impact, and trust outcomes under different scenarios</w:t>
            </w:r>
            <w:r w:rsidR="00101CDC">
              <w:t xml:space="preserve"> </w:t>
            </w:r>
          </w:p>
        </w:tc>
      </w:tr>
      <w:tr w:rsidR="00421BDC" w14:paraId="6ABB2046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F7ED0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Advisor/Wealth Manager Analytics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30DDD6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Customizable dashboards for RIAs to track multiple clients, monitor allocation drift, identify opportunities</w:t>
            </w:r>
          </w:p>
        </w:tc>
      </w:tr>
      <w:tr w:rsidR="00421BDC" w14:paraId="01EFC391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20CDA" w14:textId="77777777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Alerts, Compliance, and Reminders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43BE7E" w14:textId="0C8E4612" w:rsidR="00421BDC" w:rsidRDefault="00421BDC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Automated notifications for funding deadlines, policy renewals, or required compliance actions</w:t>
            </w:r>
          </w:p>
        </w:tc>
      </w:tr>
    </w:tbl>
    <w:p w14:paraId="3B10A15F" w14:textId="77777777" w:rsidR="00E45EF0" w:rsidRDefault="00E45EF0" w:rsidP="0031178D">
      <w:pPr>
        <w:spacing w:before="315" w:after="105" w:line="360" w:lineRule="auto"/>
        <w:ind w:left="-30"/>
      </w:pPr>
    </w:p>
    <w:p w14:paraId="7D93B5BB" w14:textId="77777777" w:rsidR="00421BDC" w:rsidRDefault="00421BDC" w:rsidP="0031178D">
      <w:pPr>
        <w:spacing w:before="315" w:after="105" w:line="360" w:lineRule="auto"/>
        <w:ind w:left="-30"/>
      </w:pPr>
    </w:p>
    <w:p w14:paraId="4251A60C" w14:textId="77777777" w:rsidR="00421BDC" w:rsidRDefault="00421BDC" w:rsidP="0031178D">
      <w:pPr>
        <w:spacing w:before="315" w:after="105" w:line="360" w:lineRule="auto"/>
        <w:ind w:left="-30"/>
      </w:pPr>
    </w:p>
    <w:p w14:paraId="4B563A8A" w14:textId="5FE3CF02" w:rsidR="002C0256" w:rsidRDefault="00421BDC" w:rsidP="002C0256">
      <w:pPr>
        <w:spacing w:after="210" w:line="360" w:lineRule="auto"/>
      </w:pPr>
      <w:r>
        <w:lastRenderedPageBreak/>
        <w:t xml:space="preserve">We will leverage these </w:t>
      </w:r>
      <w:r w:rsidR="002C0256">
        <w:rPr>
          <w:rFonts w:ascii="inter" w:eastAsia="inter" w:hAnsi="inter" w:cs="inter"/>
          <w:color w:val="000000"/>
        </w:rPr>
        <w:t>best practices for demonstrating value to clients and registered investment advisors (RIAs):</w:t>
      </w:r>
    </w:p>
    <w:p w14:paraId="4610A55C" w14:textId="50629C59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Critical RIA / advisor tools to share with clients</w:t>
      </w:r>
      <w:r>
        <w:rPr>
          <w:rFonts w:ascii="inter" w:eastAsia="inter" w:hAnsi="inter" w:cs="inter"/>
          <w:b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1. Unified Portfolio Presentation</w:t>
      </w:r>
    </w:p>
    <w:p w14:paraId="07A4A37A" w14:textId="77777777" w:rsidR="002C0256" w:rsidRDefault="002C0256" w:rsidP="002C025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Holistic Dashboard:</w:t>
      </w:r>
      <w:r>
        <w:rPr>
          <w:rFonts w:ascii="inter" w:eastAsia="inter" w:hAnsi="inter" w:cs="inter"/>
          <w:color w:val="000000"/>
          <w:sz w:val="21"/>
        </w:rPr>
        <w:t xml:space="preserve"> Show PPLI and PPA as distinct line items alongside traditional investments, illustrating cash value, death benefit (PPLI), or annuitized income streams (PPA), plus the composition and performance of underlying investments.</w:t>
      </w:r>
    </w:p>
    <w:p w14:paraId="522025C2" w14:textId="77777777" w:rsidR="002C0256" w:rsidRDefault="002C0256" w:rsidP="002C025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Performance Comparison:</w:t>
      </w:r>
      <w:r>
        <w:rPr>
          <w:rFonts w:ascii="inter" w:eastAsia="inter" w:hAnsi="inter" w:cs="inter"/>
          <w:color w:val="000000"/>
          <w:sz w:val="21"/>
        </w:rPr>
        <w:t xml:space="preserve"> Present time-weighted or internal rate of return (IRR) performance analytics for insurance wrappers versus other asset classes, allowing apples-to-apples evaluation of risk, return, and liquidity.</w:t>
      </w:r>
    </w:p>
    <w:p w14:paraId="36556449" w14:textId="77777777" w:rsidR="002C0256" w:rsidRDefault="002C0256" w:rsidP="002C025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Net Worth Impact:</w:t>
      </w:r>
      <w:r>
        <w:rPr>
          <w:rFonts w:ascii="inter" w:eastAsia="inter" w:hAnsi="inter" w:cs="inter"/>
          <w:color w:val="000000"/>
          <w:sz w:val="21"/>
        </w:rPr>
        <w:t xml:space="preserve"> Clearly show the impact of PPLI/PPA on total net worth, incorporating projections for tax-deferred growth, future estate payouts, and risk mitigation.</w:t>
      </w:r>
    </w:p>
    <w:p w14:paraId="04F51213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2. Tax and Estate Planning Illustration</w:t>
      </w:r>
    </w:p>
    <w:p w14:paraId="48C3164E" w14:textId="77777777" w:rsidR="002C0256" w:rsidRDefault="002C0256" w:rsidP="002C025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Scenario Modeling:</w:t>
      </w:r>
      <w:r>
        <w:rPr>
          <w:rFonts w:ascii="inter" w:eastAsia="inter" w:hAnsi="inter" w:cs="inter"/>
          <w:color w:val="000000"/>
          <w:sz w:val="21"/>
        </w:rPr>
        <w:t xml:space="preserve"> Enable advisors and clients to simulate after-tax portfolio outcomes with and without insurance wrappers, modeling tax deferral, avoidance, and legacy enhancement potential.</w:t>
      </w:r>
    </w:p>
    <w:p w14:paraId="7F3B7909" w14:textId="77777777" w:rsidR="002C0256" w:rsidRDefault="002C0256" w:rsidP="002C025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Estate Optimization:</w:t>
      </w:r>
      <w:r>
        <w:rPr>
          <w:rFonts w:ascii="inter" w:eastAsia="inter" w:hAnsi="inter" w:cs="inter"/>
          <w:color w:val="000000"/>
          <w:sz w:val="21"/>
        </w:rPr>
        <w:t xml:space="preserve"> Highlight how PPLI, when owned by a trust, removes assets from taxable estates and provides liquidity for estate taxes or wealth transfer.</w:t>
      </w:r>
    </w:p>
    <w:p w14:paraId="279F5225" w14:textId="77777777" w:rsidR="002C0256" w:rsidRDefault="002C0256" w:rsidP="002C025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Withdrawal and Loan Scenarios:</w:t>
      </w:r>
      <w:r>
        <w:rPr>
          <w:rFonts w:ascii="inter" w:eastAsia="inter" w:hAnsi="inter" w:cs="inter"/>
          <w:color w:val="000000"/>
          <w:sz w:val="21"/>
        </w:rPr>
        <w:t xml:space="preserve"> Demonstrate how policy loans or partial withdrawals can provide tax-free and flexible access to liquidity, contrasting with the tax implications of withdrawals from taxable accounts.</w:t>
      </w:r>
    </w:p>
    <w:p w14:paraId="261F234B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3. Integration into Asset Allocation</w:t>
      </w:r>
    </w:p>
    <w:p w14:paraId="1399C386" w14:textId="77777777" w:rsidR="002C0256" w:rsidRDefault="002C0256" w:rsidP="002C025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Inclusion in Allocation Models:</w:t>
      </w:r>
      <w:r>
        <w:rPr>
          <w:rFonts w:ascii="inter" w:eastAsia="inter" w:hAnsi="inter" w:cs="inter"/>
          <w:color w:val="000000"/>
          <w:sz w:val="21"/>
        </w:rPr>
        <w:t xml:space="preserve"> Treat the underlying investments within PPLI/PPA as part of overall asset allocation—whether private equity, hedge funds, or fixed income—so advisors and clients can optimize diversification, risk, and target exposures.</w:t>
      </w:r>
    </w:p>
    <w:p w14:paraId="0CEEA5E7" w14:textId="77777777" w:rsidR="002C0256" w:rsidRDefault="002C0256" w:rsidP="002C025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Aggregate Analytics:</w:t>
      </w:r>
      <w:r>
        <w:rPr>
          <w:rFonts w:ascii="inter" w:eastAsia="inter" w:hAnsi="inter" w:cs="inter"/>
          <w:color w:val="000000"/>
          <w:sz w:val="21"/>
        </w:rPr>
        <w:t xml:space="preserve"> Analyze the effect of insurance wrappers on portfolio characteristics like volatility, downside protection, and Sharpe ratio, helping clients and RIAs understand unique contributions.</w:t>
      </w:r>
    </w:p>
    <w:p w14:paraId="3A5F4790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lastRenderedPageBreak/>
        <w:t>4. Transparency and Reporting</w:t>
      </w:r>
    </w:p>
    <w:p w14:paraId="74494570" w14:textId="77777777" w:rsidR="002C0256" w:rsidRDefault="002C0256" w:rsidP="002C025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Fee Disclosure:</w:t>
      </w:r>
      <w:r>
        <w:rPr>
          <w:rFonts w:ascii="inter" w:eastAsia="inter" w:hAnsi="inter" w:cs="inter"/>
          <w:color w:val="000000"/>
          <w:sz w:val="21"/>
        </w:rPr>
        <w:t xml:space="preserve"> Show all fees, including insurance charges, mortality and expense, investment management, and underlying fund costs, for full transparency and fiduciary rigor.</w:t>
      </w:r>
    </w:p>
    <w:p w14:paraId="39F9C9A2" w14:textId="77777777" w:rsidR="002C0256" w:rsidRDefault="002C0256" w:rsidP="002C025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Policy Details:</w:t>
      </w:r>
      <w:r>
        <w:rPr>
          <w:rFonts w:ascii="inter" w:eastAsia="inter" w:hAnsi="inter" w:cs="inter"/>
          <w:color w:val="000000"/>
          <w:sz w:val="21"/>
        </w:rPr>
        <w:t xml:space="preserve"> Make available all documents and details—policy statements, funding history, allocations, beneficiary information—in the same digital portal as other investments.</w:t>
      </w:r>
    </w:p>
    <w:p w14:paraId="3EB90D90" w14:textId="77777777" w:rsidR="002C0256" w:rsidRDefault="002C0256" w:rsidP="002C025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Ongoing Performance Updates:</w:t>
      </w:r>
      <w:r>
        <w:rPr>
          <w:rFonts w:ascii="inter" w:eastAsia="inter" w:hAnsi="inter" w:cs="inter"/>
          <w:color w:val="000000"/>
          <w:sz w:val="21"/>
        </w:rPr>
        <w:t xml:space="preserve"> Provide regular, automated updates on market value, returns, insurance costs, and changing beneficiary or trustee details.</w:t>
      </w:r>
    </w:p>
    <w:p w14:paraId="5C4A329D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5. Advisor Empowerment and Fiduciary Duty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1"/>
        <w:gridCol w:w="4831"/>
      </w:tblGrid>
      <w:tr w:rsidR="002C0256" w14:paraId="23F76663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4A10E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Capability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35EC4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How It Demonstrates Value</w:t>
            </w:r>
          </w:p>
        </w:tc>
      </w:tr>
      <w:tr w:rsidR="002C0256" w14:paraId="57D0CC93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FAE11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Comparative Analysis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65B4AB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Enables advisors to justify PPLI/PPA use next to other options</w:t>
            </w:r>
          </w:p>
        </w:tc>
      </w:tr>
      <w:tr w:rsidR="002C0256" w14:paraId="3743125E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5160C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Suitability Assessment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6B7A63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Documents client goals, suitability, and how the wrapper fits</w:t>
            </w:r>
          </w:p>
        </w:tc>
      </w:tr>
      <w:tr w:rsidR="002C0256" w14:paraId="765FDC70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45F51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 Reporting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695E9F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Permits tailored views for RIAs/family offices and clients</w:t>
            </w:r>
          </w:p>
        </w:tc>
      </w:tr>
      <w:tr w:rsidR="002C0256" w14:paraId="2877A589" w14:textId="77777777" w:rsidTr="00FD632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8BD5B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Compliance Monitoring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A531E3" w14:textId="77777777" w:rsidR="002C0256" w:rsidRDefault="002C0256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Tracks eligibility, diversification, and control requirements</w:t>
            </w:r>
          </w:p>
        </w:tc>
      </w:tr>
    </w:tbl>
    <w:p w14:paraId="11164AF8" w14:textId="77777777" w:rsidR="002C0256" w:rsidRDefault="002C0256" w:rsidP="002C0256"/>
    <w:p w14:paraId="1F46C98A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6. Client Communication and Education</w:t>
      </w:r>
    </w:p>
    <w:p w14:paraId="79AE6482" w14:textId="77777777" w:rsidR="002C0256" w:rsidRDefault="002C0256" w:rsidP="002C025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Interactive Tools:</w:t>
      </w:r>
      <w:r>
        <w:rPr>
          <w:rFonts w:ascii="inter" w:eastAsia="inter" w:hAnsi="inter" w:cs="inter"/>
          <w:color w:val="000000"/>
          <w:sz w:val="21"/>
        </w:rPr>
        <w:t xml:space="preserve"> Use visual scenario-modelers and explainer content to assist advisors in communicating strategy and benefits.</w:t>
      </w:r>
    </w:p>
    <w:p w14:paraId="3252C3F7" w14:textId="77777777" w:rsidR="002C0256" w:rsidRDefault="002C0256" w:rsidP="002C025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Alerts and Notifications:</w:t>
      </w:r>
      <w:r>
        <w:rPr>
          <w:rFonts w:ascii="inter" w:eastAsia="inter" w:hAnsi="inter" w:cs="inter"/>
          <w:color w:val="000000"/>
          <w:sz w:val="21"/>
        </w:rPr>
        <w:t xml:space="preserve"> Set up automated reminders for key events such as premium funding, policy anniversaries, or regulatory deadlines.</w:t>
      </w:r>
    </w:p>
    <w:p w14:paraId="2C34B46C" w14:textId="77777777" w:rsidR="002C0256" w:rsidRDefault="002C0256" w:rsidP="002C0256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7. Continual Feedback and Improvement</w:t>
      </w:r>
    </w:p>
    <w:p w14:paraId="7CFA56F7" w14:textId="77777777" w:rsidR="002C0256" w:rsidRDefault="002C0256" w:rsidP="002C025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Feedback Mechanisms:</w:t>
      </w:r>
      <w:r>
        <w:rPr>
          <w:rFonts w:ascii="inter" w:eastAsia="inter" w:hAnsi="inter" w:cs="inter"/>
          <w:color w:val="000000"/>
          <w:sz w:val="21"/>
        </w:rPr>
        <w:t xml:space="preserve"> Allow RIAs to submit feedback and improvement requests, helping ensure portfolio tools and reports evolve with regulatory changes and best practices.</w:t>
      </w:r>
    </w:p>
    <w:p w14:paraId="3826AEBB" w14:textId="77777777" w:rsidR="002C0256" w:rsidRDefault="002C0256" w:rsidP="002C0256">
      <w:pPr>
        <w:spacing w:after="210" w:line="360" w:lineRule="auto"/>
        <w:rPr>
          <w:rFonts w:ascii="inter" w:eastAsia="inter" w:hAnsi="inter" w:cs="inter"/>
          <w:color w:val="000000"/>
        </w:rPr>
      </w:pPr>
    </w:p>
    <w:p w14:paraId="06043220" w14:textId="5B9F628E" w:rsidR="002C0256" w:rsidRDefault="002C0256" w:rsidP="002C025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By treating PPLI and PPA as integral, transparent, and readily analyzable parts of the investment ecosystem, RIAs can illustrate their unique value in tax deferral, estate </w:t>
      </w:r>
      <w:r>
        <w:rPr>
          <w:rFonts w:ascii="inter" w:eastAsia="inter" w:hAnsi="inter" w:cs="inter"/>
          <w:color w:val="000000"/>
        </w:rPr>
        <w:lastRenderedPageBreak/>
        <w:t>optimization, and access to a broader universe of alternative investments—delivering a sophisticated, client-centric advisory experience.</w:t>
      </w:r>
    </w:p>
    <w:p w14:paraId="6A03A906" w14:textId="5A33473A" w:rsidR="002C0256" w:rsidRDefault="00421BDC" w:rsidP="002C0256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 future versions, we can include </w:t>
      </w:r>
      <w:r w:rsidR="002C0256">
        <w:rPr>
          <w:rFonts w:ascii="inter" w:eastAsia="inter" w:hAnsi="inter" w:cs="inter"/>
          <w:color w:val="000000"/>
        </w:rPr>
        <w:t>IRS guidelines for life insurance and annuity policies, private placement documentation.</w:t>
      </w:r>
      <w:r w:rsidR="002C0256">
        <w:rPr>
          <w:rFonts w:ascii="inter" w:eastAsia="inter" w:hAnsi="inter" w:cs="inter"/>
          <w:color w:val="000000"/>
        </w:rPr>
        <w:br/>
        <w:t>Industry best practices in RIA portfolio management and reporting for alternative investments.</w:t>
      </w:r>
    </w:p>
    <w:p w14:paraId="11C55E0B" w14:textId="60650BB2" w:rsidR="00706B77" w:rsidRDefault="002C0256" w:rsidP="00101CD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>
        <w:br/>
      </w:r>
      <w:r>
        <w:br/>
        <w:t>____</w:t>
      </w:r>
      <w:r w:rsidR="0031178D">
        <w:br/>
      </w:r>
      <w:r w:rsidR="00101CDC">
        <w:rPr>
          <w:rFonts w:ascii="inter" w:eastAsia="inter" w:hAnsi="inter" w:cs="inter"/>
          <w:b/>
          <w:color w:val="000000"/>
        </w:rPr>
        <w:t>Other Considerations (</w:t>
      </w:r>
      <w:r w:rsidR="00101CDC" w:rsidRPr="00101CDC">
        <w:rPr>
          <w:rFonts w:ascii="inter" w:eastAsia="inter" w:hAnsi="inter" w:cs="inter"/>
          <w:b/>
          <w:color w:val="000000"/>
          <w:highlight w:val="yellow"/>
        </w:rPr>
        <w:t>may be duplicate content; need to condense</w:t>
      </w:r>
      <w:r w:rsidR="00101CDC">
        <w:rPr>
          <w:rFonts w:ascii="inter" w:eastAsia="inter" w:hAnsi="inter" w:cs="inter"/>
          <w:b/>
          <w:color w:val="000000"/>
        </w:rPr>
        <w:t>)</w:t>
      </w:r>
    </w:p>
    <w:p w14:paraId="56EF3188" w14:textId="2DD64FEF" w:rsidR="00E45EF0" w:rsidRDefault="00E45EF0" w:rsidP="00E45E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Unified Portfolio Overview</w:t>
      </w:r>
    </w:p>
    <w:p w14:paraId="314C1B34" w14:textId="77777777" w:rsidR="00E45EF0" w:rsidRDefault="00E45EF0" w:rsidP="00E45EF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Portfolio Summary Tile:</w:t>
      </w:r>
      <w:r>
        <w:rPr>
          <w:rFonts w:ascii="inter" w:eastAsia="inter" w:hAnsi="inter" w:cs="inter"/>
          <w:color w:val="000000"/>
          <w:sz w:val="21"/>
        </w:rPr>
        <w:t xml:space="preserve"> Instantly shows total net worth, aggregated across traditional investments, alternatives, PPLI, and PPA.</w:t>
      </w:r>
    </w:p>
    <w:p w14:paraId="4FBC69D7" w14:textId="77777777" w:rsidR="00E45EF0" w:rsidRDefault="00E45EF0" w:rsidP="00E45EF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Asset Allocation Pie Chart:</w:t>
      </w:r>
      <w:r>
        <w:rPr>
          <w:rFonts w:ascii="inter" w:eastAsia="inter" w:hAnsi="inter" w:cs="inter"/>
          <w:color w:val="000000"/>
          <w:sz w:val="21"/>
        </w:rPr>
        <w:t xml:space="preserve"> Visually displays portfolio distribution, highlighting insurance-wrapped assets as distinct, but integrated, segments.</w:t>
      </w:r>
    </w:p>
    <w:p w14:paraId="0A352FAE" w14:textId="77777777" w:rsidR="00E45EF0" w:rsidRDefault="00E45EF0" w:rsidP="00E45EF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Key Performance Indicators:</w:t>
      </w:r>
      <w:r>
        <w:rPr>
          <w:rFonts w:ascii="inter" w:eastAsia="inter" w:hAnsi="inter" w:cs="inter"/>
          <w:color w:val="000000"/>
          <w:sz w:val="21"/>
        </w:rPr>
        <w:t xml:space="preserve"> Top-bar metrics for year-to-date performance, portfolio risk score, and tax efficiency rating.</w:t>
      </w:r>
    </w:p>
    <w:p w14:paraId="3572E022" w14:textId="77777777" w:rsidR="00E45EF0" w:rsidRDefault="00E45EF0" w:rsidP="00E45E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Detailed Holdings &amp; Insurance Wrappers</w:t>
      </w:r>
    </w:p>
    <w:p w14:paraId="130D3B7E" w14:textId="77777777" w:rsidR="00E45EF0" w:rsidRDefault="00E45EF0" w:rsidP="00E45EF0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  <w:sz w:val="21"/>
        </w:rPr>
        <w:t>Holdings Table:</w:t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5"/>
        <w:gridCol w:w="1290"/>
        <w:gridCol w:w="1183"/>
        <w:gridCol w:w="1070"/>
        <w:gridCol w:w="1277"/>
      </w:tblGrid>
      <w:tr w:rsidR="00E45EF0" w14:paraId="6CCD703A" w14:textId="77777777" w:rsidTr="00FD632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AFFAA8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Asset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FED79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 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6311F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1-Yr 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8736E6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Liquidity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1D7B7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 Status</w:t>
            </w:r>
          </w:p>
        </w:tc>
      </w:tr>
      <w:tr w:rsidR="00E45EF0" w14:paraId="46505F5C" w14:textId="77777777" w:rsidTr="00FD632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75EBA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Equities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9D093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$15,000,000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36A6D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13.4%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694F7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D9881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Taxable</w:t>
            </w:r>
          </w:p>
        </w:tc>
      </w:tr>
      <w:tr w:rsidR="00E45EF0" w14:paraId="0AB1C0B1" w14:textId="77777777" w:rsidTr="00FD632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725BD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Alternatives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F8AEB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$9,000,000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1293E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8217D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699CD0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Taxable</w:t>
            </w:r>
          </w:p>
        </w:tc>
      </w:tr>
      <w:tr w:rsidR="00E45EF0" w14:paraId="6A5D2AD0" w14:textId="77777777" w:rsidTr="00FD632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9F3B5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PPLI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74371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$7,500,000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313FB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11.0%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523410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A42647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 Deferred</w:t>
            </w:r>
          </w:p>
        </w:tc>
      </w:tr>
      <w:tr w:rsidR="00E45EF0" w14:paraId="2A0C476A" w14:textId="77777777" w:rsidTr="00FD632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0502C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PPA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05CF6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$2,000,000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B0CF5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CC057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Scheduled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6B78F7" w14:textId="77777777" w:rsidR="00E45EF0" w:rsidRDefault="00E45EF0" w:rsidP="00FD632F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Tax Deferred</w:t>
            </w:r>
          </w:p>
        </w:tc>
      </w:tr>
    </w:tbl>
    <w:p w14:paraId="341C8360" w14:textId="77777777" w:rsidR="00E45EF0" w:rsidRDefault="00E45EF0" w:rsidP="00E45EF0"/>
    <w:p w14:paraId="44E8D9DC" w14:textId="77777777" w:rsidR="00E45EF0" w:rsidRDefault="00E45EF0" w:rsidP="00E45EF0">
      <w:pPr>
        <w:numPr>
          <w:ilvl w:val="0"/>
          <w:numId w:val="10"/>
        </w:num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  <w:sz w:val="21"/>
        </w:rPr>
        <w:lastRenderedPageBreak/>
        <w:t>Line Item</w:t>
      </w:r>
      <w:proofErr w:type="gramEnd"/>
      <w:r>
        <w:rPr>
          <w:rFonts w:ascii="inter" w:eastAsia="inter" w:hAnsi="inter" w:cs="inter"/>
          <w:b/>
          <w:color w:val="000000"/>
          <w:sz w:val="21"/>
        </w:rPr>
        <w:t xml:space="preserve"> Drill-Down:</w:t>
      </w:r>
      <w:r>
        <w:rPr>
          <w:rFonts w:ascii="inter" w:eastAsia="inter" w:hAnsi="inter" w:cs="inter"/>
          <w:color w:val="000000"/>
          <w:sz w:val="21"/>
        </w:rPr>
        <w:br/>
        <w:t>Click any holding, including PPLI or PPA, to see details—breakdown of cash value, death benefit (for PPLI), policy term, underlying allocations, and annuity income stream plots (for PPA).</w:t>
      </w:r>
    </w:p>
    <w:p w14:paraId="33FA9A8C" w14:textId="77777777" w:rsidR="00E45EF0" w:rsidRDefault="00E45EF0" w:rsidP="00E45E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Interactive Analytics &amp; Scenario Modeling</w:t>
      </w:r>
    </w:p>
    <w:p w14:paraId="3007CD98" w14:textId="77777777" w:rsidR="00E45EF0" w:rsidRDefault="00E45EF0" w:rsidP="00E45EF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Performance Trend Charts:</w:t>
      </w:r>
      <w:r>
        <w:rPr>
          <w:rFonts w:ascii="inter" w:eastAsia="inter" w:hAnsi="inter" w:cs="inter"/>
          <w:color w:val="000000"/>
          <w:sz w:val="21"/>
        </w:rPr>
        <w:t xml:space="preserve"> Track investment, insurance, and total wealth growth over customizable periods.</w:t>
      </w:r>
    </w:p>
    <w:p w14:paraId="366706CD" w14:textId="77777777" w:rsidR="00E45EF0" w:rsidRDefault="00E45EF0" w:rsidP="00E45EF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Scenario Sliders:</w:t>
      </w:r>
      <w:r>
        <w:rPr>
          <w:rFonts w:ascii="inter" w:eastAsia="inter" w:hAnsi="inter" w:cs="inter"/>
          <w:color w:val="000000"/>
          <w:sz w:val="21"/>
        </w:rPr>
        <w:t xml:space="preserve"> Advisors use interactive tools to simulate reallocating assets between taxable and insurance-wrapped investments, instantly visualizing projected after-tax returns and estate values.</w:t>
      </w:r>
    </w:p>
    <w:p w14:paraId="297CC45C" w14:textId="77777777" w:rsidR="00E45EF0" w:rsidRDefault="00E45EF0" w:rsidP="00E45EF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Estate Distribution Visualization:</w:t>
      </w:r>
      <w:r>
        <w:rPr>
          <w:rFonts w:ascii="inter" w:eastAsia="inter" w:hAnsi="inter" w:cs="inter"/>
          <w:color w:val="000000"/>
          <w:sz w:val="21"/>
        </w:rPr>
        <w:t xml:space="preserve"> Graphically shows projected family distributions, taxes due, and insurance proceeds.</w:t>
      </w:r>
    </w:p>
    <w:p w14:paraId="5B27AACD" w14:textId="77777777" w:rsidR="00706B77" w:rsidRDefault="00706B77" w:rsidP="00E45EF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3285C7C0" w14:textId="5BB573C8" w:rsidR="00E45EF0" w:rsidRDefault="00E45EF0" w:rsidP="00E45E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</w:rPr>
        <w:t>Smart Features &amp; Advisor Workflow</w:t>
      </w:r>
    </w:p>
    <w:p w14:paraId="514CF1C8" w14:textId="77777777" w:rsidR="00E45EF0" w:rsidRDefault="00E45EF0" w:rsidP="00E45EF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Document Vault:</w:t>
      </w:r>
      <w:r>
        <w:rPr>
          <w:rFonts w:ascii="inter" w:eastAsia="inter" w:hAnsi="inter" w:cs="inter"/>
          <w:color w:val="000000"/>
          <w:sz w:val="21"/>
        </w:rPr>
        <w:t xml:space="preserve"> Secure, instantly accessible storage for policy statements, beneficiary forms, legal documents, and compliance records.</w:t>
      </w:r>
    </w:p>
    <w:p w14:paraId="0FE4681E" w14:textId="77777777" w:rsidR="00E45EF0" w:rsidRDefault="00E45EF0" w:rsidP="00E45EF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Policy Event Alerts:</w:t>
      </w:r>
      <w:r>
        <w:rPr>
          <w:rFonts w:ascii="inter" w:eastAsia="inter" w:hAnsi="inter" w:cs="inter"/>
          <w:color w:val="000000"/>
          <w:sz w:val="21"/>
        </w:rPr>
        <w:t xml:space="preserve"> Automated notifications for premium deadlines, anniversaries, or regulatory milestones.</w:t>
      </w:r>
    </w:p>
    <w:p w14:paraId="487AEDF0" w14:textId="77777777" w:rsidR="00E45EF0" w:rsidRDefault="00E45EF0" w:rsidP="00E45EF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Advisor Notes Section:</w:t>
      </w:r>
      <w:r>
        <w:rPr>
          <w:rFonts w:ascii="inter" w:eastAsia="inter" w:hAnsi="inter" w:cs="inter"/>
          <w:color w:val="000000"/>
          <w:sz w:val="21"/>
        </w:rPr>
        <w:t xml:space="preserve"> Centralized, private notes and compliance documentation per client.</w:t>
      </w:r>
    </w:p>
    <w:p w14:paraId="35BCB4F1" w14:textId="2F06DC04" w:rsidR="00155B01" w:rsidRDefault="00E45EF0" w:rsidP="00E45EF0">
      <w:p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Client Communication Panel:</w:t>
      </w:r>
      <w:r>
        <w:rPr>
          <w:rFonts w:ascii="inter" w:eastAsia="inter" w:hAnsi="inter" w:cs="inter"/>
          <w:color w:val="000000"/>
          <w:sz w:val="21"/>
        </w:rPr>
        <w:t xml:space="preserve"> Direct messaging for investment updates or new scenario proposals</w:t>
      </w:r>
      <w:r w:rsidR="007D15BD">
        <w:rPr>
          <w:rFonts w:ascii="inter" w:eastAsia="inter" w:hAnsi="inter" w:cs="inter"/>
          <w:color w:val="000000"/>
          <w:sz w:val="21"/>
        </w:rPr>
        <w:br/>
      </w:r>
      <w:r w:rsidR="00155B01">
        <w:rPr>
          <w:rFonts w:ascii="inter" w:eastAsia="inter" w:hAnsi="inter" w:cs="inter"/>
          <w:color w:val="000000"/>
          <w:sz w:val="17"/>
        </w:rPr>
        <w:br/>
      </w:r>
    </w:p>
    <w:sectPr w:rsidR="00155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421"/>
    <w:multiLevelType w:val="hybridMultilevel"/>
    <w:tmpl w:val="C31ECAC0"/>
    <w:lvl w:ilvl="0" w:tplc="DEE0B1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9E5258">
      <w:numFmt w:val="decimal"/>
      <w:lvlText w:val=""/>
      <w:lvlJc w:val="left"/>
    </w:lvl>
    <w:lvl w:ilvl="2" w:tplc="5060FF90">
      <w:numFmt w:val="decimal"/>
      <w:lvlText w:val=""/>
      <w:lvlJc w:val="left"/>
    </w:lvl>
    <w:lvl w:ilvl="3" w:tplc="EDDC9EA6">
      <w:numFmt w:val="decimal"/>
      <w:lvlText w:val=""/>
      <w:lvlJc w:val="left"/>
    </w:lvl>
    <w:lvl w:ilvl="4" w:tplc="E05AA0D0">
      <w:numFmt w:val="decimal"/>
      <w:lvlText w:val=""/>
      <w:lvlJc w:val="left"/>
    </w:lvl>
    <w:lvl w:ilvl="5" w:tplc="F580C4A8">
      <w:numFmt w:val="decimal"/>
      <w:lvlText w:val=""/>
      <w:lvlJc w:val="left"/>
    </w:lvl>
    <w:lvl w:ilvl="6" w:tplc="1518A6FE">
      <w:numFmt w:val="decimal"/>
      <w:lvlText w:val=""/>
      <w:lvlJc w:val="left"/>
    </w:lvl>
    <w:lvl w:ilvl="7" w:tplc="FFB6732A">
      <w:numFmt w:val="decimal"/>
      <w:lvlText w:val=""/>
      <w:lvlJc w:val="left"/>
    </w:lvl>
    <w:lvl w:ilvl="8" w:tplc="AA26075E">
      <w:numFmt w:val="decimal"/>
      <w:lvlText w:val=""/>
      <w:lvlJc w:val="left"/>
    </w:lvl>
  </w:abstractNum>
  <w:abstractNum w:abstractNumId="1" w15:restartNumberingAfterBreak="0">
    <w:nsid w:val="042C45C6"/>
    <w:multiLevelType w:val="hybridMultilevel"/>
    <w:tmpl w:val="11DC7BE2"/>
    <w:lvl w:ilvl="0" w:tplc="30A0B2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2C5054">
      <w:numFmt w:val="decimal"/>
      <w:lvlText w:val=""/>
      <w:lvlJc w:val="left"/>
    </w:lvl>
    <w:lvl w:ilvl="2" w:tplc="1C48585E">
      <w:numFmt w:val="decimal"/>
      <w:lvlText w:val=""/>
      <w:lvlJc w:val="left"/>
    </w:lvl>
    <w:lvl w:ilvl="3" w:tplc="7C9C02B4">
      <w:numFmt w:val="decimal"/>
      <w:lvlText w:val=""/>
      <w:lvlJc w:val="left"/>
    </w:lvl>
    <w:lvl w:ilvl="4" w:tplc="F30CBE8E">
      <w:numFmt w:val="decimal"/>
      <w:lvlText w:val=""/>
      <w:lvlJc w:val="left"/>
    </w:lvl>
    <w:lvl w:ilvl="5" w:tplc="C3DA2186">
      <w:numFmt w:val="decimal"/>
      <w:lvlText w:val=""/>
      <w:lvlJc w:val="left"/>
    </w:lvl>
    <w:lvl w:ilvl="6" w:tplc="8C869AA8">
      <w:numFmt w:val="decimal"/>
      <w:lvlText w:val=""/>
      <w:lvlJc w:val="left"/>
    </w:lvl>
    <w:lvl w:ilvl="7" w:tplc="9FCC05A0">
      <w:numFmt w:val="decimal"/>
      <w:lvlText w:val=""/>
      <w:lvlJc w:val="left"/>
    </w:lvl>
    <w:lvl w:ilvl="8" w:tplc="16147844">
      <w:numFmt w:val="decimal"/>
      <w:lvlText w:val=""/>
      <w:lvlJc w:val="left"/>
    </w:lvl>
  </w:abstractNum>
  <w:abstractNum w:abstractNumId="2" w15:restartNumberingAfterBreak="0">
    <w:nsid w:val="0AD949A4"/>
    <w:multiLevelType w:val="hybridMultilevel"/>
    <w:tmpl w:val="DB3E99DC"/>
    <w:lvl w:ilvl="0" w:tplc="19760F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9A96E4">
      <w:numFmt w:val="decimal"/>
      <w:lvlText w:val=""/>
      <w:lvlJc w:val="left"/>
    </w:lvl>
    <w:lvl w:ilvl="2" w:tplc="0D60A222">
      <w:numFmt w:val="decimal"/>
      <w:lvlText w:val=""/>
      <w:lvlJc w:val="left"/>
    </w:lvl>
    <w:lvl w:ilvl="3" w:tplc="63541FCA">
      <w:numFmt w:val="decimal"/>
      <w:lvlText w:val=""/>
      <w:lvlJc w:val="left"/>
    </w:lvl>
    <w:lvl w:ilvl="4" w:tplc="CCF44BCE">
      <w:numFmt w:val="decimal"/>
      <w:lvlText w:val=""/>
      <w:lvlJc w:val="left"/>
    </w:lvl>
    <w:lvl w:ilvl="5" w:tplc="B074F922">
      <w:numFmt w:val="decimal"/>
      <w:lvlText w:val=""/>
      <w:lvlJc w:val="left"/>
    </w:lvl>
    <w:lvl w:ilvl="6" w:tplc="16D2F792">
      <w:numFmt w:val="decimal"/>
      <w:lvlText w:val=""/>
      <w:lvlJc w:val="left"/>
    </w:lvl>
    <w:lvl w:ilvl="7" w:tplc="5E36AA1A">
      <w:numFmt w:val="decimal"/>
      <w:lvlText w:val=""/>
      <w:lvlJc w:val="left"/>
    </w:lvl>
    <w:lvl w:ilvl="8" w:tplc="3558B90C">
      <w:numFmt w:val="decimal"/>
      <w:lvlText w:val=""/>
      <w:lvlJc w:val="left"/>
    </w:lvl>
  </w:abstractNum>
  <w:abstractNum w:abstractNumId="3" w15:restartNumberingAfterBreak="0">
    <w:nsid w:val="16544F29"/>
    <w:multiLevelType w:val="hybridMultilevel"/>
    <w:tmpl w:val="5E3C87F6"/>
    <w:lvl w:ilvl="0" w:tplc="5A7EF3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9C4B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1B63942">
      <w:numFmt w:val="decimal"/>
      <w:lvlText w:val=""/>
      <w:lvlJc w:val="left"/>
    </w:lvl>
    <w:lvl w:ilvl="3" w:tplc="EF7063A4">
      <w:numFmt w:val="decimal"/>
      <w:lvlText w:val=""/>
      <w:lvlJc w:val="left"/>
    </w:lvl>
    <w:lvl w:ilvl="4" w:tplc="048483BE">
      <w:numFmt w:val="decimal"/>
      <w:lvlText w:val=""/>
      <w:lvlJc w:val="left"/>
    </w:lvl>
    <w:lvl w:ilvl="5" w:tplc="77CE86EE">
      <w:numFmt w:val="decimal"/>
      <w:lvlText w:val=""/>
      <w:lvlJc w:val="left"/>
    </w:lvl>
    <w:lvl w:ilvl="6" w:tplc="D0A4ADB4">
      <w:numFmt w:val="decimal"/>
      <w:lvlText w:val=""/>
      <w:lvlJc w:val="left"/>
    </w:lvl>
    <w:lvl w:ilvl="7" w:tplc="5F20B18C">
      <w:numFmt w:val="decimal"/>
      <w:lvlText w:val=""/>
      <w:lvlJc w:val="left"/>
    </w:lvl>
    <w:lvl w:ilvl="8" w:tplc="FDE01FBA">
      <w:numFmt w:val="decimal"/>
      <w:lvlText w:val=""/>
      <w:lvlJc w:val="left"/>
    </w:lvl>
  </w:abstractNum>
  <w:abstractNum w:abstractNumId="4" w15:restartNumberingAfterBreak="0">
    <w:nsid w:val="1C7B40E0"/>
    <w:multiLevelType w:val="hybridMultilevel"/>
    <w:tmpl w:val="00787944"/>
    <w:lvl w:ilvl="0" w:tplc="9D704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5A0F04">
      <w:numFmt w:val="decimal"/>
      <w:lvlText w:val=""/>
      <w:lvlJc w:val="left"/>
    </w:lvl>
    <w:lvl w:ilvl="2" w:tplc="60B68112">
      <w:numFmt w:val="decimal"/>
      <w:lvlText w:val=""/>
      <w:lvlJc w:val="left"/>
    </w:lvl>
    <w:lvl w:ilvl="3" w:tplc="0DE6941A">
      <w:numFmt w:val="decimal"/>
      <w:lvlText w:val=""/>
      <w:lvlJc w:val="left"/>
    </w:lvl>
    <w:lvl w:ilvl="4" w:tplc="34B09D28">
      <w:numFmt w:val="decimal"/>
      <w:lvlText w:val=""/>
      <w:lvlJc w:val="left"/>
    </w:lvl>
    <w:lvl w:ilvl="5" w:tplc="84A8BA2E">
      <w:numFmt w:val="decimal"/>
      <w:lvlText w:val=""/>
      <w:lvlJc w:val="left"/>
    </w:lvl>
    <w:lvl w:ilvl="6" w:tplc="02109B10">
      <w:numFmt w:val="decimal"/>
      <w:lvlText w:val=""/>
      <w:lvlJc w:val="left"/>
    </w:lvl>
    <w:lvl w:ilvl="7" w:tplc="5DB661AC">
      <w:numFmt w:val="decimal"/>
      <w:lvlText w:val=""/>
      <w:lvlJc w:val="left"/>
    </w:lvl>
    <w:lvl w:ilvl="8" w:tplc="5F5CA422">
      <w:numFmt w:val="decimal"/>
      <w:lvlText w:val=""/>
      <w:lvlJc w:val="left"/>
    </w:lvl>
  </w:abstractNum>
  <w:abstractNum w:abstractNumId="5" w15:restartNumberingAfterBreak="0">
    <w:nsid w:val="337E27A6"/>
    <w:multiLevelType w:val="hybridMultilevel"/>
    <w:tmpl w:val="A8203FB0"/>
    <w:lvl w:ilvl="0" w:tplc="97EE2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149D8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1B0DA6C">
      <w:numFmt w:val="decimal"/>
      <w:lvlText w:val=""/>
      <w:lvlJc w:val="left"/>
    </w:lvl>
    <w:lvl w:ilvl="3" w:tplc="FB5A6D50">
      <w:numFmt w:val="decimal"/>
      <w:lvlText w:val=""/>
      <w:lvlJc w:val="left"/>
    </w:lvl>
    <w:lvl w:ilvl="4" w:tplc="2E8E8630">
      <w:numFmt w:val="decimal"/>
      <w:lvlText w:val=""/>
      <w:lvlJc w:val="left"/>
    </w:lvl>
    <w:lvl w:ilvl="5" w:tplc="416AEE64">
      <w:numFmt w:val="decimal"/>
      <w:lvlText w:val=""/>
      <w:lvlJc w:val="left"/>
    </w:lvl>
    <w:lvl w:ilvl="6" w:tplc="39DC3DBA">
      <w:numFmt w:val="decimal"/>
      <w:lvlText w:val=""/>
      <w:lvlJc w:val="left"/>
    </w:lvl>
    <w:lvl w:ilvl="7" w:tplc="721037DE">
      <w:numFmt w:val="decimal"/>
      <w:lvlText w:val=""/>
      <w:lvlJc w:val="left"/>
    </w:lvl>
    <w:lvl w:ilvl="8" w:tplc="9D66F7EA">
      <w:numFmt w:val="decimal"/>
      <w:lvlText w:val=""/>
      <w:lvlJc w:val="left"/>
    </w:lvl>
  </w:abstractNum>
  <w:abstractNum w:abstractNumId="6" w15:restartNumberingAfterBreak="0">
    <w:nsid w:val="3758775D"/>
    <w:multiLevelType w:val="hybridMultilevel"/>
    <w:tmpl w:val="E96C68C6"/>
    <w:lvl w:ilvl="0" w:tplc="DD660B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14A62A">
      <w:numFmt w:val="decimal"/>
      <w:lvlText w:val=""/>
      <w:lvlJc w:val="left"/>
    </w:lvl>
    <w:lvl w:ilvl="2" w:tplc="0704919C">
      <w:numFmt w:val="decimal"/>
      <w:lvlText w:val=""/>
      <w:lvlJc w:val="left"/>
    </w:lvl>
    <w:lvl w:ilvl="3" w:tplc="74626DD6">
      <w:numFmt w:val="decimal"/>
      <w:lvlText w:val=""/>
      <w:lvlJc w:val="left"/>
    </w:lvl>
    <w:lvl w:ilvl="4" w:tplc="3E3C0AD4">
      <w:numFmt w:val="decimal"/>
      <w:lvlText w:val=""/>
      <w:lvlJc w:val="left"/>
    </w:lvl>
    <w:lvl w:ilvl="5" w:tplc="E9620C18">
      <w:numFmt w:val="decimal"/>
      <w:lvlText w:val=""/>
      <w:lvlJc w:val="left"/>
    </w:lvl>
    <w:lvl w:ilvl="6" w:tplc="7A48A030">
      <w:numFmt w:val="decimal"/>
      <w:lvlText w:val=""/>
      <w:lvlJc w:val="left"/>
    </w:lvl>
    <w:lvl w:ilvl="7" w:tplc="D520AAC6">
      <w:numFmt w:val="decimal"/>
      <w:lvlText w:val=""/>
      <w:lvlJc w:val="left"/>
    </w:lvl>
    <w:lvl w:ilvl="8" w:tplc="FAEA71AE">
      <w:numFmt w:val="decimal"/>
      <w:lvlText w:val=""/>
      <w:lvlJc w:val="left"/>
    </w:lvl>
  </w:abstractNum>
  <w:abstractNum w:abstractNumId="7" w15:restartNumberingAfterBreak="0">
    <w:nsid w:val="3E807563"/>
    <w:multiLevelType w:val="hybridMultilevel"/>
    <w:tmpl w:val="767CD576"/>
    <w:lvl w:ilvl="0" w:tplc="915CFE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EA54DE">
      <w:numFmt w:val="decimal"/>
      <w:lvlText w:val=""/>
      <w:lvlJc w:val="left"/>
    </w:lvl>
    <w:lvl w:ilvl="2" w:tplc="21004490">
      <w:numFmt w:val="decimal"/>
      <w:lvlText w:val=""/>
      <w:lvlJc w:val="left"/>
    </w:lvl>
    <w:lvl w:ilvl="3" w:tplc="AB069BEC">
      <w:numFmt w:val="decimal"/>
      <w:lvlText w:val=""/>
      <w:lvlJc w:val="left"/>
    </w:lvl>
    <w:lvl w:ilvl="4" w:tplc="2664292C">
      <w:numFmt w:val="decimal"/>
      <w:lvlText w:val=""/>
      <w:lvlJc w:val="left"/>
    </w:lvl>
    <w:lvl w:ilvl="5" w:tplc="E42AB0E4">
      <w:numFmt w:val="decimal"/>
      <w:lvlText w:val=""/>
      <w:lvlJc w:val="left"/>
    </w:lvl>
    <w:lvl w:ilvl="6" w:tplc="AEFEDB30">
      <w:numFmt w:val="decimal"/>
      <w:lvlText w:val=""/>
      <w:lvlJc w:val="left"/>
    </w:lvl>
    <w:lvl w:ilvl="7" w:tplc="69543C86">
      <w:numFmt w:val="decimal"/>
      <w:lvlText w:val=""/>
      <w:lvlJc w:val="left"/>
    </w:lvl>
    <w:lvl w:ilvl="8" w:tplc="47062EF8">
      <w:numFmt w:val="decimal"/>
      <w:lvlText w:val=""/>
      <w:lvlJc w:val="left"/>
    </w:lvl>
  </w:abstractNum>
  <w:abstractNum w:abstractNumId="8" w15:restartNumberingAfterBreak="0">
    <w:nsid w:val="41CA21F7"/>
    <w:multiLevelType w:val="hybridMultilevel"/>
    <w:tmpl w:val="582CE28C"/>
    <w:lvl w:ilvl="0" w:tplc="AE28D0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B6AD90">
      <w:numFmt w:val="decimal"/>
      <w:lvlText w:val=""/>
      <w:lvlJc w:val="left"/>
    </w:lvl>
    <w:lvl w:ilvl="2" w:tplc="0D54B342">
      <w:numFmt w:val="decimal"/>
      <w:lvlText w:val=""/>
      <w:lvlJc w:val="left"/>
    </w:lvl>
    <w:lvl w:ilvl="3" w:tplc="78BA1744">
      <w:numFmt w:val="decimal"/>
      <w:lvlText w:val=""/>
      <w:lvlJc w:val="left"/>
    </w:lvl>
    <w:lvl w:ilvl="4" w:tplc="0876DDE4">
      <w:numFmt w:val="decimal"/>
      <w:lvlText w:val=""/>
      <w:lvlJc w:val="left"/>
    </w:lvl>
    <w:lvl w:ilvl="5" w:tplc="2CC4C438">
      <w:numFmt w:val="decimal"/>
      <w:lvlText w:val=""/>
      <w:lvlJc w:val="left"/>
    </w:lvl>
    <w:lvl w:ilvl="6" w:tplc="35EE32B4">
      <w:numFmt w:val="decimal"/>
      <w:lvlText w:val=""/>
      <w:lvlJc w:val="left"/>
    </w:lvl>
    <w:lvl w:ilvl="7" w:tplc="85161058">
      <w:numFmt w:val="decimal"/>
      <w:lvlText w:val=""/>
      <w:lvlJc w:val="left"/>
    </w:lvl>
    <w:lvl w:ilvl="8" w:tplc="73E81B06">
      <w:numFmt w:val="decimal"/>
      <w:lvlText w:val=""/>
      <w:lvlJc w:val="left"/>
    </w:lvl>
  </w:abstractNum>
  <w:abstractNum w:abstractNumId="9" w15:restartNumberingAfterBreak="0">
    <w:nsid w:val="46184091"/>
    <w:multiLevelType w:val="hybridMultilevel"/>
    <w:tmpl w:val="6B2CCE40"/>
    <w:lvl w:ilvl="0" w:tplc="05166B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00D07E">
      <w:numFmt w:val="decimal"/>
      <w:lvlText w:val=""/>
      <w:lvlJc w:val="left"/>
    </w:lvl>
    <w:lvl w:ilvl="2" w:tplc="01D23FBA">
      <w:numFmt w:val="decimal"/>
      <w:lvlText w:val=""/>
      <w:lvlJc w:val="left"/>
    </w:lvl>
    <w:lvl w:ilvl="3" w:tplc="49549CDA">
      <w:numFmt w:val="decimal"/>
      <w:lvlText w:val=""/>
      <w:lvlJc w:val="left"/>
    </w:lvl>
    <w:lvl w:ilvl="4" w:tplc="036A4744">
      <w:numFmt w:val="decimal"/>
      <w:lvlText w:val=""/>
      <w:lvlJc w:val="left"/>
    </w:lvl>
    <w:lvl w:ilvl="5" w:tplc="4A5C3792">
      <w:numFmt w:val="decimal"/>
      <w:lvlText w:val=""/>
      <w:lvlJc w:val="left"/>
    </w:lvl>
    <w:lvl w:ilvl="6" w:tplc="35B82C78">
      <w:numFmt w:val="decimal"/>
      <w:lvlText w:val=""/>
      <w:lvlJc w:val="left"/>
    </w:lvl>
    <w:lvl w:ilvl="7" w:tplc="7C9862AA">
      <w:numFmt w:val="decimal"/>
      <w:lvlText w:val=""/>
      <w:lvlJc w:val="left"/>
    </w:lvl>
    <w:lvl w:ilvl="8" w:tplc="8F006864">
      <w:numFmt w:val="decimal"/>
      <w:lvlText w:val=""/>
      <w:lvlJc w:val="left"/>
    </w:lvl>
  </w:abstractNum>
  <w:abstractNum w:abstractNumId="10" w15:restartNumberingAfterBreak="0">
    <w:nsid w:val="4C9A05CC"/>
    <w:multiLevelType w:val="hybridMultilevel"/>
    <w:tmpl w:val="290AE38E"/>
    <w:lvl w:ilvl="0" w:tplc="7B2004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FCD79C">
      <w:numFmt w:val="decimal"/>
      <w:lvlText w:val=""/>
      <w:lvlJc w:val="left"/>
    </w:lvl>
    <w:lvl w:ilvl="2" w:tplc="110EA602">
      <w:numFmt w:val="decimal"/>
      <w:lvlText w:val=""/>
      <w:lvlJc w:val="left"/>
    </w:lvl>
    <w:lvl w:ilvl="3" w:tplc="442E2FDC">
      <w:numFmt w:val="decimal"/>
      <w:lvlText w:val=""/>
      <w:lvlJc w:val="left"/>
    </w:lvl>
    <w:lvl w:ilvl="4" w:tplc="52F63558">
      <w:numFmt w:val="decimal"/>
      <w:lvlText w:val=""/>
      <w:lvlJc w:val="left"/>
    </w:lvl>
    <w:lvl w:ilvl="5" w:tplc="D712799A">
      <w:numFmt w:val="decimal"/>
      <w:lvlText w:val=""/>
      <w:lvlJc w:val="left"/>
    </w:lvl>
    <w:lvl w:ilvl="6" w:tplc="910E330A">
      <w:numFmt w:val="decimal"/>
      <w:lvlText w:val=""/>
      <w:lvlJc w:val="left"/>
    </w:lvl>
    <w:lvl w:ilvl="7" w:tplc="7E68CF0C">
      <w:numFmt w:val="decimal"/>
      <w:lvlText w:val=""/>
      <w:lvlJc w:val="left"/>
    </w:lvl>
    <w:lvl w:ilvl="8" w:tplc="AA16813A">
      <w:numFmt w:val="decimal"/>
      <w:lvlText w:val=""/>
      <w:lvlJc w:val="left"/>
    </w:lvl>
  </w:abstractNum>
  <w:abstractNum w:abstractNumId="11" w15:restartNumberingAfterBreak="0">
    <w:nsid w:val="55C10F4A"/>
    <w:multiLevelType w:val="hybridMultilevel"/>
    <w:tmpl w:val="8898BC36"/>
    <w:lvl w:ilvl="0" w:tplc="D48A36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62673C">
      <w:numFmt w:val="decimal"/>
      <w:lvlText w:val=""/>
      <w:lvlJc w:val="left"/>
    </w:lvl>
    <w:lvl w:ilvl="2" w:tplc="E8722212">
      <w:numFmt w:val="decimal"/>
      <w:lvlText w:val=""/>
      <w:lvlJc w:val="left"/>
    </w:lvl>
    <w:lvl w:ilvl="3" w:tplc="56AC5B44">
      <w:numFmt w:val="decimal"/>
      <w:lvlText w:val=""/>
      <w:lvlJc w:val="left"/>
    </w:lvl>
    <w:lvl w:ilvl="4" w:tplc="967695F6">
      <w:numFmt w:val="decimal"/>
      <w:lvlText w:val=""/>
      <w:lvlJc w:val="left"/>
    </w:lvl>
    <w:lvl w:ilvl="5" w:tplc="ABC885F0">
      <w:numFmt w:val="decimal"/>
      <w:lvlText w:val=""/>
      <w:lvlJc w:val="left"/>
    </w:lvl>
    <w:lvl w:ilvl="6" w:tplc="ED686012">
      <w:numFmt w:val="decimal"/>
      <w:lvlText w:val=""/>
      <w:lvlJc w:val="left"/>
    </w:lvl>
    <w:lvl w:ilvl="7" w:tplc="2952A3B4">
      <w:numFmt w:val="decimal"/>
      <w:lvlText w:val=""/>
      <w:lvlJc w:val="left"/>
    </w:lvl>
    <w:lvl w:ilvl="8" w:tplc="B3CC4202">
      <w:numFmt w:val="decimal"/>
      <w:lvlText w:val=""/>
      <w:lvlJc w:val="left"/>
    </w:lvl>
  </w:abstractNum>
  <w:abstractNum w:abstractNumId="12" w15:restartNumberingAfterBreak="0">
    <w:nsid w:val="63AD393D"/>
    <w:multiLevelType w:val="hybridMultilevel"/>
    <w:tmpl w:val="47E46D26"/>
    <w:lvl w:ilvl="0" w:tplc="B920B2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BC995A">
      <w:numFmt w:val="decimal"/>
      <w:lvlText w:val=""/>
      <w:lvlJc w:val="left"/>
    </w:lvl>
    <w:lvl w:ilvl="2" w:tplc="9CFA9A10">
      <w:numFmt w:val="decimal"/>
      <w:lvlText w:val=""/>
      <w:lvlJc w:val="left"/>
    </w:lvl>
    <w:lvl w:ilvl="3" w:tplc="E3DE6164">
      <w:numFmt w:val="decimal"/>
      <w:lvlText w:val=""/>
      <w:lvlJc w:val="left"/>
    </w:lvl>
    <w:lvl w:ilvl="4" w:tplc="B860DA5C">
      <w:numFmt w:val="decimal"/>
      <w:lvlText w:val=""/>
      <w:lvlJc w:val="left"/>
    </w:lvl>
    <w:lvl w:ilvl="5" w:tplc="AE1876B8">
      <w:numFmt w:val="decimal"/>
      <w:lvlText w:val=""/>
      <w:lvlJc w:val="left"/>
    </w:lvl>
    <w:lvl w:ilvl="6" w:tplc="E4BEDE2C">
      <w:numFmt w:val="decimal"/>
      <w:lvlText w:val=""/>
      <w:lvlJc w:val="left"/>
    </w:lvl>
    <w:lvl w:ilvl="7" w:tplc="FF727322">
      <w:numFmt w:val="decimal"/>
      <w:lvlText w:val=""/>
      <w:lvlJc w:val="left"/>
    </w:lvl>
    <w:lvl w:ilvl="8" w:tplc="54C6861C">
      <w:numFmt w:val="decimal"/>
      <w:lvlText w:val=""/>
      <w:lvlJc w:val="left"/>
    </w:lvl>
  </w:abstractNum>
  <w:abstractNum w:abstractNumId="13" w15:restartNumberingAfterBreak="0">
    <w:nsid w:val="643342E5"/>
    <w:multiLevelType w:val="multilevel"/>
    <w:tmpl w:val="12B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30531"/>
    <w:multiLevelType w:val="hybridMultilevel"/>
    <w:tmpl w:val="AA540D7E"/>
    <w:lvl w:ilvl="0" w:tplc="028C0D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BCF3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57EEDDA">
      <w:numFmt w:val="decimal"/>
      <w:lvlText w:val=""/>
      <w:lvlJc w:val="left"/>
    </w:lvl>
    <w:lvl w:ilvl="3" w:tplc="421EC51A">
      <w:numFmt w:val="decimal"/>
      <w:lvlText w:val=""/>
      <w:lvlJc w:val="left"/>
    </w:lvl>
    <w:lvl w:ilvl="4" w:tplc="2006DCD4">
      <w:numFmt w:val="decimal"/>
      <w:lvlText w:val=""/>
      <w:lvlJc w:val="left"/>
    </w:lvl>
    <w:lvl w:ilvl="5" w:tplc="72A6CB64">
      <w:numFmt w:val="decimal"/>
      <w:lvlText w:val=""/>
      <w:lvlJc w:val="left"/>
    </w:lvl>
    <w:lvl w:ilvl="6" w:tplc="5336C60A">
      <w:numFmt w:val="decimal"/>
      <w:lvlText w:val=""/>
      <w:lvlJc w:val="left"/>
    </w:lvl>
    <w:lvl w:ilvl="7" w:tplc="1E90D40C">
      <w:numFmt w:val="decimal"/>
      <w:lvlText w:val=""/>
      <w:lvlJc w:val="left"/>
    </w:lvl>
    <w:lvl w:ilvl="8" w:tplc="46BC28CC">
      <w:numFmt w:val="decimal"/>
      <w:lvlText w:val=""/>
      <w:lvlJc w:val="left"/>
    </w:lvl>
  </w:abstractNum>
  <w:abstractNum w:abstractNumId="15" w15:restartNumberingAfterBreak="0">
    <w:nsid w:val="746E63D7"/>
    <w:multiLevelType w:val="hybridMultilevel"/>
    <w:tmpl w:val="FDFA2662"/>
    <w:lvl w:ilvl="0" w:tplc="DC16CA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D0A3B0">
      <w:numFmt w:val="decimal"/>
      <w:lvlText w:val=""/>
      <w:lvlJc w:val="left"/>
    </w:lvl>
    <w:lvl w:ilvl="2" w:tplc="FE6E4CC0">
      <w:numFmt w:val="decimal"/>
      <w:lvlText w:val=""/>
      <w:lvlJc w:val="left"/>
    </w:lvl>
    <w:lvl w:ilvl="3" w:tplc="BB8C77D8">
      <w:numFmt w:val="decimal"/>
      <w:lvlText w:val=""/>
      <w:lvlJc w:val="left"/>
    </w:lvl>
    <w:lvl w:ilvl="4" w:tplc="0DF6E850">
      <w:numFmt w:val="decimal"/>
      <w:lvlText w:val=""/>
      <w:lvlJc w:val="left"/>
    </w:lvl>
    <w:lvl w:ilvl="5" w:tplc="D64843CC">
      <w:numFmt w:val="decimal"/>
      <w:lvlText w:val=""/>
      <w:lvlJc w:val="left"/>
    </w:lvl>
    <w:lvl w:ilvl="6" w:tplc="71BC9B08">
      <w:numFmt w:val="decimal"/>
      <w:lvlText w:val=""/>
      <w:lvlJc w:val="left"/>
    </w:lvl>
    <w:lvl w:ilvl="7" w:tplc="ED2655F2">
      <w:numFmt w:val="decimal"/>
      <w:lvlText w:val=""/>
      <w:lvlJc w:val="left"/>
    </w:lvl>
    <w:lvl w:ilvl="8" w:tplc="A62A4934">
      <w:numFmt w:val="decimal"/>
      <w:lvlText w:val=""/>
      <w:lvlJc w:val="left"/>
    </w:lvl>
  </w:abstractNum>
  <w:abstractNum w:abstractNumId="16" w15:restartNumberingAfterBreak="0">
    <w:nsid w:val="74A64A39"/>
    <w:multiLevelType w:val="hybridMultilevel"/>
    <w:tmpl w:val="5562076A"/>
    <w:lvl w:ilvl="0" w:tplc="D02EE9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36B878">
      <w:numFmt w:val="decimal"/>
      <w:lvlText w:val=""/>
      <w:lvlJc w:val="left"/>
    </w:lvl>
    <w:lvl w:ilvl="2" w:tplc="4104B9AE">
      <w:numFmt w:val="decimal"/>
      <w:lvlText w:val=""/>
      <w:lvlJc w:val="left"/>
    </w:lvl>
    <w:lvl w:ilvl="3" w:tplc="B650A3CE">
      <w:numFmt w:val="decimal"/>
      <w:lvlText w:val=""/>
      <w:lvlJc w:val="left"/>
    </w:lvl>
    <w:lvl w:ilvl="4" w:tplc="A78E99B6">
      <w:numFmt w:val="decimal"/>
      <w:lvlText w:val=""/>
      <w:lvlJc w:val="left"/>
    </w:lvl>
    <w:lvl w:ilvl="5" w:tplc="80501DC2">
      <w:numFmt w:val="decimal"/>
      <w:lvlText w:val=""/>
      <w:lvlJc w:val="left"/>
    </w:lvl>
    <w:lvl w:ilvl="6" w:tplc="F3104CBC">
      <w:numFmt w:val="decimal"/>
      <w:lvlText w:val=""/>
      <w:lvlJc w:val="left"/>
    </w:lvl>
    <w:lvl w:ilvl="7" w:tplc="5DA27512">
      <w:numFmt w:val="decimal"/>
      <w:lvlText w:val=""/>
      <w:lvlJc w:val="left"/>
    </w:lvl>
    <w:lvl w:ilvl="8" w:tplc="B036AAD8">
      <w:numFmt w:val="decimal"/>
      <w:lvlText w:val=""/>
      <w:lvlJc w:val="left"/>
    </w:lvl>
  </w:abstractNum>
  <w:abstractNum w:abstractNumId="17" w15:restartNumberingAfterBreak="0">
    <w:nsid w:val="78825D24"/>
    <w:multiLevelType w:val="hybridMultilevel"/>
    <w:tmpl w:val="D72C6954"/>
    <w:lvl w:ilvl="0" w:tplc="4F76B7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528DFE">
      <w:numFmt w:val="decimal"/>
      <w:lvlText w:val=""/>
      <w:lvlJc w:val="left"/>
    </w:lvl>
    <w:lvl w:ilvl="2" w:tplc="F2F664D2">
      <w:numFmt w:val="decimal"/>
      <w:lvlText w:val=""/>
      <w:lvlJc w:val="left"/>
    </w:lvl>
    <w:lvl w:ilvl="3" w:tplc="4A483CAC">
      <w:numFmt w:val="decimal"/>
      <w:lvlText w:val=""/>
      <w:lvlJc w:val="left"/>
    </w:lvl>
    <w:lvl w:ilvl="4" w:tplc="ECA4D114">
      <w:numFmt w:val="decimal"/>
      <w:lvlText w:val=""/>
      <w:lvlJc w:val="left"/>
    </w:lvl>
    <w:lvl w:ilvl="5" w:tplc="A4A6F54C">
      <w:numFmt w:val="decimal"/>
      <w:lvlText w:val=""/>
      <w:lvlJc w:val="left"/>
    </w:lvl>
    <w:lvl w:ilvl="6" w:tplc="F9142E9C">
      <w:numFmt w:val="decimal"/>
      <w:lvlText w:val=""/>
      <w:lvlJc w:val="left"/>
    </w:lvl>
    <w:lvl w:ilvl="7" w:tplc="A0740968">
      <w:numFmt w:val="decimal"/>
      <w:lvlText w:val=""/>
      <w:lvlJc w:val="left"/>
    </w:lvl>
    <w:lvl w:ilvl="8" w:tplc="2FA8BD7E">
      <w:numFmt w:val="decimal"/>
      <w:lvlText w:val=""/>
      <w:lvlJc w:val="left"/>
    </w:lvl>
  </w:abstractNum>
  <w:abstractNum w:abstractNumId="18" w15:restartNumberingAfterBreak="0">
    <w:nsid w:val="7BF65276"/>
    <w:multiLevelType w:val="hybridMultilevel"/>
    <w:tmpl w:val="7DF6C410"/>
    <w:lvl w:ilvl="0" w:tplc="269806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94A850">
      <w:numFmt w:val="decimal"/>
      <w:lvlText w:val=""/>
      <w:lvlJc w:val="left"/>
    </w:lvl>
    <w:lvl w:ilvl="2" w:tplc="A906DB96">
      <w:numFmt w:val="decimal"/>
      <w:lvlText w:val=""/>
      <w:lvlJc w:val="left"/>
    </w:lvl>
    <w:lvl w:ilvl="3" w:tplc="8D18350C">
      <w:numFmt w:val="decimal"/>
      <w:lvlText w:val=""/>
      <w:lvlJc w:val="left"/>
    </w:lvl>
    <w:lvl w:ilvl="4" w:tplc="846ED532">
      <w:numFmt w:val="decimal"/>
      <w:lvlText w:val=""/>
      <w:lvlJc w:val="left"/>
    </w:lvl>
    <w:lvl w:ilvl="5" w:tplc="65DAD50E">
      <w:numFmt w:val="decimal"/>
      <w:lvlText w:val=""/>
      <w:lvlJc w:val="left"/>
    </w:lvl>
    <w:lvl w:ilvl="6" w:tplc="04244FF2">
      <w:numFmt w:val="decimal"/>
      <w:lvlText w:val=""/>
      <w:lvlJc w:val="left"/>
    </w:lvl>
    <w:lvl w:ilvl="7" w:tplc="7898DB3E">
      <w:numFmt w:val="decimal"/>
      <w:lvlText w:val=""/>
      <w:lvlJc w:val="left"/>
    </w:lvl>
    <w:lvl w:ilvl="8" w:tplc="5A806E78">
      <w:numFmt w:val="decimal"/>
      <w:lvlText w:val=""/>
      <w:lvlJc w:val="left"/>
    </w:lvl>
  </w:abstractNum>
  <w:abstractNum w:abstractNumId="19" w15:restartNumberingAfterBreak="0">
    <w:nsid w:val="7CAE78A5"/>
    <w:multiLevelType w:val="hybridMultilevel"/>
    <w:tmpl w:val="6068FDDE"/>
    <w:lvl w:ilvl="0" w:tplc="B3CAF3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22F0CC">
      <w:numFmt w:val="decimal"/>
      <w:lvlText w:val=""/>
      <w:lvlJc w:val="left"/>
    </w:lvl>
    <w:lvl w:ilvl="2" w:tplc="6ED6734E">
      <w:numFmt w:val="decimal"/>
      <w:lvlText w:val=""/>
      <w:lvlJc w:val="left"/>
    </w:lvl>
    <w:lvl w:ilvl="3" w:tplc="057A6DD4">
      <w:numFmt w:val="decimal"/>
      <w:lvlText w:val=""/>
      <w:lvlJc w:val="left"/>
    </w:lvl>
    <w:lvl w:ilvl="4" w:tplc="E5A0E40E">
      <w:numFmt w:val="decimal"/>
      <w:lvlText w:val=""/>
      <w:lvlJc w:val="left"/>
    </w:lvl>
    <w:lvl w:ilvl="5" w:tplc="9C0C0E78">
      <w:numFmt w:val="decimal"/>
      <w:lvlText w:val=""/>
      <w:lvlJc w:val="left"/>
    </w:lvl>
    <w:lvl w:ilvl="6" w:tplc="5F28F732">
      <w:numFmt w:val="decimal"/>
      <w:lvlText w:val=""/>
      <w:lvlJc w:val="left"/>
    </w:lvl>
    <w:lvl w:ilvl="7" w:tplc="C706C2A0">
      <w:numFmt w:val="decimal"/>
      <w:lvlText w:val=""/>
      <w:lvlJc w:val="left"/>
    </w:lvl>
    <w:lvl w:ilvl="8" w:tplc="1012042C">
      <w:numFmt w:val="decimal"/>
      <w:lvlText w:val=""/>
      <w:lvlJc w:val="left"/>
    </w:lvl>
  </w:abstractNum>
  <w:num w:numId="1" w16cid:durableId="1269386372">
    <w:abstractNumId w:val="10"/>
  </w:num>
  <w:num w:numId="2" w16cid:durableId="193810689">
    <w:abstractNumId w:val="15"/>
  </w:num>
  <w:num w:numId="3" w16cid:durableId="1555040602">
    <w:abstractNumId w:val="17"/>
  </w:num>
  <w:num w:numId="4" w16cid:durableId="1264418408">
    <w:abstractNumId w:val="19"/>
  </w:num>
  <w:num w:numId="5" w16cid:durableId="954824813">
    <w:abstractNumId w:val="6"/>
  </w:num>
  <w:num w:numId="6" w16cid:durableId="1712652900">
    <w:abstractNumId w:val="5"/>
  </w:num>
  <w:num w:numId="7" w16cid:durableId="787512264">
    <w:abstractNumId w:val="14"/>
  </w:num>
  <w:num w:numId="8" w16cid:durableId="1942226066">
    <w:abstractNumId w:val="3"/>
  </w:num>
  <w:num w:numId="9" w16cid:durableId="1805587511">
    <w:abstractNumId w:val="4"/>
  </w:num>
  <w:num w:numId="10" w16cid:durableId="560403124">
    <w:abstractNumId w:val="0"/>
  </w:num>
  <w:num w:numId="11" w16cid:durableId="498738460">
    <w:abstractNumId w:val="16"/>
  </w:num>
  <w:num w:numId="12" w16cid:durableId="1507817028">
    <w:abstractNumId w:val="12"/>
  </w:num>
  <w:num w:numId="13" w16cid:durableId="1990091897">
    <w:abstractNumId w:val="2"/>
  </w:num>
  <w:num w:numId="14" w16cid:durableId="2109958995">
    <w:abstractNumId w:val="18"/>
  </w:num>
  <w:num w:numId="15" w16cid:durableId="2008288750">
    <w:abstractNumId w:val="8"/>
  </w:num>
  <w:num w:numId="16" w16cid:durableId="605774524">
    <w:abstractNumId w:val="9"/>
  </w:num>
  <w:num w:numId="17" w16cid:durableId="640499931">
    <w:abstractNumId w:val="11"/>
  </w:num>
  <w:num w:numId="18" w16cid:durableId="1252355385">
    <w:abstractNumId w:val="1"/>
  </w:num>
  <w:num w:numId="19" w16cid:durableId="441076422">
    <w:abstractNumId w:val="7"/>
  </w:num>
  <w:num w:numId="20" w16cid:durableId="21327472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8F"/>
    <w:rsid w:val="0002560F"/>
    <w:rsid w:val="00101CDC"/>
    <w:rsid w:val="00155B01"/>
    <w:rsid w:val="002A0EFB"/>
    <w:rsid w:val="002B0404"/>
    <w:rsid w:val="002C0256"/>
    <w:rsid w:val="002C1502"/>
    <w:rsid w:val="002C5FED"/>
    <w:rsid w:val="0031178D"/>
    <w:rsid w:val="00412EC2"/>
    <w:rsid w:val="00421BDC"/>
    <w:rsid w:val="00554280"/>
    <w:rsid w:val="006B580F"/>
    <w:rsid w:val="00706B77"/>
    <w:rsid w:val="007D15BD"/>
    <w:rsid w:val="00A44E4D"/>
    <w:rsid w:val="00A50995"/>
    <w:rsid w:val="00B01802"/>
    <w:rsid w:val="00D34362"/>
    <w:rsid w:val="00D8138F"/>
    <w:rsid w:val="00E45EF0"/>
    <w:rsid w:val="00E540B3"/>
    <w:rsid w:val="00FD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E38F"/>
  <w15:chartTrackingRefBased/>
  <w15:docId w15:val="{0F14D0DC-65ED-3D40-B7B5-D9E8B6FF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8F"/>
    <w:rPr>
      <w:b/>
      <w:bCs/>
      <w:smallCaps/>
      <w:color w:val="0F4761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2C150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2170</Words>
  <Characters>12370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 Marrie</dc:creator>
  <cp:keywords/>
  <dc:description/>
  <cp:lastModifiedBy>Zayda Marrie</cp:lastModifiedBy>
  <cp:revision>13</cp:revision>
  <dcterms:created xsi:type="dcterms:W3CDTF">2025-07-23T00:43:00Z</dcterms:created>
  <dcterms:modified xsi:type="dcterms:W3CDTF">2025-07-24T13:03:00Z</dcterms:modified>
</cp:coreProperties>
</file>