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25EE" w14:textId="0CCCC530" w:rsidR="004013FC" w:rsidRDefault="00187FC0" w:rsidP="00187FC0">
      <w:pPr>
        <w:jc w:val="center"/>
        <w:rPr>
          <w:b/>
          <w:bCs/>
          <w:sz w:val="32"/>
          <w:szCs w:val="32"/>
        </w:rPr>
      </w:pPr>
      <w:r w:rsidRPr="001570DF">
        <w:rPr>
          <w:b/>
          <w:bCs/>
          <w:sz w:val="32"/>
          <w:szCs w:val="32"/>
        </w:rPr>
        <w:t>Golconda Overview</w:t>
      </w:r>
      <w:r w:rsidR="007651E8" w:rsidRPr="001570DF">
        <w:rPr>
          <w:b/>
          <w:bCs/>
          <w:sz w:val="32"/>
          <w:szCs w:val="32"/>
        </w:rPr>
        <w:t xml:space="preserve"> (PPLI &amp; PPA Focused)</w:t>
      </w:r>
    </w:p>
    <w:p w14:paraId="2836A612" w14:textId="77777777" w:rsidR="0031451B" w:rsidRPr="0031451B" w:rsidRDefault="0031451B" w:rsidP="0031451B">
      <w:r w:rsidRPr="0031451B">
        <w:t>Golconda Partners, LLC is an independent insurance advisory firm founded in 2019, located in New York. They specialize in serving ultra-affluent individuals and families, offering expert guidance and full-service support for both:</w:t>
      </w:r>
    </w:p>
    <w:p w14:paraId="007055E9" w14:textId="0EBAA4E9" w:rsidR="0031451B" w:rsidRPr="0031451B" w:rsidRDefault="0031451B" w:rsidP="0031451B">
      <w:pPr>
        <w:pStyle w:val="ListParagraph"/>
        <w:numPr>
          <w:ilvl w:val="0"/>
          <w:numId w:val="6"/>
        </w:numPr>
      </w:pPr>
      <w:r w:rsidRPr="0031451B">
        <w:t>Traditional life insurance (for estate liquidity, structured coverage)</w:t>
      </w:r>
    </w:p>
    <w:p w14:paraId="1FB66C81" w14:textId="3D949D3F" w:rsidR="0031451B" w:rsidRPr="0031451B" w:rsidRDefault="0031451B" w:rsidP="0031451B">
      <w:pPr>
        <w:pStyle w:val="ListParagraph"/>
        <w:numPr>
          <w:ilvl w:val="0"/>
          <w:numId w:val="6"/>
        </w:numPr>
      </w:pPr>
      <w:r w:rsidRPr="0031451B">
        <w:t>PPLI &amp; Private Placement Annuities (PPA) as tax-efficient, investment-aligned planning tools.</w:t>
      </w:r>
    </w:p>
    <w:p w14:paraId="30541841" w14:textId="710DB365" w:rsidR="001570DF" w:rsidRDefault="001570DF" w:rsidP="001570DF">
      <w:pPr>
        <w:rPr>
          <w:b/>
          <w:bCs/>
          <w:sz w:val="28"/>
          <w:szCs w:val="28"/>
          <w:u w:val="single"/>
        </w:rPr>
      </w:pPr>
      <w:r>
        <w:rPr>
          <w:b/>
          <w:bCs/>
          <w:sz w:val="28"/>
          <w:szCs w:val="28"/>
          <w:u w:val="single"/>
        </w:rPr>
        <w:t>Focus</w:t>
      </w:r>
    </w:p>
    <w:p w14:paraId="362C06D3" w14:textId="77777777" w:rsidR="001570DF" w:rsidRPr="006F1181" w:rsidRDefault="001570DF" w:rsidP="001570DF">
      <w:pPr>
        <w:pStyle w:val="ListParagraph"/>
        <w:numPr>
          <w:ilvl w:val="0"/>
          <w:numId w:val="5"/>
        </w:numPr>
      </w:pPr>
      <w:r w:rsidRPr="006F1181">
        <w:t>The utilization of Private Placement Life Insurance (PPLI) and Private Placement Annuity (PPA) Investment Accounts to optimize after-tax returns, charitable legacy bequests, retirement and lifestyle income, and intergenerational wealth transfer</w:t>
      </w:r>
    </w:p>
    <w:p w14:paraId="13E4E44A" w14:textId="77777777" w:rsidR="006F1181" w:rsidRPr="006F1181" w:rsidRDefault="006F1181" w:rsidP="006F1181">
      <w:pPr>
        <w:pStyle w:val="ListParagraph"/>
      </w:pPr>
    </w:p>
    <w:p w14:paraId="610405A5" w14:textId="69CC02B4" w:rsidR="001570DF" w:rsidRPr="006F1181" w:rsidRDefault="006F1181" w:rsidP="007651E8">
      <w:pPr>
        <w:pStyle w:val="ListParagraph"/>
        <w:numPr>
          <w:ilvl w:val="0"/>
          <w:numId w:val="5"/>
        </w:numPr>
      </w:pPr>
      <w:r w:rsidRPr="006F1181">
        <w:t xml:space="preserve">They </w:t>
      </w:r>
      <w:r w:rsidRPr="006F1181">
        <w:t>developed an unparalleled client service and reporting platform for PPLI and PPA Investment Account portfolios, which we can offer either in conjunction with the implementation of new PPLI and PPA Investment Accounts, or as a stand-alone service.</w:t>
      </w:r>
    </w:p>
    <w:p w14:paraId="21E30DA9" w14:textId="67D49278" w:rsidR="007651E8" w:rsidRPr="001570DF" w:rsidRDefault="007651E8" w:rsidP="007651E8">
      <w:pPr>
        <w:rPr>
          <w:b/>
          <w:bCs/>
          <w:sz w:val="28"/>
          <w:szCs w:val="28"/>
          <w:u w:val="single"/>
        </w:rPr>
      </w:pPr>
      <w:r w:rsidRPr="001570DF">
        <w:rPr>
          <w:b/>
          <w:bCs/>
          <w:sz w:val="28"/>
          <w:szCs w:val="28"/>
          <w:u w:val="single"/>
        </w:rPr>
        <w:t>Methodology</w:t>
      </w:r>
    </w:p>
    <w:p w14:paraId="23B270E7" w14:textId="7E8BEBA5" w:rsidR="007651E8" w:rsidRPr="001570DF" w:rsidRDefault="007651E8" w:rsidP="007651E8">
      <w:pPr>
        <w:pStyle w:val="ListParagraph"/>
        <w:numPr>
          <w:ilvl w:val="0"/>
          <w:numId w:val="4"/>
        </w:numPr>
        <w:rPr>
          <w:b/>
          <w:bCs/>
        </w:rPr>
      </w:pPr>
      <w:r w:rsidRPr="001570DF">
        <w:rPr>
          <w:b/>
          <w:bCs/>
        </w:rPr>
        <w:t>Analysis</w:t>
      </w:r>
    </w:p>
    <w:p w14:paraId="5A09FC38" w14:textId="3BF79240" w:rsidR="007651E8" w:rsidRDefault="007651E8" w:rsidP="007651E8">
      <w:pPr>
        <w:pStyle w:val="ListParagraph"/>
        <w:numPr>
          <w:ilvl w:val="1"/>
          <w:numId w:val="4"/>
        </w:numPr>
      </w:pPr>
      <w:r>
        <w:t>Perform comprehensive technical/economic evaluation to support informed decision making by clients and their advisors</w:t>
      </w:r>
    </w:p>
    <w:p w14:paraId="6ED121A0" w14:textId="3C5D8253" w:rsidR="007651E8" w:rsidRDefault="007651E8" w:rsidP="007651E8">
      <w:pPr>
        <w:pStyle w:val="ListParagraph"/>
        <w:numPr>
          <w:ilvl w:val="2"/>
          <w:numId w:val="4"/>
        </w:numPr>
      </w:pPr>
      <w:r>
        <w:t xml:space="preserve">Analysis covers sharing information about </w:t>
      </w:r>
      <w:r w:rsidRPr="007651E8">
        <w:t>structural features, tax outcomes, mortality hedging, fee modeling, return sensitivity, volatility impact, jurisdictional structures (onshore vs offshore), and available investment vehicles (IDFs and SMAs)</w:t>
      </w:r>
    </w:p>
    <w:p w14:paraId="146F209B" w14:textId="77777777" w:rsidR="000458E4" w:rsidRPr="001570DF" w:rsidRDefault="007651E8" w:rsidP="007651E8">
      <w:pPr>
        <w:pStyle w:val="ListParagraph"/>
        <w:numPr>
          <w:ilvl w:val="0"/>
          <w:numId w:val="4"/>
        </w:numPr>
        <w:rPr>
          <w:b/>
          <w:bCs/>
        </w:rPr>
      </w:pPr>
      <w:r>
        <w:t xml:space="preserve"> </w:t>
      </w:r>
      <w:r w:rsidRPr="001570DF">
        <w:rPr>
          <w:b/>
          <w:bCs/>
        </w:rPr>
        <w:t>Underwriting</w:t>
      </w:r>
    </w:p>
    <w:p w14:paraId="0EB4D281" w14:textId="5E58CCA2" w:rsidR="000458E4" w:rsidRDefault="000458E4" w:rsidP="000458E4">
      <w:pPr>
        <w:pStyle w:val="ListParagraph"/>
        <w:numPr>
          <w:ilvl w:val="1"/>
          <w:numId w:val="4"/>
        </w:numPr>
      </w:pPr>
      <w:r>
        <w:t>Work with clients and their advisors to gather information needed to conduct a life insurance pricing auction</w:t>
      </w:r>
    </w:p>
    <w:p w14:paraId="63E654D7" w14:textId="6FEB4431" w:rsidR="000458E4" w:rsidRDefault="000458E4" w:rsidP="000458E4">
      <w:pPr>
        <w:pStyle w:val="ListParagraph"/>
        <w:numPr>
          <w:ilvl w:val="2"/>
          <w:numId w:val="4"/>
        </w:numPr>
      </w:pPr>
      <w:r>
        <w:t>Evaluate clients risk classification</w:t>
      </w:r>
      <w:r w:rsidR="001570DF">
        <w:t xml:space="preserve"> (and corresponding pricing)</w:t>
      </w:r>
      <w:r>
        <w:t xml:space="preserve"> based on health and financial data which is subject to interpretation and negotiation</w:t>
      </w:r>
    </w:p>
    <w:p w14:paraId="63662DB0" w14:textId="429B50F9" w:rsidR="000458E4" w:rsidRDefault="000458E4" w:rsidP="000458E4">
      <w:pPr>
        <w:pStyle w:val="ListParagraph"/>
        <w:numPr>
          <w:ilvl w:val="2"/>
          <w:numId w:val="4"/>
        </w:numPr>
      </w:pPr>
      <w:r>
        <w:t xml:space="preserve">With </w:t>
      </w:r>
      <w:r w:rsidR="001570DF">
        <w:t>Golconda</w:t>
      </w:r>
      <w:r>
        <w:t xml:space="preserve"> being independent, conflicts of interest are avoided, and they </w:t>
      </w:r>
      <w:r w:rsidR="001570DF">
        <w:t>can negotiate</w:t>
      </w:r>
      <w:r>
        <w:t xml:space="preserve"> the best risk classification</w:t>
      </w:r>
      <w:r w:rsidR="001570DF">
        <w:t xml:space="preserve"> (&amp; pricing)</w:t>
      </w:r>
      <w:r>
        <w:t xml:space="preserve"> with each insurance company</w:t>
      </w:r>
    </w:p>
    <w:p w14:paraId="45F21F67" w14:textId="1407F0F1" w:rsidR="000458E4" w:rsidRPr="001570DF" w:rsidRDefault="001570DF" w:rsidP="007651E8">
      <w:pPr>
        <w:pStyle w:val="ListParagraph"/>
        <w:numPr>
          <w:ilvl w:val="0"/>
          <w:numId w:val="4"/>
        </w:numPr>
        <w:rPr>
          <w:b/>
          <w:bCs/>
        </w:rPr>
      </w:pPr>
      <w:r w:rsidRPr="001570DF">
        <w:rPr>
          <w:b/>
          <w:bCs/>
        </w:rPr>
        <w:t>Implementation</w:t>
      </w:r>
    </w:p>
    <w:p w14:paraId="6312A601" w14:textId="5B7E34E6" w:rsidR="001570DF" w:rsidRDefault="001570DF" w:rsidP="001570DF">
      <w:pPr>
        <w:pStyle w:val="ListParagraph"/>
        <w:numPr>
          <w:ilvl w:val="1"/>
          <w:numId w:val="4"/>
        </w:numPr>
      </w:pPr>
      <w:r w:rsidRPr="007651E8">
        <w:lastRenderedPageBreak/>
        <w:t>Golconda prepares documentation, confirms policy accuracy, manages final execution, sets up long-term service plans, and logs all portfolio data in their internal system. Rigorous oversight ensures delivery accuracy and client readiness</w:t>
      </w:r>
    </w:p>
    <w:p w14:paraId="024BEEEF" w14:textId="03C868D4" w:rsidR="001570DF" w:rsidRPr="001570DF" w:rsidRDefault="001570DF" w:rsidP="001570DF">
      <w:pPr>
        <w:pStyle w:val="ListParagraph"/>
        <w:numPr>
          <w:ilvl w:val="0"/>
          <w:numId w:val="4"/>
        </w:numPr>
        <w:rPr>
          <w:b/>
          <w:bCs/>
        </w:rPr>
      </w:pPr>
      <w:r w:rsidRPr="001570DF">
        <w:rPr>
          <w:b/>
          <w:bCs/>
        </w:rPr>
        <w:t>Client Service</w:t>
      </w:r>
    </w:p>
    <w:p w14:paraId="1BA8B762" w14:textId="604CD322" w:rsidR="001570DF" w:rsidRDefault="001570DF" w:rsidP="001570DF">
      <w:pPr>
        <w:pStyle w:val="ListParagraph"/>
        <w:numPr>
          <w:ilvl w:val="1"/>
          <w:numId w:val="4"/>
        </w:numPr>
      </w:pPr>
      <w:r w:rsidRPr="001570DF">
        <w:t>The revenue associated with the implementation and service of a PPLI and/or PPA Investment Account includes a structuring fee, but it should also include enough asset-based revenue to enable the brokerage firm to perform the necessary reporting, deposit billing, facilitation of investment allocations and reallocations, verifications of fee and charges, and other necessary account management services  –  and to remain active in the market so up-to-date information can be shared with the client and their professional advisors about available investment vehicles (Insurance-Dedicated Funds and Separately Managed Accounts), newly emerging product offerings, and any relevant tax law clarifications or changes.</w:t>
      </w:r>
    </w:p>
    <w:p w14:paraId="2F8A8345" w14:textId="7123D60E" w:rsidR="00187FC0" w:rsidRDefault="00187FC0" w:rsidP="007651E8"/>
    <w:sectPr w:rsidR="00187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1DB"/>
    <w:multiLevelType w:val="hybridMultilevel"/>
    <w:tmpl w:val="DDD6E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E2F15"/>
    <w:multiLevelType w:val="multilevel"/>
    <w:tmpl w:val="DC3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04711"/>
    <w:multiLevelType w:val="hybridMultilevel"/>
    <w:tmpl w:val="BB3A1E68"/>
    <w:lvl w:ilvl="0" w:tplc="C42AF4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F32658"/>
    <w:multiLevelType w:val="hybridMultilevel"/>
    <w:tmpl w:val="8382855C"/>
    <w:lvl w:ilvl="0" w:tplc="E836E04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467E8B"/>
    <w:multiLevelType w:val="multilevel"/>
    <w:tmpl w:val="EAF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9495F"/>
    <w:multiLevelType w:val="multilevel"/>
    <w:tmpl w:val="048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13805">
    <w:abstractNumId w:val="1"/>
  </w:num>
  <w:num w:numId="2" w16cid:durableId="314337783">
    <w:abstractNumId w:val="5"/>
  </w:num>
  <w:num w:numId="3" w16cid:durableId="802961202">
    <w:abstractNumId w:val="4"/>
  </w:num>
  <w:num w:numId="4" w16cid:durableId="285544711">
    <w:abstractNumId w:val="0"/>
  </w:num>
  <w:num w:numId="5" w16cid:durableId="590817815">
    <w:abstractNumId w:val="3"/>
  </w:num>
  <w:num w:numId="6" w16cid:durableId="1050231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C0"/>
    <w:rsid w:val="000458E4"/>
    <w:rsid w:val="001570DF"/>
    <w:rsid w:val="0018374F"/>
    <w:rsid w:val="00187FC0"/>
    <w:rsid w:val="00206AF6"/>
    <w:rsid w:val="0031451B"/>
    <w:rsid w:val="004013FC"/>
    <w:rsid w:val="006F1181"/>
    <w:rsid w:val="00715963"/>
    <w:rsid w:val="007651E8"/>
    <w:rsid w:val="00E50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18FB"/>
  <w15:chartTrackingRefBased/>
  <w15:docId w15:val="{A7E61E77-00C3-4E4B-9E9E-BC4F79F0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FC0"/>
    <w:rPr>
      <w:rFonts w:eastAsiaTheme="majorEastAsia" w:cstheme="majorBidi"/>
      <w:color w:val="272727" w:themeColor="text1" w:themeTint="D8"/>
    </w:rPr>
  </w:style>
  <w:style w:type="paragraph" w:styleId="Title">
    <w:name w:val="Title"/>
    <w:basedOn w:val="Normal"/>
    <w:next w:val="Normal"/>
    <w:link w:val="TitleChar"/>
    <w:uiPriority w:val="10"/>
    <w:qFormat/>
    <w:rsid w:val="00187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FC0"/>
    <w:pPr>
      <w:spacing w:before="160"/>
      <w:jc w:val="center"/>
    </w:pPr>
    <w:rPr>
      <w:i/>
      <w:iCs/>
      <w:color w:val="404040" w:themeColor="text1" w:themeTint="BF"/>
    </w:rPr>
  </w:style>
  <w:style w:type="character" w:customStyle="1" w:styleId="QuoteChar">
    <w:name w:val="Quote Char"/>
    <w:basedOn w:val="DefaultParagraphFont"/>
    <w:link w:val="Quote"/>
    <w:uiPriority w:val="29"/>
    <w:rsid w:val="00187FC0"/>
    <w:rPr>
      <w:i/>
      <w:iCs/>
      <w:color w:val="404040" w:themeColor="text1" w:themeTint="BF"/>
    </w:rPr>
  </w:style>
  <w:style w:type="paragraph" w:styleId="ListParagraph">
    <w:name w:val="List Paragraph"/>
    <w:basedOn w:val="Normal"/>
    <w:uiPriority w:val="34"/>
    <w:qFormat/>
    <w:rsid w:val="00187FC0"/>
    <w:pPr>
      <w:ind w:left="720"/>
      <w:contextualSpacing/>
    </w:pPr>
  </w:style>
  <w:style w:type="character" w:styleId="IntenseEmphasis">
    <w:name w:val="Intense Emphasis"/>
    <w:basedOn w:val="DefaultParagraphFont"/>
    <w:uiPriority w:val="21"/>
    <w:qFormat/>
    <w:rsid w:val="00187FC0"/>
    <w:rPr>
      <w:i/>
      <w:iCs/>
      <w:color w:val="0F4761" w:themeColor="accent1" w:themeShade="BF"/>
    </w:rPr>
  </w:style>
  <w:style w:type="paragraph" w:styleId="IntenseQuote">
    <w:name w:val="Intense Quote"/>
    <w:basedOn w:val="Normal"/>
    <w:next w:val="Normal"/>
    <w:link w:val="IntenseQuoteChar"/>
    <w:uiPriority w:val="30"/>
    <w:qFormat/>
    <w:rsid w:val="00187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FC0"/>
    <w:rPr>
      <w:i/>
      <w:iCs/>
      <w:color w:val="0F4761" w:themeColor="accent1" w:themeShade="BF"/>
    </w:rPr>
  </w:style>
  <w:style w:type="character" w:styleId="IntenseReference">
    <w:name w:val="Intense Reference"/>
    <w:basedOn w:val="DefaultParagraphFont"/>
    <w:uiPriority w:val="32"/>
    <w:qFormat/>
    <w:rsid w:val="00187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Rickman</dc:creator>
  <cp:keywords/>
  <dc:description/>
  <cp:lastModifiedBy>Corey Rickman</cp:lastModifiedBy>
  <cp:revision>3</cp:revision>
  <dcterms:created xsi:type="dcterms:W3CDTF">2025-07-29T21:34:00Z</dcterms:created>
  <dcterms:modified xsi:type="dcterms:W3CDTF">2025-07-29T21:36:00Z</dcterms:modified>
</cp:coreProperties>
</file>