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5833" w14:textId="275D3628" w:rsidR="00595F11" w:rsidRDefault="00595F11">
      <w:pPr>
        <w:spacing w:after="0" w:line="360" w:lineRule="auto"/>
      </w:pPr>
    </w:p>
    <w:p w14:paraId="03ECD968" w14:textId="6A94B15D" w:rsidR="00B40B8E" w:rsidRDefault="00000000" w:rsidP="00B40B8E">
      <w:pPr>
        <w:spacing w:after="210" w:line="360" w:lineRule="auto"/>
      </w:pPr>
      <w:r>
        <w:rPr>
          <w:rFonts w:ascii="inter" w:eastAsia="inter" w:hAnsi="inter" w:cs="inter"/>
          <w:b/>
          <w:color w:val="000000"/>
          <w:sz w:val="24"/>
        </w:rPr>
        <w:t xml:space="preserve">Questions </w:t>
      </w:r>
      <w:r w:rsidR="007870E1">
        <w:rPr>
          <w:rFonts w:ascii="inter" w:eastAsia="inter" w:hAnsi="inter" w:cs="inter"/>
          <w:b/>
          <w:color w:val="000000"/>
          <w:sz w:val="24"/>
        </w:rPr>
        <w:t>for John Gatesman</w:t>
      </w:r>
      <w:r w:rsidR="00B40B8E">
        <w:rPr>
          <w:rFonts w:ascii="inter" w:eastAsia="inter" w:hAnsi="inter" w:cs="inter"/>
          <w:b/>
          <w:color w:val="000000"/>
          <w:sz w:val="24"/>
        </w:rPr>
        <w:br/>
      </w:r>
      <w:r w:rsidR="00B40B8E">
        <w:rPr>
          <w:rFonts w:ascii="inter" w:eastAsia="inter" w:hAnsi="inter" w:cs="inter"/>
          <w:b/>
          <w:color w:val="000000"/>
          <w:sz w:val="24"/>
        </w:rPr>
        <w:br/>
      </w:r>
      <w:r w:rsidR="00B40B8E">
        <w:rPr>
          <w:rFonts w:ascii="inter" w:eastAsia="inter" w:hAnsi="inter" w:cs="inter"/>
          <w:color w:val="000000"/>
        </w:rPr>
        <w:t>The below questions attempt to gain a comprehensive understanding of how the experts that specialize in designing and implementing tax efficient vehicles for UHNW clients operate; how they ensure compliance; how they provide ongoing service and risk management throughout the lifecycle of these sophisticated insurance solutions.</w:t>
      </w:r>
      <w:r w:rsidR="00B40B8E">
        <w:rPr>
          <w:rFonts w:ascii="inter" w:eastAsia="inter" w:hAnsi="inter" w:cs="inter"/>
          <w:color w:val="000000"/>
        </w:rPr>
        <w:br/>
        <w:t>Also, we aim to get an understanding of how the division of labor breaks out between the RIA vs. insurance expert, and how the insurance expert needs to support RIAs.</w:t>
      </w:r>
    </w:p>
    <w:p w14:paraId="4EDE8E1E" w14:textId="305D2633" w:rsidR="00595F11" w:rsidRDefault="00595F11">
      <w:pPr>
        <w:spacing w:before="315" w:after="105" w:line="360" w:lineRule="auto"/>
        <w:ind w:left="-30"/>
      </w:pPr>
    </w:p>
    <w:p w14:paraId="4AFEFCD3" w14:textId="709A9992" w:rsidR="00595F11" w:rsidRDefault="00000000">
      <w:pPr>
        <w:spacing w:before="315" w:after="105" w:line="360" w:lineRule="auto"/>
        <w:ind w:left="-30"/>
      </w:pPr>
      <w:r>
        <w:rPr>
          <w:rFonts w:ascii="inter" w:eastAsia="inter" w:hAnsi="inter" w:cs="inter"/>
          <w:b/>
          <w:color w:val="000000"/>
          <w:sz w:val="24"/>
        </w:rPr>
        <w:t xml:space="preserve">Understanding </w:t>
      </w:r>
      <w:r w:rsidR="00B40B8E">
        <w:rPr>
          <w:rFonts w:ascii="inter" w:eastAsia="inter" w:hAnsi="inter" w:cs="inter"/>
          <w:b/>
          <w:color w:val="000000"/>
          <w:sz w:val="24"/>
        </w:rPr>
        <w:t>Your</w:t>
      </w:r>
      <w:r>
        <w:rPr>
          <w:rFonts w:ascii="inter" w:eastAsia="inter" w:hAnsi="inter" w:cs="inter"/>
          <w:b/>
          <w:color w:val="000000"/>
          <w:sz w:val="24"/>
        </w:rPr>
        <w:t xml:space="preserve"> Role and Services</w:t>
      </w:r>
    </w:p>
    <w:p w14:paraId="33360205" w14:textId="024E03D2" w:rsidR="00595F11" w:rsidRDefault="00000000">
      <w:pPr>
        <w:numPr>
          <w:ilvl w:val="0"/>
          <w:numId w:val="1"/>
        </w:numPr>
        <w:spacing w:before="105" w:after="105" w:line="360" w:lineRule="auto"/>
      </w:pPr>
      <w:r>
        <w:rPr>
          <w:rFonts w:ascii="inter" w:eastAsia="inter" w:hAnsi="inter" w:cs="inter"/>
          <w:color w:val="000000"/>
        </w:rPr>
        <w:t>What core services do you provide to RIAs and ultra-high-net-worth (UHNW) individuals regarding private placement life insurance (PPLI) and private placement annuity (PPA) programs</w:t>
      </w:r>
      <w:r w:rsidR="00F426F0">
        <w:rPr>
          <w:rFonts w:ascii="inter" w:eastAsia="inter" w:hAnsi="inter" w:cs="inter"/>
          <w:color w:val="000000"/>
        </w:rPr>
        <w:t xml:space="preserve"> besides implementation of the life insurance programs?</w:t>
      </w:r>
    </w:p>
    <w:p w14:paraId="39F84BB7" w14:textId="05D32682" w:rsidR="00595F11" w:rsidRDefault="007870E1">
      <w:pPr>
        <w:numPr>
          <w:ilvl w:val="0"/>
          <w:numId w:val="1"/>
        </w:numPr>
        <w:spacing w:before="105" w:after="105" w:line="360" w:lineRule="auto"/>
      </w:pPr>
      <w:r>
        <w:rPr>
          <w:rFonts w:ascii="inter" w:eastAsia="inter" w:hAnsi="inter" w:cs="inter"/>
          <w:color w:val="000000"/>
        </w:rPr>
        <w:t xml:space="preserve">Who handles suitability, you or RIA?   Is that listed in an agreement between you and the RIA firm?   Is the process different when working with a Family Office?  </w:t>
      </w:r>
    </w:p>
    <w:p w14:paraId="057D736A" w14:textId="4844A71D" w:rsidR="00595F11" w:rsidRPr="00FB0192" w:rsidRDefault="00000000">
      <w:pPr>
        <w:numPr>
          <w:ilvl w:val="0"/>
          <w:numId w:val="1"/>
        </w:numPr>
        <w:spacing w:before="105" w:after="105" w:line="360" w:lineRule="auto"/>
      </w:pPr>
      <w:r>
        <w:rPr>
          <w:rFonts w:ascii="inter" w:eastAsia="inter" w:hAnsi="inter" w:cs="inter"/>
          <w:color w:val="000000"/>
        </w:rPr>
        <w:t>Can you describe your step-by-step process from initial suitability assessment through policy delivery and ongoing monitoring?</w:t>
      </w:r>
      <w:r w:rsidR="007870E1">
        <w:rPr>
          <w:rFonts w:ascii="inter" w:eastAsia="inter" w:hAnsi="inter" w:cs="inter"/>
          <w:color w:val="000000"/>
        </w:rPr>
        <w:t xml:space="preserve">  Do you have a flowchart that shows the process and key steps</w:t>
      </w:r>
      <w:r w:rsidR="00F426F0">
        <w:rPr>
          <w:rFonts w:ascii="inter" w:eastAsia="inter" w:hAnsi="inter" w:cs="inter"/>
          <w:color w:val="000000"/>
        </w:rPr>
        <w:t xml:space="preserve"> (maybe something you’ve prepared to help managed HNW’s expectations)?</w:t>
      </w:r>
    </w:p>
    <w:p w14:paraId="294A2164" w14:textId="77777777" w:rsidR="00FB0192" w:rsidRDefault="00FB0192" w:rsidP="00FB0192">
      <w:pPr>
        <w:pStyle w:val="ListParagraph"/>
        <w:numPr>
          <w:ilvl w:val="0"/>
          <w:numId w:val="1"/>
        </w:numPr>
        <w:spacing w:before="105" w:after="105" w:line="360" w:lineRule="auto"/>
        <w:rPr>
          <w:color w:val="0000FF"/>
        </w:rPr>
      </w:pPr>
      <w:r w:rsidRPr="00FB0192">
        <w:rPr>
          <w:color w:val="0000FF"/>
        </w:rPr>
        <w:t>What are the features of your client service and reporting platform for PPLI and PPA investment account portfolios?</w:t>
      </w:r>
    </w:p>
    <w:p w14:paraId="464E9838" w14:textId="7211037C" w:rsidR="00FB0192" w:rsidRDefault="00FB0192" w:rsidP="00FB0192">
      <w:pPr>
        <w:pStyle w:val="ListParagraph"/>
        <w:numPr>
          <w:ilvl w:val="0"/>
          <w:numId w:val="8"/>
        </w:numPr>
        <w:spacing w:before="105" w:after="105" w:line="360" w:lineRule="auto"/>
        <w:rPr>
          <w:color w:val="0000FF"/>
        </w:rPr>
      </w:pPr>
      <w:r w:rsidRPr="00FB0192">
        <w:rPr>
          <w:color w:val="0000FF"/>
        </w:rPr>
        <w:t>How can this platform be used in conjunction with the implementation of a new account and/or as a standalone service?</w:t>
      </w:r>
    </w:p>
    <w:p w14:paraId="40D5185C" w14:textId="6942663C" w:rsidR="00701BE1" w:rsidRDefault="00701BE1" w:rsidP="00FB0192">
      <w:pPr>
        <w:pStyle w:val="ListParagraph"/>
        <w:numPr>
          <w:ilvl w:val="0"/>
          <w:numId w:val="8"/>
        </w:numPr>
        <w:spacing w:before="105" w:after="105" w:line="360" w:lineRule="auto"/>
        <w:rPr>
          <w:color w:val="0000FF"/>
        </w:rPr>
      </w:pPr>
      <w:r>
        <w:rPr>
          <w:color w:val="0000FF"/>
        </w:rPr>
        <w:t>Is</w:t>
      </w:r>
      <w:r w:rsidR="00470981">
        <w:rPr>
          <w:color w:val="0000FF"/>
        </w:rPr>
        <w:t xml:space="preserve"> it equipped with API capabilities, document storage &amp; tracking, communication/signing tools, etc.?</w:t>
      </w:r>
    </w:p>
    <w:p w14:paraId="1B73CC27" w14:textId="09DC81EE" w:rsidR="00CA4E96" w:rsidRPr="00FB0192" w:rsidRDefault="00CA4E96" w:rsidP="00FB0192">
      <w:pPr>
        <w:pStyle w:val="ListParagraph"/>
        <w:numPr>
          <w:ilvl w:val="0"/>
          <w:numId w:val="8"/>
        </w:numPr>
        <w:spacing w:before="105" w:after="105" w:line="360" w:lineRule="auto"/>
        <w:rPr>
          <w:color w:val="0000FF"/>
        </w:rPr>
      </w:pPr>
      <w:r>
        <w:rPr>
          <w:color w:val="0000FF"/>
        </w:rPr>
        <w:t>What does the platform licensing look like? Monthly/annual fees, based on policy value, other</w:t>
      </w:r>
    </w:p>
    <w:p w14:paraId="38C16B5F" w14:textId="77777777" w:rsidR="00595F11" w:rsidRDefault="00000000">
      <w:pPr>
        <w:spacing w:before="315" w:after="105" w:line="360" w:lineRule="auto"/>
        <w:ind w:left="-30"/>
      </w:pPr>
      <w:r>
        <w:rPr>
          <w:rFonts w:ascii="inter" w:eastAsia="inter" w:hAnsi="inter" w:cs="inter"/>
          <w:b/>
          <w:color w:val="000000"/>
          <w:sz w:val="24"/>
        </w:rPr>
        <w:t>Structuring the Programs</w:t>
      </w:r>
    </w:p>
    <w:p w14:paraId="6F40E863" w14:textId="7022A351" w:rsidR="00595F11" w:rsidRDefault="00000000">
      <w:pPr>
        <w:numPr>
          <w:ilvl w:val="0"/>
          <w:numId w:val="2"/>
        </w:numPr>
        <w:spacing w:before="105" w:after="105" w:line="360" w:lineRule="auto"/>
      </w:pPr>
      <w:r>
        <w:rPr>
          <w:rFonts w:ascii="inter" w:eastAsia="inter" w:hAnsi="inter" w:cs="inter"/>
          <w:color w:val="000000"/>
        </w:rPr>
        <w:t>What investment structures do you typically use for managed separate accounts inside PPLI/PPA vehicles?</w:t>
      </w:r>
      <w:r w:rsidR="007870E1">
        <w:rPr>
          <w:rFonts w:ascii="inter" w:eastAsia="inter" w:hAnsi="inter" w:cs="inter"/>
          <w:color w:val="000000"/>
        </w:rPr>
        <w:t xml:space="preserve">  Do you handle this on behalf of the RIA, or how does this work?</w:t>
      </w:r>
    </w:p>
    <w:p w14:paraId="282005BE" w14:textId="6C2664D6" w:rsidR="00595F11" w:rsidRDefault="00697811">
      <w:pPr>
        <w:numPr>
          <w:ilvl w:val="0"/>
          <w:numId w:val="2"/>
        </w:numPr>
        <w:spacing w:before="105" w:after="105" w:line="360" w:lineRule="auto"/>
      </w:pPr>
      <w:r>
        <w:rPr>
          <w:rFonts w:ascii="inter" w:eastAsia="inter" w:hAnsi="inter" w:cs="inter"/>
          <w:color w:val="000000"/>
        </w:rPr>
        <w:lastRenderedPageBreak/>
        <w:t>Key to structuring these plans is optimizing both the investment returns and insurance protection?</w:t>
      </w:r>
      <w:r w:rsidR="007870E1">
        <w:rPr>
          <w:rFonts w:ascii="inter" w:eastAsia="inter" w:hAnsi="inter" w:cs="inter"/>
          <w:color w:val="000000"/>
        </w:rPr>
        <w:t xml:space="preserve"> How involved in the RIA </w:t>
      </w:r>
      <w:r>
        <w:rPr>
          <w:rFonts w:ascii="inter" w:eastAsia="inter" w:hAnsi="inter" w:cs="inter"/>
          <w:color w:val="000000"/>
        </w:rPr>
        <w:t>in</w:t>
      </w:r>
      <w:r w:rsidR="007870E1">
        <w:rPr>
          <w:rFonts w:ascii="inter" w:eastAsia="inter" w:hAnsi="inter" w:cs="inter"/>
          <w:color w:val="000000"/>
        </w:rPr>
        <w:t xml:space="preserve"> this</w:t>
      </w:r>
      <w:r>
        <w:rPr>
          <w:rFonts w:ascii="inter" w:eastAsia="inter" w:hAnsi="inter" w:cs="inter"/>
          <w:color w:val="000000"/>
        </w:rPr>
        <w:t xml:space="preserve"> process</w:t>
      </w:r>
      <w:r w:rsidR="007870E1">
        <w:rPr>
          <w:rFonts w:ascii="inter" w:eastAsia="inter" w:hAnsi="inter" w:cs="inter"/>
          <w:color w:val="000000"/>
        </w:rPr>
        <w:t xml:space="preserve">?  What reports do you give to </w:t>
      </w:r>
      <w:r>
        <w:rPr>
          <w:rFonts w:ascii="inter" w:eastAsia="inter" w:hAnsi="inter" w:cs="inter"/>
          <w:color w:val="000000"/>
        </w:rPr>
        <w:t>the RIA?</w:t>
      </w:r>
    </w:p>
    <w:p w14:paraId="6F891387" w14:textId="15E9E6EA" w:rsidR="00595F11" w:rsidRDefault="00000000">
      <w:pPr>
        <w:numPr>
          <w:ilvl w:val="0"/>
          <w:numId w:val="2"/>
        </w:numPr>
        <w:spacing w:before="105" w:after="105" w:line="360" w:lineRule="auto"/>
      </w:pPr>
      <w:r>
        <w:rPr>
          <w:rFonts w:ascii="inter" w:eastAsia="inter" w:hAnsi="inter" w:cs="inter"/>
          <w:color w:val="000000"/>
        </w:rPr>
        <w:t>How do you factor in estate and tax implications when designing these solutions for UHNW clients?</w:t>
      </w:r>
      <w:r w:rsidR="007870E1">
        <w:rPr>
          <w:rFonts w:ascii="inter" w:eastAsia="inter" w:hAnsi="inter" w:cs="inter"/>
          <w:color w:val="000000"/>
        </w:rPr>
        <w:t xml:space="preserve"> Do you get this information when you onboard the client for the insurance </w:t>
      </w:r>
      <w:r w:rsidR="00697811">
        <w:rPr>
          <w:rFonts w:ascii="inter" w:eastAsia="inter" w:hAnsi="inter" w:cs="inter"/>
          <w:color w:val="000000"/>
        </w:rPr>
        <w:t>part?  Which pieces are done by the RIA vs. your firm?</w:t>
      </w:r>
    </w:p>
    <w:p w14:paraId="2CC78348" w14:textId="77777777" w:rsidR="00FB0192" w:rsidRPr="00FB0192" w:rsidRDefault="00697811">
      <w:pPr>
        <w:numPr>
          <w:ilvl w:val="0"/>
          <w:numId w:val="2"/>
        </w:numPr>
        <w:spacing w:before="105" w:after="105" w:line="360" w:lineRule="auto"/>
      </w:pPr>
      <w:r>
        <w:rPr>
          <w:rFonts w:ascii="inter" w:eastAsia="inter" w:hAnsi="inter" w:cs="inter"/>
          <w:color w:val="000000"/>
        </w:rPr>
        <w:t xml:space="preserve">How involved are you in helping the HNWIs select their investment options within the Separate accounts? How much of this is driven by the RIA?  What does the RIA ask for to support their efforts if they drive this?  How does this process change if the RIA is structuring their own MSA? </w:t>
      </w:r>
    </w:p>
    <w:p w14:paraId="78BF0326" w14:textId="4741830E" w:rsidR="00595F11" w:rsidRDefault="00FB0192">
      <w:pPr>
        <w:numPr>
          <w:ilvl w:val="0"/>
          <w:numId w:val="2"/>
        </w:numPr>
        <w:spacing w:before="105" w:after="105" w:line="360" w:lineRule="auto"/>
      </w:pPr>
      <w:r>
        <w:rPr>
          <w:rFonts w:ascii="inter" w:eastAsia="inter" w:hAnsi="inter" w:cs="inter"/>
          <w:color w:val="0000FF"/>
        </w:rPr>
        <w:t xml:space="preserve">What does your </w:t>
      </w:r>
      <w:r w:rsidR="00B47C9A">
        <w:rPr>
          <w:rFonts w:ascii="inter" w:eastAsia="inter" w:hAnsi="inter" w:cs="inter"/>
          <w:color w:val="0000FF"/>
        </w:rPr>
        <w:t xml:space="preserve">economic </w:t>
      </w:r>
      <w:r>
        <w:rPr>
          <w:rFonts w:ascii="inter" w:eastAsia="inter" w:hAnsi="inter" w:cs="inter"/>
          <w:color w:val="0000FF"/>
        </w:rPr>
        <w:t>analysis of a potential program structure look like? Is there a standardized process/model that is used?</w:t>
      </w:r>
      <w:r w:rsidR="00697811">
        <w:rPr>
          <w:rFonts w:ascii="inter" w:eastAsia="inter" w:hAnsi="inter" w:cs="inter"/>
          <w:color w:val="000000"/>
        </w:rPr>
        <w:br/>
      </w:r>
    </w:p>
    <w:p w14:paraId="52E8B23A" w14:textId="77777777" w:rsidR="00595F11" w:rsidRDefault="00000000">
      <w:pPr>
        <w:spacing w:before="315" w:after="105" w:line="360" w:lineRule="auto"/>
        <w:ind w:left="-30"/>
      </w:pPr>
      <w:r>
        <w:rPr>
          <w:rFonts w:ascii="inter" w:eastAsia="inter" w:hAnsi="inter" w:cs="inter"/>
          <w:b/>
          <w:color w:val="000000"/>
          <w:sz w:val="24"/>
        </w:rPr>
        <w:t>Investor Control &amp; Compliance</w:t>
      </w:r>
    </w:p>
    <w:p w14:paraId="440A4ACA" w14:textId="2209F7DF" w:rsidR="00595F11" w:rsidRDefault="00000000">
      <w:pPr>
        <w:numPr>
          <w:ilvl w:val="0"/>
          <w:numId w:val="3"/>
        </w:numPr>
        <w:spacing w:before="105" w:after="105" w:line="360" w:lineRule="auto"/>
      </w:pPr>
      <w:r>
        <w:rPr>
          <w:rFonts w:ascii="inter" w:eastAsia="inter" w:hAnsi="inter" w:cs="inter"/>
          <w:color w:val="000000"/>
        </w:rPr>
        <w:t>How do you ensure that investor control guidelines (as outlined by the IRS) are carefully adhered to in these structures?</w:t>
      </w:r>
      <w:r w:rsidR="00697811">
        <w:rPr>
          <w:rFonts w:ascii="inter" w:eastAsia="inter" w:hAnsi="inter" w:cs="inter"/>
          <w:color w:val="000000"/>
        </w:rPr>
        <w:t xml:space="preserve"> Or is this something the RIA does?  What is that process, frequency, etc.?</w:t>
      </w:r>
    </w:p>
    <w:p w14:paraId="59E3FA8D" w14:textId="77777777" w:rsidR="00595F11" w:rsidRDefault="00000000">
      <w:pPr>
        <w:numPr>
          <w:ilvl w:val="0"/>
          <w:numId w:val="3"/>
        </w:numPr>
        <w:spacing w:before="105" w:after="105" w:line="360" w:lineRule="auto"/>
      </w:pPr>
      <w:r>
        <w:rPr>
          <w:rFonts w:ascii="inter" w:eastAsia="inter" w:hAnsi="inter" w:cs="inter"/>
          <w:color w:val="000000"/>
        </w:rPr>
        <w:t>What internal policies or procedures do you have to regularly review and document compliance related to investor control and diversification requirements of the insurance contracts?</w:t>
      </w:r>
    </w:p>
    <w:p w14:paraId="1A0FE4E4" w14:textId="63F7CD8F" w:rsidR="00595F11" w:rsidRDefault="00000000">
      <w:pPr>
        <w:numPr>
          <w:ilvl w:val="0"/>
          <w:numId w:val="3"/>
        </w:numPr>
        <w:spacing w:before="105" w:after="105" w:line="360" w:lineRule="auto"/>
      </w:pPr>
      <w:r>
        <w:rPr>
          <w:rFonts w:ascii="inter" w:eastAsia="inter" w:hAnsi="inter" w:cs="inter"/>
          <w:color w:val="000000"/>
        </w:rPr>
        <w:t>Can you describe your ongoing compliance monitoring process for these vehicles?</w:t>
      </w:r>
      <w:r w:rsidR="00697811">
        <w:rPr>
          <w:rFonts w:ascii="inter" w:eastAsia="inter" w:hAnsi="inter" w:cs="inter"/>
          <w:color w:val="000000"/>
        </w:rPr>
        <w:t xml:space="preserve"> And what pieces if any are done by the RIA?</w:t>
      </w:r>
    </w:p>
    <w:p w14:paraId="6ECCC75B" w14:textId="56ADCF55" w:rsidR="00595F11" w:rsidRDefault="00697811">
      <w:pPr>
        <w:numPr>
          <w:ilvl w:val="0"/>
          <w:numId w:val="3"/>
        </w:numPr>
        <w:spacing w:before="105" w:after="105" w:line="360" w:lineRule="auto"/>
      </w:pPr>
      <w:r>
        <w:rPr>
          <w:rFonts w:ascii="inter" w:eastAsia="inter" w:hAnsi="inter" w:cs="inter"/>
          <w:color w:val="000000"/>
        </w:rPr>
        <w:t>Are you currently providing and informing RIAs of evolving tax laws and regulations that may impact these insurance structures or clients’ compliance requirements?</w:t>
      </w:r>
    </w:p>
    <w:p w14:paraId="4108E7AB" w14:textId="77777777" w:rsidR="00595F11" w:rsidRDefault="00000000">
      <w:pPr>
        <w:spacing w:before="315" w:after="105" w:line="360" w:lineRule="auto"/>
        <w:ind w:left="-30"/>
      </w:pPr>
      <w:r>
        <w:rPr>
          <w:rFonts w:ascii="inter" w:eastAsia="inter" w:hAnsi="inter" w:cs="inter"/>
          <w:b/>
          <w:color w:val="000000"/>
          <w:sz w:val="24"/>
        </w:rPr>
        <w:t>Ongoing Monitoring &amp; Client Support</w:t>
      </w:r>
    </w:p>
    <w:p w14:paraId="0DAC5D78" w14:textId="77777777" w:rsidR="00595F11" w:rsidRDefault="00000000">
      <w:pPr>
        <w:numPr>
          <w:ilvl w:val="0"/>
          <w:numId w:val="4"/>
        </w:numPr>
        <w:spacing w:before="105" w:after="105" w:line="360" w:lineRule="auto"/>
      </w:pPr>
      <w:r>
        <w:rPr>
          <w:rFonts w:ascii="inter" w:eastAsia="inter" w:hAnsi="inter" w:cs="inter"/>
          <w:color w:val="000000"/>
        </w:rPr>
        <w:t>What reporting and performance evaluation tools do you provide to clients and their advisors?</w:t>
      </w:r>
    </w:p>
    <w:p w14:paraId="288A8FF9" w14:textId="44E41FFE" w:rsidR="00595F11" w:rsidRDefault="00000000">
      <w:pPr>
        <w:numPr>
          <w:ilvl w:val="0"/>
          <w:numId w:val="4"/>
        </w:numPr>
        <w:spacing w:before="105" w:after="105" w:line="360" w:lineRule="auto"/>
      </w:pPr>
      <w:r>
        <w:rPr>
          <w:rFonts w:ascii="inter" w:eastAsia="inter" w:hAnsi="inter" w:cs="inter"/>
          <w:color w:val="000000"/>
        </w:rPr>
        <w:t>How frequently do you meet with clients to review investment performance, estate needs, and compliance status?</w:t>
      </w:r>
      <w:r w:rsidR="00697811">
        <w:rPr>
          <w:rFonts w:ascii="inter" w:eastAsia="inter" w:hAnsi="inter" w:cs="inter"/>
          <w:color w:val="000000"/>
        </w:rPr>
        <w:t xml:space="preserve">  If RIA drives this, what information do they share with you? </w:t>
      </w:r>
    </w:p>
    <w:p w14:paraId="66C212F4" w14:textId="7AA4B68E" w:rsidR="00595F11" w:rsidRDefault="00000000">
      <w:pPr>
        <w:numPr>
          <w:ilvl w:val="0"/>
          <w:numId w:val="4"/>
        </w:numPr>
        <w:spacing w:before="105" w:after="105" w:line="360" w:lineRule="auto"/>
      </w:pPr>
      <w:r>
        <w:rPr>
          <w:rFonts w:ascii="inter" w:eastAsia="inter" w:hAnsi="inter" w:cs="inter"/>
          <w:color w:val="000000"/>
        </w:rPr>
        <w:t xml:space="preserve">What triggers </w:t>
      </w:r>
      <w:r w:rsidR="00697811">
        <w:rPr>
          <w:rFonts w:ascii="inter" w:eastAsia="inter" w:hAnsi="inter" w:cs="inter"/>
          <w:color w:val="000000"/>
        </w:rPr>
        <w:t xml:space="preserve">your involvement in </w:t>
      </w:r>
      <w:r>
        <w:rPr>
          <w:rFonts w:ascii="inter" w:eastAsia="inter" w:hAnsi="inter" w:cs="inter"/>
          <w:color w:val="000000"/>
        </w:rPr>
        <w:t>a re-evaluation or rebalancing of the investment portfolio or insurance structure?</w:t>
      </w:r>
      <w:r w:rsidR="00697811">
        <w:rPr>
          <w:rFonts w:ascii="inter" w:eastAsia="inter" w:hAnsi="inter" w:cs="inter"/>
          <w:color w:val="000000"/>
        </w:rPr>
        <w:t xml:space="preserve"> Do you drive this or the RIA?</w:t>
      </w:r>
    </w:p>
    <w:p w14:paraId="3E5E1021" w14:textId="77777777" w:rsidR="00595F11" w:rsidRDefault="00000000">
      <w:pPr>
        <w:spacing w:before="315" w:after="105" w:line="360" w:lineRule="auto"/>
        <w:ind w:left="-30"/>
      </w:pPr>
      <w:r>
        <w:rPr>
          <w:rFonts w:ascii="inter" w:eastAsia="inter" w:hAnsi="inter" w:cs="inter"/>
          <w:b/>
          <w:color w:val="000000"/>
          <w:sz w:val="24"/>
        </w:rPr>
        <w:t>Application, Underwriting, and Post-Issue Process</w:t>
      </w:r>
    </w:p>
    <w:p w14:paraId="670EA2C3" w14:textId="66EFCE9C" w:rsidR="00697811" w:rsidRPr="00697811" w:rsidRDefault="00697811">
      <w:pPr>
        <w:numPr>
          <w:ilvl w:val="0"/>
          <w:numId w:val="5"/>
        </w:numPr>
        <w:spacing w:before="105" w:after="105" w:line="360" w:lineRule="auto"/>
      </w:pPr>
      <w:r>
        <w:rPr>
          <w:rFonts w:ascii="inter" w:eastAsia="inter" w:hAnsi="inter" w:cs="inter"/>
          <w:color w:val="000000"/>
        </w:rPr>
        <w:t>What is your client onboarding process?  How much information do you receive about these clients from the RIA?</w:t>
      </w:r>
    </w:p>
    <w:p w14:paraId="399D94A3" w14:textId="3EE15F37" w:rsidR="00595F11" w:rsidRDefault="00000000">
      <w:pPr>
        <w:numPr>
          <w:ilvl w:val="0"/>
          <w:numId w:val="5"/>
        </w:numPr>
        <w:spacing w:before="105" w:after="105" w:line="360" w:lineRule="auto"/>
      </w:pPr>
      <w:r>
        <w:rPr>
          <w:rFonts w:ascii="inter" w:eastAsia="inter" w:hAnsi="inter" w:cs="inter"/>
          <w:color w:val="000000"/>
        </w:rPr>
        <w:lastRenderedPageBreak/>
        <w:t>Can you walk me through your application and underwriting process for PPLI and private placement annuities with top carriers?</w:t>
      </w:r>
    </w:p>
    <w:p w14:paraId="6D5BF21A" w14:textId="67E459F6" w:rsidR="00595F11" w:rsidRDefault="00697811">
      <w:pPr>
        <w:numPr>
          <w:ilvl w:val="0"/>
          <w:numId w:val="5"/>
        </w:numPr>
        <w:spacing w:before="105" w:after="105" w:line="360" w:lineRule="auto"/>
      </w:pPr>
      <w:r>
        <w:rPr>
          <w:rFonts w:ascii="inter" w:eastAsia="inter" w:hAnsi="inter" w:cs="inter"/>
          <w:color w:val="000000"/>
        </w:rPr>
        <w:t>Rules may have changed, so asking “What are the main qualifying criteria insurers look for when evaluating UHNW individuals for these programs?”</w:t>
      </w:r>
    </w:p>
    <w:p w14:paraId="7B63B4D2" w14:textId="20E7CE05" w:rsidR="00595F11" w:rsidRDefault="00697811">
      <w:pPr>
        <w:numPr>
          <w:ilvl w:val="0"/>
          <w:numId w:val="5"/>
        </w:numPr>
        <w:spacing w:before="105" w:after="105" w:line="360" w:lineRule="auto"/>
      </w:pPr>
      <w:r>
        <w:rPr>
          <w:rFonts w:ascii="inter" w:eastAsia="inter" w:hAnsi="inter" w:cs="inter"/>
          <w:color w:val="000000"/>
        </w:rPr>
        <w:t>Do you have access to concierge Underwriting teams on the carrier side to help get updates on the UW progress?  How do you negotiate underwriting terms and navigate any issues that arise during the process?</w:t>
      </w:r>
    </w:p>
    <w:p w14:paraId="3B1CD35A" w14:textId="362DAC7A" w:rsidR="00595F11" w:rsidRPr="00B40B8E" w:rsidRDefault="00000000">
      <w:pPr>
        <w:numPr>
          <w:ilvl w:val="0"/>
          <w:numId w:val="5"/>
        </w:numPr>
        <w:spacing w:before="105" w:after="105" w:line="360" w:lineRule="auto"/>
      </w:pPr>
      <w:r>
        <w:rPr>
          <w:rFonts w:ascii="inter" w:eastAsia="inter" w:hAnsi="inter" w:cs="inter"/>
          <w:color w:val="000000"/>
        </w:rPr>
        <w:t>What documentation and disclosures are needed from clients during the initial application and underwriting?</w:t>
      </w:r>
    </w:p>
    <w:p w14:paraId="2ABF1723" w14:textId="6647D2A6" w:rsidR="00B40B8E" w:rsidRDefault="00B40B8E">
      <w:pPr>
        <w:numPr>
          <w:ilvl w:val="0"/>
          <w:numId w:val="5"/>
        </w:numPr>
        <w:spacing w:before="105" w:after="105" w:line="360" w:lineRule="auto"/>
      </w:pPr>
      <w:r>
        <w:rPr>
          <w:rFonts w:ascii="inter" w:eastAsia="inter" w:hAnsi="inter" w:cs="inter"/>
          <w:color w:val="000000"/>
        </w:rPr>
        <w:t>What causes the most friction? If you had to revamp and improve this process with a digital process, how would you change this?  What would you improve to make it easier, faster, more efficient?</w:t>
      </w:r>
    </w:p>
    <w:p w14:paraId="5BE4EF4C" w14:textId="77777777" w:rsidR="00595F11" w:rsidRDefault="00000000">
      <w:pPr>
        <w:spacing w:before="315" w:after="105" w:line="360" w:lineRule="auto"/>
        <w:ind w:left="-30"/>
      </w:pPr>
      <w:r>
        <w:rPr>
          <w:rFonts w:ascii="inter" w:eastAsia="inter" w:hAnsi="inter" w:cs="inter"/>
          <w:b/>
          <w:color w:val="000000"/>
          <w:sz w:val="24"/>
        </w:rPr>
        <w:t>Compliance and Documentation</w:t>
      </w:r>
    </w:p>
    <w:p w14:paraId="78BD1B03" w14:textId="506C6B50" w:rsidR="00595F11" w:rsidRDefault="00000000">
      <w:pPr>
        <w:numPr>
          <w:ilvl w:val="0"/>
          <w:numId w:val="6"/>
        </w:numPr>
        <w:spacing w:before="105" w:after="105" w:line="360" w:lineRule="auto"/>
      </w:pPr>
      <w:r>
        <w:rPr>
          <w:rFonts w:ascii="inter" w:eastAsia="inter" w:hAnsi="inter" w:cs="inter"/>
          <w:color w:val="000000"/>
        </w:rPr>
        <w:t>What documentation is provided to demonstrate ongoing compliance for the client’s tax and regulatory needs?</w:t>
      </w:r>
      <w:r w:rsidR="00B40B8E">
        <w:rPr>
          <w:rFonts w:ascii="inter" w:eastAsia="inter" w:hAnsi="inter" w:cs="inter"/>
          <w:color w:val="000000"/>
        </w:rPr>
        <w:t xml:space="preserve">  Is this sent to the RIA?</w:t>
      </w:r>
    </w:p>
    <w:p w14:paraId="09C22B38" w14:textId="3990EDF5" w:rsidR="00595F11" w:rsidRDefault="00000000">
      <w:pPr>
        <w:numPr>
          <w:ilvl w:val="0"/>
          <w:numId w:val="6"/>
        </w:numPr>
        <w:spacing w:before="105" w:after="105" w:line="360" w:lineRule="auto"/>
      </w:pPr>
      <w:r>
        <w:rPr>
          <w:rFonts w:ascii="inter" w:eastAsia="inter" w:hAnsi="inter" w:cs="inter"/>
          <w:color w:val="000000"/>
        </w:rPr>
        <w:t>How do you coordinate with the client’s legal, tax, and financial professionals?</w:t>
      </w:r>
      <w:r w:rsidR="00B40B8E">
        <w:rPr>
          <w:rFonts w:ascii="inter" w:eastAsia="inter" w:hAnsi="inter" w:cs="inter"/>
          <w:color w:val="000000"/>
        </w:rPr>
        <w:t xml:space="preserve">  Is there a platform/portal where this is done and centralized?  Do you think it would be helpful to have a centralized process?</w:t>
      </w:r>
    </w:p>
    <w:p w14:paraId="7900B0D2" w14:textId="5CD5CF31" w:rsidR="00595F11" w:rsidRPr="00B40B8E" w:rsidRDefault="00000000">
      <w:pPr>
        <w:numPr>
          <w:ilvl w:val="0"/>
          <w:numId w:val="6"/>
        </w:numPr>
        <w:spacing w:before="105" w:after="105" w:line="360" w:lineRule="auto"/>
      </w:pPr>
      <w:r>
        <w:rPr>
          <w:rFonts w:ascii="inter" w:eastAsia="inter" w:hAnsi="inter" w:cs="inter"/>
          <w:color w:val="000000"/>
        </w:rPr>
        <w:t>How do you document and communicate any changes in estate or tax law that might affect the existing plan?</w:t>
      </w:r>
    </w:p>
    <w:p w14:paraId="1FB8B626" w14:textId="21939C32" w:rsidR="00B40B8E" w:rsidRPr="00B40B8E" w:rsidRDefault="00B40B8E">
      <w:pPr>
        <w:numPr>
          <w:ilvl w:val="0"/>
          <w:numId w:val="6"/>
        </w:numPr>
        <w:spacing w:before="105" w:after="105" w:line="360" w:lineRule="auto"/>
      </w:pPr>
      <w:r>
        <w:rPr>
          <w:rFonts w:ascii="inter" w:eastAsia="inter" w:hAnsi="inter" w:cs="inter"/>
          <w:color w:val="000000"/>
        </w:rPr>
        <w:t xml:space="preserve">What type of updates are you providing to your RIAs?  </w:t>
      </w:r>
    </w:p>
    <w:p w14:paraId="2FD7BFF4" w14:textId="58A6F407" w:rsidR="00B40B8E" w:rsidRPr="00701BE1" w:rsidRDefault="00B40B8E">
      <w:pPr>
        <w:numPr>
          <w:ilvl w:val="0"/>
          <w:numId w:val="6"/>
        </w:numPr>
        <w:spacing w:before="105" w:after="105" w:line="360" w:lineRule="auto"/>
      </w:pPr>
      <w:r>
        <w:rPr>
          <w:rFonts w:ascii="inter" w:eastAsia="inter" w:hAnsi="inter" w:cs="inter"/>
          <w:color w:val="000000"/>
        </w:rPr>
        <w:t>Is this process different for family offices?</w:t>
      </w:r>
    </w:p>
    <w:p w14:paraId="759C0CCA" w14:textId="4762B87E" w:rsidR="00701BE1" w:rsidRDefault="0023408E">
      <w:pPr>
        <w:numPr>
          <w:ilvl w:val="0"/>
          <w:numId w:val="6"/>
        </w:numPr>
        <w:spacing w:before="105" w:after="105" w:line="360" w:lineRule="auto"/>
      </w:pPr>
      <w:r>
        <w:rPr>
          <w:rFonts w:ascii="inter" w:eastAsia="inter" w:hAnsi="inter" w:cs="inter"/>
          <w:color w:val="0000FF"/>
        </w:rPr>
        <w:t>Does your firm handle situations where a client may need a 1035 exchange, ILIT created, etc. or do you work with a network of specialists that you are able to recommend? Or, do these action items fall to the RIA, Family office, etc.</w:t>
      </w:r>
    </w:p>
    <w:p w14:paraId="2A8C724F" w14:textId="77777777" w:rsidR="00595F11" w:rsidRDefault="00000000">
      <w:pPr>
        <w:spacing w:before="315" w:after="105" w:line="360" w:lineRule="auto"/>
        <w:ind w:left="-30"/>
      </w:pPr>
      <w:r>
        <w:rPr>
          <w:rFonts w:ascii="inter" w:eastAsia="inter" w:hAnsi="inter" w:cs="inter"/>
          <w:b/>
          <w:color w:val="000000"/>
          <w:sz w:val="24"/>
        </w:rPr>
        <w:t>General &amp; Other Important Aspects</w:t>
      </w:r>
    </w:p>
    <w:p w14:paraId="690A0A80" w14:textId="77777777" w:rsidR="00595F11" w:rsidRDefault="00000000">
      <w:pPr>
        <w:numPr>
          <w:ilvl w:val="0"/>
          <w:numId w:val="7"/>
        </w:numPr>
        <w:spacing w:before="105" w:after="105" w:line="360" w:lineRule="auto"/>
      </w:pPr>
      <w:r>
        <w:rPr>
          <w:rFonts w:ascii="inter" w:eastAsia="inter" w:hAnsi="inter" w:cs="inter"/>
          <w:color w:val="000000"/>
        </w:rPr>
        <w:t>What are the typical fees and costs involved, both at inception and ongoing?</w:t>
      </w:r>
    </w:p>
    <w:p w14:paraId="4141CD7B" w14:textId="77777777" w:rsidR="00595F11" w:rsidRDefault="00000000">
      <w:pPr>
        <w:numPr>
          <w:ilvl w:val="0"/>
          <w:numId w:val="7"/>
        </w:numPr>
        <w:spacing w:before="105" w:after="105" w:line="360" w:lineRule="auto"/>
      </w:pPr>
      <w:r>
        <w:rPr>
          <w:rFonts w:ascii="inter" w:eastAsia="inter" w:hAnsi="inter" w:cs="inter"/>
          <w:color w:val="000000"/>
        </w:rPr>
        <w:t>What are the most common mistakes or pitfalls you see with PPLI/PPA programs, and how do you avoid them?</w:t>
      </w:r>
    </w:p>
    <w:p w14:paraId="3A8AEA07" w14:textId="77777777" w:rsidR="00B40B8E" w:rsidRDefault="00000000" w:rsidP="00B40B8E">
      <w:pPr>
        <w:numPr>
          <w:ilvl w:val="0"/>
          <w:numId w:val="7"/>
        </w:numPr>
        <w:spacing w:before="105" w:after="105" w:line="360" w:lineRule="auto"/>
      </w:pPr>
      <w:r>
        <w:rPr>
          <w:rFonts w:ascii="inter" w:eastAsia="inter" w:hAnsi="inter" w:cs="inter"/>
          <w:color w:val="000000"/>
        </w:rPr>
        <w:lastRenderedPageBreak/>
        <w:t>How do you ensure transparency with clients regarding costs, risks, and performance?</w:t>
      </w:r>
      <w:r w:rsidR="00B40B8E">
        <w:rPr>
          <w:rFonts w:ascii="inter" w:eastAsia="inter" w:hAnsi="inter" w:cs="inter"/>
          <w:color w:val="000000"/>
        </w:rPr>
        <w:t xml:space="preserve">  Do you give RIAs any specific breakout?</w:t>
      </w:r>
    </w:p>
    <w:p w14:paraId="5B60A9B7" w14:textId="77777777" w:rsidR="00B40B8E" w:rsidRPr="002D1AF1" w:rsidRDefault="00000000" w:rsidP="00B40B8E">
      <w:pPr>
        <w:numPr>
          <w:ilvl w:val="0"/>
          <w:numId w:val="7"/>
        </w:numPr>
        <w:spacing w:before="105" w:after="105" w:line="360" w:lineRule="auto"/>
      </w:pPr>
      <w:r w:rsidRPr="00B40B8E">
        <w:rPr>
          <w:rFonts w:ascii="inter" w:eastAsia="inter" w:hAnsi="inter" w:cs="inter"/>
          <w:color w:val="000000"/>
        </w:rPr>
        <w:t>What are emerging trends or risks in the ultra HNW insurance space that clients should be aware of?</w:t>
      </w:r>
    </w:p>
    <w:p w14:paraId="3C95BBBF" w14:textId="4C63A478" w:rsidR="002D1AF1" w:rsidRPr="00B40B8E" w:rsidRDefault="002D1AF1" w:rsidP="00B40B8E">
      <w:pPr>
        <w:numPr>
          <w:ilvl w:val="0"/>
          <w:numId w:val="7"/>
        </w:numPr>
        <w:spacing w:before="105" w:after="105" w:line="360" w:lineRule="auto"/>
      </w:pPr>
      <w:r>
        <w:rPr>
          <w:rFonts w:ascii="inter" w:eastAsia="inter" w:hAnsi="inter" w:cs="inter"/>
          <w:color w:val="0000FF"/>
        </w:rPr>
        <w:t>What, if any, 3</w:t>
      </w:r>
      <w:r w:rsidRPr="002D1AF1">
        <w:rPr>
          <w:rFonts w:ascii="inter" w:eastAsia="inter" w:hAnsi="inter" w:cs="inter"/>
          <w:color w:val="0000FF"/>
          <w:vertAlign w:val="superscript"/>
        </w:rPr>
        <w:t>rd</w:t>
      </w:r>
      <w:r>
        <w:rPr>
          <w:rFonts w:ascii="inter" w:eastAsia="inter" w:hAnsi="inter" w:cs="inter"/>
          <w:color w:val="0000FF"/>
        </w:rPr>
        <w:t xml:space="preserve"> party tools do you utilize for your day-to-day operations?</w:t>
      </w:r>
    </w:p>
    <w:p w14:paraId="0383EF19" w14:textId="77777777" w:rsidR="00B40B8E" w:rsidRDefault="00B40B8E" w:rsidP="00B40B8E">
      <w:pPr>
        <w:spacing w:before="105" w:after="105" w:line="360" w:lineRule="auto"/>
        <w:rPr>
          <w:rFonts w:ascii="inter" w:eastAsia="inter" w:hAnsi="inter" w:cs="inter"/>
          <w:color w:val="000000"/>
        </w:rPr>
      </w:pPr>
    </w:p>
    <w:p w14:paraId="261E9F75" w14:textId="6F361575" w:rsidR="00B40B8E" w:rsidRDefault="00B40B8E" w:rsidP="00B40B8E">
      <w:pPr>
        <w:spacing w:before="105" w:after="105" w:line="360" w:lineRule="auto"/>
      </w:pPr>
      <w:r>
        <w:rPr>
          <w:rFonts w:ascii="inter" w:eastAsia="inter" w:hAnsi="inter" w:cs="inter"/>
          <w:b/>
          <w:color w:val="000000"/>
          <w:sz w:val="24"/>
        </w:rPr>
        <w:t>Reporting and ongoing review</w:t>
      </w:r>
    </w:p>
    <w:p w14:paraId="5E0E84E7" w14:textId="2A19BC4A" w:rsidR="00595F11" w:rsidRDefault="00B40B8E">
      <w:pPr>
        <w:numPr>
          <w:ilvl w:val="0"/>
          <w:numId w:val="7"/>
        </w:numPr>
        <w:spacing w:before="105" w:after="105" w:line="360" w:lineRule="auto"/>
      </w:pPr>
      <w:r>
        <w:t>What are the ideal reports that need to be provided to RIAs and to their clients?</w:t>
      </w:r>
    </w:p>
    <w:p w14:paraId="70698B8B" w14:textId="58DFD0AB" w:rsidR="002D1AF1" w:rsidRDefault="002D1AF1" w:rsidP="002D1AF1">
      <w:pPr>
        <w:pStyle w:val="ListParagraph"/>
        <w:numPr>
          <w:ilvl w:val="0"/>
          <w:numId w:val="8"/>
        </w:numPr>
        <w:spacing w:before="105" w:after="105" w:line="360" w:lineRule="auto"/>
      </w:pPr>
      <w:r>
        <w:rPr>
          <w:color w:val="0000FF"/>
        </w:rPr>
        <w:t>What is the ideal timing for the reporting to be provided? (monthly, quarterly, etc.)</w:t>
      </w:r>
    </w:p>
    <w:sectPr w:rsidR="002D1AF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63F"/>
    <w:multiLevelType w:val="hybridMultilevel"/>
    <w:tmpl w:val="79EA7220"/>
    <w:lvl w:ilvl="0" w:tplc="AABA4424">
      <w:start w:val="1"/>
      <w:numFmt w:val="bullet"/>
      <w:lvlText w:val=""/>
      <w:lvlJc w:val="left"/>
      <w:pPr>
        <w:tabs>
          <w:tab w:val="num" w:pos="900"/>
        </w:tabs>
        <w:ind w:left="540" w:hanging="360"/>
      </w:pPr>
      <w:rPr>
        <w:rFonts w:ascii="Symbol" w:hAnsi="Symbol" w:hint="default"/>
      </w:rPr>
    </w:lvl>
    <w:lvl w:ilvl="1" w:tplc="A536AE9A">
      <w:numFmt w:val="decimal"/>
      <w:lvlText w:val=""/>
      <w:lvlJc w:val="left"/>
    </w:lvl>
    <w:lvl w:ilvl="2" w:tplc="F7C25EF0">
      <w:numFmt w:val="decimal"/>
      <w:lvlText w:val=""/>
      <w:lvlJc w:val="left"/>
    </w:lvl>
    <w:lvl w:ilvl="3" w:tplc="A07E8B46">
      <w:numFmt w:val="decimal"/>
      <w:lvlText w:val=""/>
      <w:lvlJc w:val="left"/>
    </w:lvl>
    <w:lvl w:ilvl="4" w:tplc="7B7CCE46">
      <w:numFmt w:val="decimal"/>
      <w:lvlText w:val=""/>
      <w:lvlJc w:val="left"/>
    </w:lvl>
    <w:lvl w:ilvl="5" w:tplc="06483AD6">
      <w:numFmt w:val="decimal"/>
      <w:lvlText w:val=""/>
      <w:lvlJc w:val="left"/>
    </w:lvl>
    <w:lvl w:ilvl="6" w:tplc="8AAECE06">
      <w:numFmt w:val="decimal"/>
      <w:lvlText w:val=""/>
      <w:lvlJc w:val="left"/>
    </w:lvl>
    <w:lvl w:ilvl="7" w:tplc="41B65C5C">
      <w:numFmt w:val="decimal"/>
      <w:lvlText w:val=""/>
      <w:lvlJc w:val="left"/>
    </w:lvl>
    <w:lvl w:ilvl="8" w:tplc="946A3BAC">
      <w:numFmt w:val="decimal"/>
      <w:lvlText w:val=""/>
      <w:lvlJc w:val="left"/>
    </w:lvl>
  </w:abstractNum>
  <w:abstractNum w:abstractNumId="1" w15:restartNumberingAfterBreak="0">
    <w:nsid w:val="019D0945"/>
    <w:multiLevelType w:val="hybridMultilevel"/>
    <w:tmpl w:val="95568BEC"/>
    <w:lvl w:ilvl="0" w:tplc="535C43BE">
      <w:start w:val="1"/>
      <w:numFmt w:val="bullet"/>
      <w:lvlText w:val=""/>
      <w:lvlJc w:val="left"/>
      <w:pPr>
        <w:tabs>
          <w:tab w:val="num" w:pos="900"/>
        </w:tabs>
        <w:ind w:left="540" w:hanging="360"/>
      </w:pPr>
      <w:rPr>
        <w:rFonts w:ascii="Symbol" w:hAnsi="Symbol" w:hint="default"/>
      </w:rPr>
    </w:lvl>
    <w:lvl w:ilvl="1" w:tplc="46326B12">
      <w:numFmt w:val="decimal"/>
      <w:lvlText w:val=""/>
      <w:lvlJc w:val="left"/>
    </w:lvl>
    <w:lvl w:ilvl="2" w:tplc="FE4A0C6E">
      <w:numFmt w:val="decimal"/>
      <w:lvlText w:val=""/>
      <w:lvlJc w:val="left"/>
    </w:lvl>
    <w:lvl w:ilvl="3" w:tplc="548862E8">
      <w:numFmt w:val="decimal"/>
      <w:lvlText w:val=""/>
      <w:lvlJc w:val="left"/>
    </w:lvl>
    <w:lvl w:ilvl="4" w:tplc="BCF48248">
      <w:numFmt w:val="decimal"/>
      <w:lvlText w:val=""/>
      <w:lvlJc w:val="left"/>
    </w:lvl>
    <w:lvl w:ilvl="5" w:tplc="74901F98">
      <w:numFmt w:val="decimal"/>
      <w:lvlText w:val=""/>
      <w:lvlJc w:val="left"/>
    </w:lvl>
    <w:lvl w:ilvl="6" w:tplc="85A0D0DE">
      <w:numFmt w:val="decimal"/>
      <w:lvlText w:val=""/>
      <w:lvlJc w:val="left"/>
    </w:lvl>
    <w:lvl w:ilvl="7" w:tplc="924A8846">
      <w:numFmt w:val="decimal"/>
      <w:lvlText w:val=""/>
      <w:lvlJc w:val="left"/>
    </w:lvl>
    <w:lvl w:ilvl="8" w:tplc="787470EA">
      <w:numFmt w:val="decimal"/>
      <w:lvlText w:val=""/>
      <w:lvlJc w:val="left"/>
    </w:lvl>
  </w:abstractNum>
  <w:abstractNum w:abstractNumId="2" w15:restartNumberingAfterBreak="0">
    <w:nsid w:val="1F8E454D"/>
    <w:multiLevelType w:val="hybridMultilevel"/>
    <w:tmpl w:val="E1C86BF8"/>
    <w:lvl w:ilvl="0" w:tplc="7722F668">
      <w:start w:val="1"/>
      <w:numFmt w:val="bullet"/>
      <w:lvlText w:val=""/>
      <w:lvlJc w:val="left"/>
      <w:pPr>
        <w:tabs>
          <w:tab w:val="num" w:pos="900"/>
        </w:tabs>
        <w:ind w:left="540" w:hanging="360"/>
      </w:pPr>
      <w:rPr>
        <w:rFonts w:ascii="Symbol" w:hAnsi="Symbol" w:hint="default"/>
      </w:rPr>
    </w:lvl>
    <w:lvl w:ilvl="1" w:tplc="9FAADB00">
      <w:numFmt w:val="decimal"/>
      <w:lvlText w:val=""/>
      <w:lvlJc w:val="left"/>
    </w:lvl>
    <w:lvl w:ilvl="2" w:tplc="31A84F12">
      <w:numFmt w:val="decimal"/>
      <w:lvlText w:val=""/>
      <w:lvlJc w:val="left"/>
    </w:lvl>
    <w:lvl w:ilvl="3" w:tplc="C8AAB0BC">
      <w:numFmt w:val="decimal"/>
      <w:lvlText w:val=""/>
      <w:lvlJc w:val="left"/>
    </w:lvl>
    <w:lvl w:ilvl="4" w:tplc="91E0E87A">
      <w:numFmt w:val="decimal"/>
      <w:lvlText w:val=""/>
      <w:lvlJc w:val="left"/>
    </w:lvl>
    <w:lvl w:ilvl="5" w:tplc="1FE63F06">
      <w:numFmt w:val="decimal"/>
      <w:lvlText w:val=""/>
      <w:lvlJc w:val="left"/>
    </w:lvl>
    <w:lvl w:ilvl="6" w:tplc="31307076">
      <w:numFmt w:val="decimal"/>
      <w:lvlText w:val=""/>
      <w:lvlJc w:val="left"/>
    </w:lvl>
    <w:lvl w:ilvl="7" w:tplc="E048AF9E">
      <w:numFmt w:val="decimal"/>
      <w:lvlText w:val=""/>
      <w:lvlJc w:val="left"/>
    </w:lvl>
    <w:lvl w:ilvl="8" w:tplc="DEA64B14">
      <w:numFmt w:val="decimal"/>
      <w:lvlText w:val=""/>
      <w:lvlJc w:val="left"/>
    </w:lvl>
  </w:abstractNum>
  <w:abstractNum w:abstractNumId="3" w15:restartNumberingAfterBreak="0">
    <w:nsid w:val="20092415"/>
    <w:multiLevelType w:val="hybridMultilevel"/>
    <w:tmpl w:val="D3B094D6"/>
    <w:lvl w:ilvl="0" w:tplc="67882442">
      <w:start w:val="1"/>
      <w:numFmt w:val="bullet"/>
      <w:lvlText w:val=""/>
      <w:lvlJc w:val="left"/>
      <w:pPr>
        <w:tabs>
          <w:tab w:val="num" w:pos="900"/>
        </w:tabs>
        <w:ind w:left="540" w:hanging="360"/>
      </w:pPr>
      <w:rPr>
        <w:rFonts w:ascii="Symbol" w:hAnsi="Symbol" w:hint="default"/>
      </w:rPr>
    </w:lvl>
    <w:lvl w:ilvl="1" w:tplc="46D27330">
      <w:numFmt w:val="decimal"/>
      <w:lvlText w:val=""/>
      <w:lvlJc w:val="left"/>
    </w:lvl>
    <w:lvl w:ilvl="2" w:tplc="761EF83C">
      <w:numFmt w:val="decimal"/>
      <w:lvlText w:val=""/>
      <w:lvlJc w:val="left"/>
    </w:lvl>
    <w:lvl w:ilvl="3" w:tplc="99DE7272">
      <w:numFmt w:val="decimal"/>
      <w:lvlText w:val=""/>
      <w:lvlJc w:val="left"/>
    </w:lvl>
    <w:lvl w:ilvl="4" w:tplc="FF203AF0">
      <w:numFmt w:val="decimal"/>
      <w:lvlText w:val=""/>
      <w:lvlJc w:val="left"/>
    </w:lvl>
    <w:lvl w:ilvl="5" w:tplc="8E5E4B86">
      <w:numFmt w:val="decimal"/>
      <w:lvlText w:val=""/>
      <w:lvlJc w:val="left"/>
    </w:lvl>
    <w:lvl w:ilvl="6" w:tplc="ADD68B76">
      <w:numFmt w:val="decimal"/>
      <w:lvlText w:val=""/>
      <w:lvlJc w:val="left"/>
    </w:lvl>
    <w:lvl w:ilvl="7" w:tplc="C38E9BFE">
      <w:numFmt w:val="decimal"/>
      <w:lvlText w:val=""/>
      <w:lvlJc w:val="left"/>
    </w:lvl>
    <w:lvl w:ilvl="8" w:tplc="CB8AF864">
      <w:numFmt w:val="decimal"/>
      <w:lvlText w:val=""/>
      <w:lvlJc w:val="left"/>
    </w:lvl>
  </w:abstractNum>
  <w:abstractNum w:abstractNumId="4" w15:restartNumberingAfterBreak="0">
    <w:nsid w:val="31070899"/>
    <w:multiLevelType w:val="hybridMultilevel"/>
    <w:tmpl w:val="13B0858C"/>
    <w:lvl w:ilvl="0" w:tplc="F2E02C12">
      <w:start w:val="1"/>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D17DEE"/>
    <w:multiLevelType w:val="hybridMultilevel"/>
    <w:tmpl w:val="D4EA9550"/>
    <w:lvl w:ilvl="0" w:tplc="C2F8430A">
      <w:start w:val="1"/>
      <w:numFmt w:val="bullet"/>
      <w:lvlText w:val=""/>
      <w:lvlJc w:val="left"/>
      <w:pPr>
        <w:tabs>
          <w:tab w:val="num" w:pos="900"/>
        </w:tabs>
        <w:ind w:left="540" w:hanging="360"/>
      </w:pPr>
      <w:rPr>
        <w:rFonts w:ascii="Symbol" w:hAnsi="Symbol" w:hint="default"/>
      </w:rPr>
    </w:lvl>
    <w:lvl w:ilvl="1" w:tplc="4D006D3C">
      <w:numFmt w:val="decimal"/>
      <w:lvlText w:val=""/>
      <w:lvlJc w:val="left"/>
    </w:lvl>
    <w:lvl w:ilvl="2" w:tplc="30D4A680">
      <w:numFmt w:val="decimal"/>
      <w:lvlText w:val=""/>
      <w:lvlJc w:val="left"/>
    </w:lvl>
    <w:lvl w:ilvl="3" w:tplc="FB28E54C">
      <w:numFmt w:val="decimal"/>
      <w:lvlText w:val=""/>
      <w:lvlJc w:val="left"/>
    </w:lvl>
    <w:lvl w:ilvl="4" w:tplc="179E54A8">
      <w:numFmt w:val="decimal"/>
      <w:lvlText w:val=""/>
      <w:lvlJc w:val="left"/>
    </w:lvl>
    <w:lvl w:ilvl="5" w:tplc="1A4AD52C">
      <w:numFmt w:val="decimal"/>
      <w:lvlText w:val=""/>
      <w:lvlJc w:val="left"/>
    </w:lvl>
    <w:lvl w:ilvl="6" w:tplc="AF4C9842">
      <w:numFmt w:val="decimal"/>
      <w:lvlText w:val=""/>
      <w:lvlJc w:val="left"/>
    </w:lvl>
    <w:lvl w:ilvl="7" w:tplc="9F82C65E">
      <w:numFmt w:val="decimal"/>
      <w:lvlText w:val=""/>
      <w:lvlJc w:val="left"/>
    </w:lvl>
    <w:lvl w:ilvl="8" w:tplc="9E300250">
      <w:numFmt w:val="decimal"/>
      <w:lvlText w:val=""/>
      <w:lvlJc w:val="left"/>
    </w:lvl>
  </w:abstractNum>
  <w:abstractNum w:abstractNumId="6" w15:restartNumberingAfterBreak="0">
    <w:nsid w:val="46E5793D"/>
    <w:multiLevelType w:val="hybridMultilevel"/>
    <w:tmpl w:val="CCD0F6FE"/>
    <w:lvl w:ilvl="0" w:tplc="150CACBC">
      <w:start w:val="1"/>
      <w:numFmt w:val="bullet"/>
      <w:lvlText w:val=""/>
      <w:lvlJc w:val="left"/>
      <w:pPr>
        <w:tabs>
          <w:tab w:val="num" w:pos="900"/>
        </w:tabs>
        <w:ind w:left="540" w:hanging="360"/>
      </w:pPr>
      <w:rPr>
        <w:rFonts w:ascii="Symbol" w:hAnsi="Symbol" w:hint="default"/>
      </w:rPr>
    </w:lvl>
    <w:lvl w:ilvl="1" w:tplc="4F8888C0">
      <w:numFmt w:val="decimal"/>
      <w:lvlText w:val=""/>
      <w:lvlJc w:val="left"/>
    </w:lvl>
    <w:lvl w:ilvl="2" w:tplc="BFDE1A38">
      <w:numFmt w:val="decimal"/>
      <w:lvlText w:val=""/>
      <w:lvlJc w:val="left"/>
    </w:lvl>
    <w:lvl w:ilvl="3" w:tplc="27A8CB44">
      <w:numFmt w:val="decimal"/>
      <w:lvlText w:val=""/>
      <w:lvlJc w:val="left"/>
    </w:lvl>
    <w:lvl w:ilvl="4" w:tplc="8376E2F6">
      <w:numFmt w:val="decimal"/>
      <w:lvlText w:val=""/>
      <w:lvlJc w:val="left"/>
    </w:lvl>
    <w:lvl w:ilvl="5" w:tplc="9BDE09AA">
      <w:numFmt w:val="decimal"/>
      <w:lvlText w:val=""/>
      <w:lvlJc w:val="left"/>
    </w:lvl>
    <w:lvl w:ilvl="6" w:tplc="08D4E6A2">
      <w:numFmt w:val="decimal"/>
      <w:lvlText w:val=""/>
      <w:lvlJc w:val="left"/>
    </w:lvl>
    <w:lvl w:ilvl="7" w:tplc="92541954">
      <w:numFmt w:val="decimal"/>
      <w:lvlText w:val=""/>
      <w:lvlJc w:val="left"/>
    </w:lvl>
    <w:lvl w:ilvl="8" w:tplc="16925A00">
      <w:numFmt w:val="decimal"/>
      <w:lvlText w:val=""/>
      <w:lvlJc w:val="left"/>
    </w:lvl>
  </w:abstractNum>
  <w:abstractNum w:abstractNumId="7" w15:restartNumberingAfterBreak="0">
    <w:nsid w:val="573250D6"/>
    <w:multiLevelType w:val="hybridMultilevel"/>
    <w:tmpl w:val="2AEE61D2"/>
    <w:lvl w:ilvl="0" w:tplc="8F4E0A50">
      <w:start w:val="1"/>
      <w:numFmt w:val="bullet"/>
      <w:lvlText w:val=""/>
      <w:lvlJc w:val="left"/>
      <w:pPr>
        <w:tabs>
          <w:tab w:val="num" w:pos="900"/>
        </w:tabs>
        <w:ind w:left="540" w:hanging="360"/>
      </w:pPr>
      <w:rPr>
        <w:rFonts w:ascii="Symbol" w:hAnsi="Symbol" w:hint="default"/>
      </w:rPr>
    </w:lvl>
    <w:lvl w:ilvl="1" w:tplc="F138AFFE">
      <w:numFmt w:val="decimal"/>
      <w:lvlText w:val=""/>
      <w:lvlJc w:val="left"/>
    </w:lvl>
    <w:lvl w:ilvl="2" w:tplc="38A6B354">
      <w:numFmt w:val="decimal"/>
      <w:lvlText w:val=""/>
      <w:lvlJc w:val="left"/>
    </w:lvl>
    <w:lvl w:ilvl="3" w:tplc="2422717A">
      <w:numFmt w:val="decimal"/>
      <w:lvlText w:val=""/>
      <w:lvlJc w:val="left"/>
    </w:lvl>
    <w:lvl w:ilvl="4" w:tplc="F820AF96">
      <w:numFmt w:val="decimal"/>
      <w:lvlText w:val=""/>
      <w:lvlJc w:val="left"/>
    </w:lvl>
    <w:lvl w:ilvl="5" w:tplc="7C94B5F6">
      <w:numFmt w:val="decimal"/>
      <w:lvlText w:val=""/>
      <w:lvlJc w:val="left"/>
    </w:lvl>
    <w:lvl w:ilvl="6" w:tplc="3E0A8724">
      <w:numFmt w:val="decimal"/>
      <w:lvlText w:val=""/>
      <w:lvlJc w:val="left"/>
    </w:lvl>
    <w:lvl w:ilvl="7" w:tplc="F618AA1E">
      <w:numFmt w:val="decimal"/>
      <w:lvlText w:val=""/>
      <w:lvlJc w:val="left"/>
    </w:lvl>
    <w:lvl w:ilvl="8" w:tplc="B74A3D42">
      <w:numFmt w:val="decimal"/>
      <w:lvlText w:val=""/>
      <w:lvlJc w:val="left"/>
    </w:lvl>
  </w:abstractNum>
  <w:num w:numId="1" w16cid:durableId="653220346">
    <w:abstractNumId w:val="7"/>
  </w:num>
  <w:num w:numId="2" w16cid:durableId="1440026604">
    <w:abstractNumId w:val="0"/>
  </w:num>
  <w:num w:numId="3" w16cid:durableId="614748569">
    <w:abstractNumId w:val="5"/>
  </w:num>
  <w:num w:numId="4" w16cid:durableId="499003485">
    <w:abstractNumId w:val="2"/>
  </w:num>
  <w:num w:numId="5" w16cid:durableId="501510146">
    <w:abstractNumId w:val="3"/>
  </w:num>
  <w:num w:numId="6" w16cid:durableId="183833191">
    <w:abstractNumId w:val="6"/>
  </w:num>
  <w:num w:numId="7" w16cid:durableId="275450892">
    <w:abstractNumId w:val="1"/>
  </w:num>
  <w:num w:numId="8" w16cid:durableId="615335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F11"/>
    <w:rsid w:val="000100C6"/>
    <w:rsid w:val="0018374F"/>
    <w:rsid w:val="0023408E"/>
    <w:rsid w:val="002D1AF1"/>
    <w:rsid w:val="00470981"/>
    <w:rsid w:val="00595F11"/>
    <w:rsid w:val="00697811"/>
    <w:rsid w:val="00701BE1"/>
    <w:rsid w:val="00751F1E"/>
    <w:rsid w:val="007870E1"/>
    <w:rsid w:val="00B40B8E"/>
    <w:rsid w:val="00B47C9A"/>
    <w:rsid w:val="00CA4E96"/>
    <w:rsid w:val="00F426F0"/>
    <w:rsid w:val="00FB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3C6C"/>
  <w15:docId w15:val="{738A38A7-E5B3-DB41-8B56-A0D43C57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FB0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Corey Rickman</cp:lastModifiedBy>
  <cp:revision>7</cp:revision>
  <dcterms:created xsi:type="dcterms:W3CDTF">2025-07-29T14:22:00Z</dcterms:created>
  <dcterms:modified xsi:type="dcterms:W3CDTF">2025-07-30T13:55:00Z</dcterms:modified>
</cp:coreProperties>
</file>