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BUG REPORT FORM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SUBMITTED BY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Chen Sa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yag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19.4.26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TITLE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Can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’t Activate Fragment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At the second level, the fragments should be activated and become blue, but this specific one does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REPRODUCIBILITY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ex. 3 out of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FILE ATTACHMENT(S)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all the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105150" cy="222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ACTION PERFORMED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Try to activat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 the fragment at the right side of the 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sz w:val="10"/>
          <w:szCs w:val="10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360" w:top="490" w:left="576" w:right="4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Hardly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b w:val="1"/>
          <w:b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490" w:left="576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TyWz7KzYtoOMlfYZrmOisBZlg==">CgMxLjA4AHIhMUs1OUUyZ1dDMFVXN3ZnQ0dEWWxRcUZMMGhIOHBuQURO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