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65E2" w14:textId="4D2DA0B5" w:rsidR="005944E7" w:rsidRPr="00323847" w:rsidRDefault="005944E7" w:rsidP="005944E7">
      <w:pPr>
        <w:jc w:val="center"/>
        <w:rPr>
          <w:b/>
          <w:u w:val="single"/>
        </w:rPr>
      </w:pPr>
      <w:r>
        <w:rPr>
          <w:b/>
          <w:u w:val="single"/>
        </w:rPr>
        <w:t xml:space="preserve">ATOC5860 - Homework </w:t>
      </w:r>
      <w:r w:rsidR="00C504C6">
        <w:rPr>
          <w:b/>
          <w:u w:val="single"/>
        </w:rPr>
        <w:t>4</w:t>
      </w:r>
      <w:r w:rsidRPr="00323847">
        <w:rPr>
          <w:b/>
          <w:u w:val="single"/>
        </w:rPr>
        <w:t xml:space="preserve"> - d</w:t>
      </w:r>
      <w:r>
        <w:rPr>
          <w:b/>
          <w:u w:val="single"/>
        </w:rPr>
        <w:t xml:space="preserve">ue March </w:t>
      </w:r>
      <w:r w:rsidR="00293369">
        <w:rPr>
          <w:b/>
          <w:u w:val="single"/>
        </w:rPr>
        <w:t>17</w:t>
      </w:r>
      <w:r>
        <w:rPr>
          <w:b/>
          <w:u w:val="single"/>
        </w:rPr>
        <w:t>, 2022</w:t>
      </w:r>
    </w:p>
    <w:p w14:paraId="580A8842" w14:textId="77777777" w:rsidR="005944E7" w:rsidRDefault="005944E7" w:rsidP="005944E7">
      <w:pPr>
        <w:jc w:val="center"/>
        <w:rPr>
          <w:b/>
        </w:rPr>
      </w:pPr>
      <w:r>
        <w:rPr>
          <w:b/>
        </w:rPr>
        <w:t>Please send your homework to Jen/Prof. Kay on Slack as a direct message.</w:t>
      </w:r>
    </w:p>
    <w:p w14:paraId="271A413E" w14:textId="74557223" w:rsidR="005944E7" w:rsidRDefault="005944E7" w:rsidP="005944E7">
      <w:pPr>
        <w:jc w:val="center"/>
        <w:rPr>
          <w:b/>
          <w:i/>
        </w:rPr>
      </w:pPr>
      <w:r>
        <w:rPr>
          <w:b/>
          <w:i/>
          <w:color w:val="FF0000"/>
        </w:rPr>
        <w:t>Please Name Your Homework Files: “ATOC5860_HW</w:t>
      </w:r>
      <w:r w:rsidR="00C34ACA">
        <w:rPr>
          <w:b/>
          <w:i/>
          <w:color w:val="FF0000"/>
        </w:rPr>
        <w:t>4</w:t>
      </w:r>
      <w:r>
        <w:rPr>
          <w:b/>
          <w:i/>
          <w:color w:val="FF0000"/>
        </w:rPr>
        <w:t>_LastName.pdf, .html, .ipynb”</w:t>
      </w:r>
    </w:p>
    <w:p w14:paraId="3545A544" w14:textId="77777777" w:rsidR="005944E7" w:rsidRDefault="005944E7" w:rsidP="005944E7">
      <w:pPr>
        <w:jc w:val="center"/>
        <w:rPr>
          <w:b/>
        </w:rPr>
      </w:pPr>
      <w:r>
        <w:rPr>
          <w:b/>
        </w:rPr>
        <w:t>Your submissions should include: 1) A .pdf document with responses to the questions below, 2) Your code in both .ipynb and .html format.</w:t>
      </w:r>
    </w:p>
    <w:p w14:paraId="4BE1EEF4" w14:textId="77777777" w:rsidR="005944E7" w:rsidRDefault="005944E7" w:rsidP="005944E7">
      <w:pPr>
        <w:rPr>
          <w:b/>
        </w:rPr>
      </w:pPr>
    </w:p>
    <w:p w14:paraId="3598EAE5" w14:textId="77777777" w:rsidR="005944E7" w:rsidRDefault="005944E7" w:rsidP="005944E7">
      <w:pPr>
        <w:jc w:val="center"/>
        <w:rPr>
          <w:b/>
        </w:rPr>
      </w:pPr>
      <w:r>
        <w:rPr>
          <w:b/>
        </w:rPr>
        <w:t>Show all work including the equations used (e.g., by referring to the Barnes Notes).</w:t>
      </w:r>
    </w:p>
    <w:p w14:paraId="46782E61" w14:textId="77777777" w:rsidR="005944E7" w:rsidRDefault="005944E7" w:rsidP="005944E7">
      <w:pPr>
        <w:jc w:val="center"/>
        <w:rPr>
          <w:b/>
        </w:rPr>
      </w:pPr>
      <w:r>
        <w:rPr>
          <w:b/>
        </w:rPr>
        <w:t xml:space="preserve">Write in complete, clear, and concise sentences.  </w:t>
      </w:r>
    </w:p>
    <w:p w14:paraId="0B981B41" w14:textId="77777777" w:rsidR="005944E7" w:rsidRDefault="005944E7" w:rsidP="005944E7">
      <w:pPr>
        <w:jc w:val="center"/>
        <w:rPr>
          <w:b/>
        </w:rPr>
      </w:pPr>
      <w:r>
        <w:rPr>
          <w:b/>
        </w:rPr>
        <w:t>Eliminate spelling/grammar mistakes.</w:t>
      </w:r>
    </w:p>
    <w:p w14:paraId="655A422F" w14:textId="77777777" w:rsidR="005944E7" w:rsidRDefault="005944E7" w:rsidP="005944E7">
      <w:pPr>
        <w:jc w:val="center"/>
        <w:rPr>
          <w:b/>
        </w:rPr>
      </w:pPr>
      <w:r>
        <w:rPr>
          <w:b/>
        </w:rPr>
        <w:t>Label all graph axes.  Include units.</w:t>
      </w:r>
    </w:p>
    <w:p w14:paraId="52AA0068" w14:textId="77777777" w:rsidR="005944E7" w:rsidRPr="003E5482" w:rsidRDefault="005944E7" w:rsidP="005944E7">
      <w:pPr>
        <w:jc w:val="center"/>
        <w:rPr>
          <w:b/>
          <w:color w:val="FF0000"/>
        </w:rPr>
      </w:pPr>
      <w:r w:rsidRPr="003E5482">
        <w:rPr>
          <w:b/>
          <w:color w:val="FF0000"/>
        </w:rPr>
        <w:t>Report values using appropriate rounding.</w:t>
      </w:r>
    </w:p>
    <w:p w14:paraId="4A3F0C2F" w14:textId="77777777" w:rsidR="0050173B" w:rsidRDefault="0050173B" w:rsidP="0050173B">
      <w:pPr>
        <w:jc w:val="both"/>
      </w:pPr>
      <w:r>
        <w:tab/>
      </w:r>
    </w:p>
    <w:p w14:paraId="6FC33153" w14:textId="77777777" w:rsidR="0050173B" w:rsidRDefault="0050173B" w:rsidP="0050173B">
      <w:pPr>
        <w:jc w:val="both"/>
        <w:rPr>
          <w:b/>
        </w:rPr>
      </w:pPr>
      <w:r>
        <w:rPr>
          <w:b/>
        </w:rPr>
        <w:t>Problem I</w:t>
      </w:r>
      <w:r w:rsidRPr="00EC5055">
        <w:rPr>
          <w:b/>
        </w:rPr>
        <w:t>)</w:t>
      </w:r>
      <w:r>
        <w:rPr>
          <w:b/>
        </w:rPr>
        <w:t xml:space="preserve"> Perform a power spectral analysis on monthly Nino3.4 sea surface temperature (SST) time series (a proxy for ENSO). (50 points total)</w:t>
      </w:r>
    </w:p>
    <w:p w14:paraId="2E483D95" w14:textId="77777777" w:rsidR="0050173B" w:rsidRDefault="0050173B" w:rsidP="0050173B">
      <w:pPr>
        <w:jc w:val="both"/>
        <w:rPr>
          <w:b/>
        </w:rPr>
      </w:pPr>
    </w:p>
    <w:p w14:paraId="246F3D7F" w14:textId="06B5FB84" w:rsidR="0050173B" w:rsidRPr="00E63490" w:rsidRDefault="0050173B" w:rsidP="0050173B">
      <w:pPr>
        <w:jc w:val="both"/>
        <w:rPr>
          <w:b/>
          <w:color w:val="0563C1" w:themeColor="hyperlink"/>
          <w:u w:val="single"/>
        </w:rPr>
      </w:pPr>
      <w:r>
        <w:rPr>
          <w:b/>
        </w:rPr>
        <w:t>Your data: Monthly SST anomalies in the Nino3.4 region from the CESM</w:t>
      </w:r>
      <w:r w:rsidR="000F5A00">
        <w:rPr>
          <w:b/>
        </w:rPr>
        <w:t>1</w:t>
      </w:r>
      <w:r>
        <w:rPr>
          <w:b/>
        </w:rPr>
        <w:t xml:space="preserve"> Large Ensemble (</w:t>
      </w:r>
      <w:hyperlink r:id="rId5" w:history="1">
        <w:r w:rsidRPr="00F54816">
          <w:rPr>
            <w:rStyle w:val="Hyperlink"/>
            <w:b/>
          </w:rPr>
          <w:t>http://www.cesm.ucar.edu/projects/community-projects/LENS/</w:t>
        </w:r>
      </w:hyperlink>
      <w:r w:rsidR="00E63490">
        <w:rPr>
          <w:rStyle w:val="Hyperlink"/>
          <w:b/>
        </w:rPr>
        <w:t xml:space="preserve">, </w:t>
      </w:r>
      <w:hyperlink r:id="rId6" w:tgtFrame="_blank" w:history="1">
        <w:r w:rsidR="00E63490" w:rsidRPr="00E63490">
          <w:rPr>
            <w:rStyle w:val="Hyperlink"/>
            <w:b/>
          </w:rPr>
          <w:t>https://doi.org/10.1175/BAMS-D-13-00255.1</w:t>
        </w:r>
      </w:hyperlink>
      <w:r>
        <w:rPr>
          <w:b/>
        </w:rPr>
        <w:t>). You will analyze pre-industrial control runs that represent perpetual 1850 conditions (i.e., they have constant 1850 climate). You will contrast the fully coupled 1850 control run with the slab ocean 1850 control run. The files containing the data are in netcdf4 format</w:t>
      </w:r>
      <w:r w:rsidR="00A3405A">
        <w:rPr>
          <w:b/>
        </w:rPr>
        <w:t xml:space="preserve"> and available on the class google drive</w:t>
      </w:r>
      <w:r>
        <w:rPr>
          <w:b/>
        </w:rPr>
        <w:t>:</w:t>
      </w:r>
    </w:p>
    <w:p w14:paraId="5A96E5BC" w14:textId="77777777" w:rsidR="0050173B" w:rsidRDefault="0050173B" w:rsidP="0050173B">
      <w:pPr>
        <w:jc w:val="both"/>
        <w:rPr>
          <w:b/>
        </w:rPr>
      </w:pPr>
      <w:r>
        <w:rPr>
          <w:b/>
        </w:rPr>
        <w:t xml:space="preserve"> </w:t>
      </w:r>
      <w:r w:rsidRPr="000D1713">
        <w:t>CESM1_LENS_Coupled_Control.cvdp_data.401-2200.nc</w:t>
      </w:r>
      <w:r>
        <w:rPr>
          <w:b/>
        </w:rPr>
        <w:t>,</w:t>
      </w:r>
    </w:p>
    <w:p w14:paraId="69F84AC4" w14:textId="77777777" w:rsidR="0050173B" w:rsidRPr="00D45853" w:rsidRDefault="0050173B" w:rsidP="0050173B">
      <w:pPr>
        <w:jc w:val="both"/>
        <w:rPr>
          <w:b/>
        </w:rPr>
      </w:pPr>
      <w:r>
        <w:rPr>
          <w:b/>
        </w:rPr>
        <w:t xml:space="preserve"> </w:t>
      </w:r>
      <w:r w:rsidRPr="000D1713">
        <w:t>CESM1_LENS_SOM_Control.cvdp_data.277-1001.nc</w:t>
      </w:r>
    </w:p>
    <w:p w14:paraId="75592980" w14:textId="77777777" w:rsidR="0050173B" w:rsidRDefault="0050173B" w:rsidP="0050173B">
      <w:pPr>
        <w:jc w:val="both"/>
        <w:rPr>
          <w:b/>
        </w:rPr>
      </w:pPr>
    </w:p>
    <w:p w14:paraId="789A0DB4" w14:textId="77777777" w:rsidR="0050173B" w:rsidRDefault="0050173B" w:rsidP="0050173B">
      <w:pPr>
        <w:jc w:val="both"/>
        <w:rPr>
          <w:b/>
        </w:rPr>
      </w:pPr>
      <w:r>
        <w:rPr>
          <w:b/>
        </w:rPr>
        <w:t>“Munging” (i.e., data pre-processing before doing analysis, yea new words!) for this assignment is minimal.  The monthly average SST anomaly in the nino3.4 region is available as a variable called “</w:t>
      </w:r>
      <w:r w:rsidRPr="0034756F">
        <w:rPr>
          <w:b/>
        </w:rPr>
        <w:t>nino34</w:t>
      </w:r>
      <w:r>
        <w:rPr>
          <w:b/>
        </w:rPr>
        <w:t>” in both netcdf files.  Munged data from:</w:t>
      </w:r>
    </w:p>
    <w:p w14:paraId="490CBC7C" w14:textId="77777777" w:rsidR="0050173B" w:rsidRDefault="0050173B" w:rsidP="0050173B">
      <w:pPr>
        <w:jc w:val="both"/>
        <w:rPr>
          <w:rStyle w:val="Hyperlink"/>
          <w:b/>
        </w:rPr>
      </w:pPr>
      <w:r>
        <w:rPr>
          <w:b/>
        </w:rPr>
        <w:t xml:space="preserve"> </w:t>
      </w:r>
      <w:hyperlink r:id="rId7" w:history="1">
        <w:r w:rsidRPr="00F54816">
          <w:rPr>
            <w:rStyle w:val="Hyperlink"/>
            <w:b/>
          </w:rPr>
          <w:t>http://www2.cesm.ucar.edu/working_groups/CVC/cvdp//data-repository.html</w:t>
        </w:r>
      </w:hyperlink>
    </w:p>
    <w:p w14:paraId="08A7B1E6" w14:textId="77777777" w:rsidR="0050173B" w:rsidRDefault="0050173B" w:rsidP="0050173B">
      <w:pPr>
        <w:jc w:val="both"/>
        <w:rPr>
          <w:b/>
        </w:rPr>
      </w:pPr>
    </w:p>
    <w:p w14:paraId="3447A1F8" w14:textId="1A9AC0BD" w:rsidR="001A7EF1" w:rsidRDefault="0050173B" w:rsidP="00F90BB8">
      <w:pPr>
        <w:jc w:val="both"/>
        <w:rPr>
          <w:b/>
          <w:i/>
        </w:rPr>
      </w:pPr>
      <w:r w:rsidRPr="00A74AEC">
        <w:rPr>
          <w:b/>
          <w:i/>
        </w:rPr>
        <w:t>Note</w:t>
      </w:r>
      <w:r>
        <w:rPr>
          <w:b/>
          <w:i/>
        </w:rPr>
        <w:t xml:space="preserve">: The </w:t>
      </w:r>
      <w:r w:rsidR="00F90BB8" w:rsidRPr="00F90BB8">
        <w:rPr>
          <w:b/>
          <w:i/>
        </w:rPr>
        <w:t>Climate Variability</w:t>
      </w:r>
      <w:r w:rsidR="00F90BB8">
        <w:rPr>
          <w:b/>
          <w:i/>
        </w:rPr>
        <w:t xml:space="preserve"> </w:t>
      </w:r>
      <w:r w:rsidR="00F90BB8" w:rsidRPr="00F90BB8">
        <w:rPr>
          <w:b/>
          <w:i/>
        </w:rPr>
        <w:t>Diagnostics Package</w:t>
      </w:r>
      <w:r w:rsidR="00F90BB8">
        <w:rPr>
          <w:b/>
          <w:i/>
        </w:rPr>
        <w:t xml:space="preserve"> </w:t>
      </w:r>
      <w:r w:rsidR="001A7EF1">
        <w:rPr>
          <w:b/>
          <w:i/>
        </w:rPr>
        <w:t>--- the “</w:t>
      </w:r>
      <w:r>
        <w:rPr>
          <w:b/>
          <w:i/>
        </w:rPr>
        <w:t>CVDP</w:t>
      </w:r>
      <w:r w:rsidR="001A7EF1">
        <w:rPr>
          <w:b/>
          <w:i/>
        </w:rPr>
        <w:t>”</w:t>
      </w:r>
      <w:r w:rsidR="009A4865">
        <w:rPr>
          <w:b/>
          <w:i/>
        </w:rPr>
        <w:t xml:space="preserve"> ---</w:t>
      </w:r>
    </w:p>
    <w:p w14:paraId="246077A8" w14:textId="2341F458" w:rsidR="0050173B" w:rsidRPr="00A74AEC" w:rsidRDefault="0050173B" w:rsidP="00F90BB8">
      <w:pPr>
        <w:jc w:val="both"/>
        <w:rPr>
          <w:b/>
          <w:i/>
        </w:rPr>
      </w:pPr>
      <w:r>
        <w:rPr>
          <w:b/>
          <w:i/>
        </w:rPr>
        <w:t xml:space="preserve"> (</w:t>
      </w:r>
      <w:hyperlink r:id="rId8" w:history="1">
        <w:r w:rsidR="00B10715" w:rsidRPr="00461653">
          <w:rPr>
            <w:rStyle w:val="Hyperlink"/>
            <w:b/>
            <w:i/>
          </w:rPr>
          <w:t>https://agupubs.onlinelibrary.wiley.com/doi/pdf/10.1002/2014EO490002</w:t>
        </w:r>
      </w:hyperlink>
      <w:r w:rsidR="00B10715">
        <w:rPr>
          <w:b/>
          <w:i/>
        </w:rPr>
        <w:t>)</w:t>
      </w:r>
      <w:r>
        <w:rPr>
          <w:b/>
          <w:i/>
        </w:rPr>
        <w:t xml:space="preserve"> might be</w:t>
      </w:r>
      <w:r w:rsidRPr="00A74AEC">
        <w:rPr>
          <w:b/>
          <w:i/>
        </w:rPr>
        <w:t xml:space="preserve"> useful resource </w:t>
      </w:r>
      <w:r>
        <w:rPr>
          <w:b/>
          <w:i/>
        </w:rPr>
        <w:t xml:space="preserve">to check out for problem 2 or a future homework. List the available variables using your favorite tool to print the file header to the screen (e.g., type “ncdump –h </w:t>
      </w:r>
      <w:r w:rsidRPr="007037C6">
        <w:rPr>
          <w:b/>
          <w:i/>
        </w:rPr>
        <w:t>CESM1_LENS_Coupled_Control.cvdp_data.401-2200.nc</w:t>
      </w:r>
      <w:r>
        <w:rPr>
          <w:b/>
          <w:i/>
        </w:rPr>
        <w:t>”)</w:t>
      </w:r>
    </w:p>
    <w:p w14:paraId="23DB3D3A" w14:textId="77777777" w:rsidR="0050173B" w:rsidRDefault="0050173B" w:rsidP="0050173B">
      <w:pPr>
        <w:jc w:val="both"/>
        <w:rPr>
          <w:b/>
        </w:rPr>
      </w:pPr>
    </w:p>
    <w:p w14:paraId="2CC8A1B4" w14:textId="237EFDDA" w:rsidR="0050173B" w:rsidRDefault="0050173B" w:rsidP="0050173B">
      <w:pPr>
        <w:jc w:val="both"/>
        <w:rPr>
          <w:b/>
        </w:rPr>
      </w:pPr>
      <w:r>
        <w:rPr>
          <w:b/>
        </w:rPr>
        <w:t xml:space="preserve">a) Calculate the power spectra of the Nino3.4 SST index (variable called “nino34”) in the fully coupled model 1850 control run and slab ocean model 1850 control run.  </w:t>
      </w:r>
      <w:r w:rsidRPr="007E2623">
        <w:rPr>
          <w:b/>
          <w:u w:val="single"/>
        </w:rPr>
        <w:t xml:space="preserve">Apply the analysis to the first 700 years of both </w:t>
      </w:r>
      <w:r>
        <w:rPr>
          <w:b/>
          <w:u w:val="single"/>
        </w:rPr>
        <w:t>control runs</w:t>
      </w:r>
      <w:r>
        <w:rPr>
          <w:b/>
        </w:rPr>
        <w:t xml:space="preserve">. Use Welch’s method (WOSA!) with a Hanning window and a window length of 50 </w:t>
      </w:r>
      <w:r w:rsidRPr="00920920">
        <w:rPr>
          <w:b/>
        </w:rPr>
        <w:t>years.</w:t>
      </w:r>
      <w:r w:rsidRPr="00920920">
        <w:rPr>
          <w:b/>
          <w:bCs/>
          <w:vertAlign w:val="subscript"/>
        </w:rPr>
        <w:t xml:space="preserve"> </w:t>
      </w:r>
      <w:r w:rsidRPr="00920920">
        <w:rPr>
          <w:b/>
        </w:rPr>
        <w:t>Make</w:t>
      </w:r>
      <w:r>
        <w:rPr>
          <w:b/>
        </w:rPr>
        <w:t xml:space="preserve"> a plot of </w:t>
      </w:r>
      <w:r w:rsidRPr="00D718E4">
        <w:rPr>
          <w:b/>
        </w:rPr>
        <w:t xml:space="preserve">normalized </w:t>
      </w:r>
      <w:r w:rsidRPr="008E71B2">
        <w:rPr>
          <w:b/>
          <w:color w:val="000000" w:themeColor="text1"/>
        </w:rPr>
        <w:t xml:space="preserve">spectral power vs. frequency for both the fully coupled and for the slab ocean. Analyze the statistical significance of spectral peaks using a 99% confidence level and the null hypothesis of red noise.  </w:t>
      </w:r>
      <w:r w:rsidR="00857061" w:rsidRPr="008E71B2">
        <w:rPr>
          <w:b/>
          <w:color w:val="000000" w:themeColor="text1"/>
        </w:rPr>
        <w:t>Assume that the factor f</w:t>
      </w:r>
      <w:r w:rsidR="00857061" w:rsidRPr="008E71B2">
        <w:rPr>
          <w:rFonts w:cs="Times New Roman (Body CS)"/>
          <w:b/>
          <w:color w:val="000000" w:themeColor="text1"/>
          <w:vertAlign w:val="subscript"/>
        </w:rPr>
        <w:t>w</w:t>
      </w:r>
      <w:r w:rsidR="00857061" w:rsidRPr="008E71B2">
        <w:rPr>
          <w:b/>
          <w:color w:val="000000" w:themeColor="text1"/>
        </w:rPr>
        <w:t xml:space="preserve"> to compensate for extra smo</w:t>
      </w:r>
      <w:r w:rsidR="005C38C4" w:rsidRPr="008E71B2">
        <w:rPr>
          <w:b/>
          <w:color w:val="000000" w:themeColor="text1"/>
        </w:rPr>
        <w:t>o</w:t>
      </w:r>
      <w:r w:rsidR="00857061" w:rsidRPr="008E71B2">
        <w:rPr>
          <w:b/>
          <w:color w:val="000000" w:themeColor="text1"/>
        </w:rPr>
        <w:t xml:space="preserve">thing (Eq. 59 Barnes Chapter 4) is 1.0. </w:t>
      </w:r>
      <w:r w:rsidR="0005658B">
        <w:rPr>
          <w:b/>
        </w:rPr>
        <w:t xml:space="preserve">Your answer should include: </w:t>
      </w:r>
      <w:r w:rsidR="0005658B" w:rsidRPr="00FD13D2">
        <w:rPr>
          <w:b/>
        </w:rPr>
        <w:t>1) a timeseries plot of the original data (Look at your data</w:t>
      </w:r>
      <w:r w:rsidR="0005658B" w:rsidRPr="00EA04EE">
        <w:rPr>
          <w:b/>
        </w:rPr>
        <w:t xml:space="preserve">!!), 2) a plot of the normalized power </w:t>
      </w:r>
      <w:r w:rsidR="0064035D" w:rsidRPr="00EA04EE">
        <w:rPr>
          <w:b/>
        </w:rPr>
        <w:t>vs. frequency</w:t>
      </w:r>
      <w:r w:rsidR="0005658B" w:rsidRPr="00EA04EE">
        <w:rPr>
          <w:b/>
        </w:rPr>
        <w:t xml:space="preserve"> for the fully coupled model including significance testing vs. a red-noise null hypothesis, 3) 2) a plot of the normalized power </w:t>
      </w:r>
      <w:r w:rsidR="0064035D" w:rsidRPr="00EA04EE">
        <w:rPr>
          <w:b/>
        </w:rPr>
        <w:t>vs. frequency</w:t>
      </w:r>
      <w:r w:rsidR="0005658B" w:rsidRPr="00EA04EE">
        <w:rPr>
          <w:b/>
        </w:rPr>
        <w:t xml:space="preserve"> for the slab ocean including significance testing vs. a red-noise null </w:t>
      </w:r>
      <w:r w:rsidR="0005658B" w:rsidRPr="00B66003">
        <w:rPr>
          <w:b/>
          <w:color w:val="000000" w:themeColor="text1"/>
        </w:rPr>
        <w:t xml:space="preserve">hypothesis, </w:t>
      </w:r>
      <w:r w:rsidR="0009023E" w:rsidRPr="00B66003">
        <w:rPr>
          <w:b/>
          <w:color w:val="000000" w:themeColor="text1"/>
        </w:rPr>
        <w:t xml:space="preserve">4) </w:t>
      </w:r>
      <w:r w:rsidR="0009023E" w:rsidRPr="00B66003">
        <w:rPr>
          <w:b/>
          <w:color w:val="000000" w:themeColor="text1"/>
        </w:rPr>
        <w:lastRenderedPageBreak/>
        <w:t>A discussion of your results answering the questions: Is there statistically significant power in either time series and at what frequencies? How do both the amplitude and the statistical significance of spectral peaks in the slab ocean and the fully coupled 1850 control runs differ</w:t>
      </w:r>
      <w:r w:rsidR="0009023E">
        <w:rPr>
          <w:b/>
        </w:rPr>
        <w:t xml:space="preserve">?   </w:t>
      </w:r>
      <w:r w:rsidR="0005658B">
        <w:rPr>
          <w:b/>
        </w:rPr>
        <w:t xml:space="preserve">  </w:t>
      </w:r>
      <w:r>
        <w:rPr>
          <w:b/>
        </w:rPr>
        <w:t>(30 points)</w:t>
      </w:r>
    </w:p>
    <w:p w14:paraId="6E0B60A4" w14:textId="49D3DE50" w:rsidR="00B50374" w:rsidRDefault="00B50374" w:rsidP="0050173B">
      <w:pPr>
        <w:jc w:val="both"/>
        <w:rPr>
          <w:color w:val="4472C4" w:themeColor="accent1"/>
        </w:rPr>
      </w:pPr>
    </w:p>
    <w:p w14:paraId="60049062" w14:textId="1B306D1C" w:rsidR="00B50374" w:rsidRPr="00B50374" w:rsidRDefault="00B50374" w:rsidP="0050173B">
      <w:pPr>
        <w:jc w:val="both"/>
        <w:rPr>
          <w:color w:val="4472C4" w:themeColor="accent1"/>
        </w:rPr>
      </w:pPr>
      <w:r>
        <w:rPr>
          <w:color w:val="4472C4" w:themeColor="accent1"/>
        </w:rPr>
        <w:t>The plot below shows the monthly timeseries of Nino3.4 for the first 700 years of the datasets.</w:t>
      </w:r>
      <w:r w:rsidR="00735A33">
        <w:rPr>
          <w:color w:val="4472C4" w:themeColor="accent1"/>
        </w:rPr>
        <w:t xml:space="preserve"> </w:t>
      </w:r>
      <w:r w:rsidR="007A477A">
        <w:rPr>
          <w:color w:val="4472C4" w:themeColor="accent1"/>
        </w:rPr>
        <w:t>Both timeseries</w:t>
      </w:r>
      <w:r w:rsidR="00735A33">
        <w:rPr>
          <w:color w:val="4472C4" w:themeColor="accent1"/>
        </w:rPr>
        <w:t xml:space="preserve"> are detrended since the FFT assumes stationarity of data.  However, this step is likely not required </w:t>
      </w:r>
      <w:r w:rsidR="00FE6F57">
        <w:rPr>
          <w:color w:val="4472C4" w:themeColor="accent1"/>
        </w:rPr>
        <w:t xml:space="preserve">for this application </w:t>
      </w:r>
      <w:r w:rsidR="00735A33">
        <w:rPr>
          <w:color w:val="4472C4" w:themeColor="accent1"/>
        </w:rPr>
        <w:t xml:space="preserve">as a pre-industrial 1850 control run </w:t>
      </w:r>
      <w:r w:rsidR="009F6460">
        <w:rPr>
          <w:color w:val="4472C4" w:themeColor="accent1"/>
        </w:rPr>
        <w:t>would</w:t>
      </w:r>
      <w:r w:rsidR="00F4728D">
        <w:rPr>
          <w:color w:val="4472C4" w:themeColor="accent1"/>
        </w:rPr>
        <w:t xml:space="preserve"> not</w:t>
      </w:r>
      <w:r w:rsidR="00735A33">
        <w:rPr>
          <w:color w:val="4472C4" w:themeColor="accent1"/>
        </w:rPr>
        <w:t xml:space="preserve"> incorporate global warming.  </w:t>
      </w:r>
    </w:p>
    <w:p w14:paraId="5D742E00" w14:textId="40021F4D" w:rsidR="00CA42A2" w:rsidRPr="00CA42A2" w:rsidRDefault="00CA42A2" w:rsidP="00CA42A2">
      <w:r w:rsidRPr="00CA42A2">
        <w:rPr>
          <w:noProof/>
        </w:rPr>
        <w:drawing>
          <wp:inline distT="0" distB="0" distL="0" distR="0" wp14:anchorId="4F53D08A" wp14:editId="069C94B9">
            <wp:extent cx="5765165" cy="2797175"/>
            <wp:effectExtent l="0" t="0" r="635"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165" cy="2797175"/>
                    </a:xfrm>
                    <a:prstGeom prst="rect">
                      <a:avLst/>
                    </a:prstGeom>
                    <a:noFill/>
                    <a:ln>
                      <a:noFill/>
                    </a:ln>
                  </pic:spPr>
                </pic:pic>
              </a:graphicData>
            </a:graphic>
          </wp:inline>
        </w:drawing>
      </w:r>
    </w:p>
    <w:p w14:paraId="60FA6CB6" w14:textId="033F02A5" w:rsidR="00FD13D2" w:rsidRDefault="00FD13D2" w:rsidP="00FD13D2"/>
    <w:p w14:paraId="6D452FF1" w14:textId="39C6261A" w:rsidR="006F6A9C" w:rsidRDefault="00AA79E2" w:rsidP="00C14911">
      <w:pPr>
        <w:ind w:firstLine="720"/>
        <w:rPr>
          <w:color w:val="4472C4" w:themeColor="accent1"/>
        </w:rPr>
      </w:pPr>
      <w:r>
        <w:rPr>
          <w:color w:val="4472C4" w:themeColor="accent1"/>
        </w:rPr>
        <w:t xml:space="preserve">The sample mean is subtracted from each timestamp to </w:t>
      </w:r>
      <w:r w:rsidR="0023251B">
        <w:rPr>
          <w:color w:val="4472C4" w:themeColor="accent1"/>
        </w:rPr>
        <w:t>obtain</w:t>
      </w:r>
      <w:r w:rsidR="00475E0D">
        <w:rPr>
          <w:color w:val="4472C4" w:themeColor="accent1"/>
        </w:rPr>
        <w:t xml:space="preserve"> the</w:t>
      </w:r>
      <w:r>
        <w:rPr>
          <w:color w:val="4472C4" w:themeColor="accent1"/>
        </w:rPr>
        <w:t xml:space="preserve"> temperature anomalies.  These temperature anomalies, warmer or cooler sea surface temperatures, indicate the ENSO phase.  </w:t>
      </w:r>
      <w:r w:rsidR="00757BEF">
        <w:rPr>
          <w:color w:val="4472C4" w:themeColor="accent1"/>
        </w:rPr>
        <w:t>Next, the autocorrelation of the each timeseries is calculated at a lag of 1</w:t>
      </w:r>
      <w:r w:rsidR="00631BAE">
        <w:rPr>
          <w:color w:val="4472C4" w:themeColor="accent1"/>
        </w:rPr>
        <w:t xml:space="preserve"> timestep</w:t>
      </w:r>
      <w:r w:rsidR="00757BEF">
        <w:rPr>
          <w:color w:val="4472C4" w:themeColor="accent1"/>
        </w:rPr>
        <w:t xml:space="preserve">.  </w:t>
      </w:r>
      <w:r w:rsidR="00F10274">
        <w:rPr>
          <w:color w:val="4472C4" w:themeColor="accent1"/>
        </w:rPr>
        <w:t>This step is performed</w:t>
      </w:r>
      <w:r w:rsidR="00757BEF">
        <w:rPr>
          <w:color w:val="4472C4" w:themeColor="accent1"/>
        </w:rPr>
        <w:t xml:space="preserve"> following Barnes </w:t>
      </w:r>
      <w:r w:rsidR="006F6A9C">
        <w:rPr>
          <w:color w:val="4472C4" w:themeColor="accent1"/>
        </w:rPr>
        <w:t>Chapter 2 Equation 68:</w:t>
      </w:r>
    </w:p>
    <w:p w14:paraId="5B855DBD" w14:textId="72875757" w:rsidR="004E36D9" w:rsidRDefault="006F6A9C" w:rsidP="00E92F37">
      <w:pPr>
        <w:jc w:val="center"/>
        <w:rPr>
          <w:color w:val="4472C4" w:themeColor="accent1"/>
        </w:rPr>
      </w:pPr>
      <m:oMathPara>
        <m:oMath>
          <m:r>
            <w:rPr>
              <w:rFonts w:ascii="Cambria Math" w:hAnsi="Cambria Math"/>
              <w:color w:val="4472C4" w:themeColor="accent1"/>
            </w:rPr>
            <m:t>γ</m:t>
          </m:r>
          <m:d>
            <m:dPr>
              <m:ctrlPr>
                <w:rPr>
                  <w:rFonts w:ascii="Cambria Math" w:hAnsi="Cambria Math"/>
                  <w:i/>
                  <w:color w:val="4472C4" w:themeColor="accent1"/>
                </w:rPr>
              </m:ctrlPr>
            </m:dPr>
            <m:e>
              <m:r>
                <w:rPr>
                  <w:rFonts w:ascii="Cambria Math" w:hAnsi="Cambria Math"/>
                  <w:color w:val="4472C4" w:themeColor="accent1"/>
                </w:rPr>
                <m:t>τ</m:t>
              </m:r>
            </m:e>
          </m:d>
          <m:r>
            <w:rPr>
              <w:rFonts w:ascii="Cambria Math" w:hAnsi="Cambria Math"/>
              <w:color w:val="4472C4" w:themeColor="accent1"/>
            </w:rPr>
            <m:t>=x</m:t>
          </m:r>
          <m:acc>
            <m:accPr>
              <m:chr m:val="̅"/>
              <m:ctrlPr>
                <w:rPr>
                  <w:rFonts w:ascii="Cambria Math" w:hAnsi="Cambria Math"/>
                  <w:i/>
                  <w:color w:val="4472C4" w:themeColor="accent1"/>
                </w:rPr>
              </m:ctrlPr>
            </m:accPr>
            <m:e>
              <m:r>
                <w:rPr>
                  <w:rFonts w:ascii="Cambria Math" w:hAnsi="Cambria Math"/>
                  <w:color w:val="4472C4" w:themeColor="accent1"/>
                </w:rPr>
                <m:t>'(t)x'(t+τ)</m:t>
              </m:r>
            </m:e>
          </m:acc>
        </m:oMath>
      </m:oMathPara>
    </w:p>
    <w:p w14:paraId="08873EC5" w14:textId="50E6EFE5" w:rsidR="006F6A9C" w:rsidRDefault="0012593F" w:rsidP="0012593F">
      <w:pPr>
        <w:ind w:firstLine="720"/>
        <w:rPr>
          <w:color w:val="4472C4" w:themeColor="accent1"/>
        </w:rPr>
      </w:pPr>
      <w:r>
        <w:rPr>
          <w:color w:val="4472C4" w:themeColor="accent1"/>
        </w:rPr>
        <w:t>w</w:t>
      </w:r>
      <w:r w:rsidR="006F6A9C">
        <w:rPr>
          <w:color w:val="4472C4" w:themeColor="accent1"/>
        </w:rPr>
        <w:t xml:space="preserve">here </w:t>
      </w:r>
      <m:oMath>
        <m:r>
          <w:rPr>
            <w:rFonts w:ascii="Cambria Math" w:hAnsi="Cambria Math"/>
            <w:color w:val="4472C4" w:themeColor="accent1"/>
          </w:rPr>
          <m:t>γ</m:t>
        </m:r>
        <m:d>
          <m:dPr>
            <m:ctrlPr>
              <w:rPr>
                <w:rFonts w:ascii="Cambria Math" w:hAnsi="Cambria Math"/>
                <w:i/>
                <w:color w:val="4472C4" w:themeColor="accent1"/>
              </w:rPr>
            </m:ctrlPr>
          </m:dPr>
          <m:e>
            <m:r>
              <w:rPr>
                <w:rFonts w:ascii="Cambria Math" w:hAnsi="Cambria Math"/>
                <w:color w:val="4472C4" w:themeColor="accent1"/>
              </w:rPr>
              <m:t>τ</m:t>
            </m:r>
          </m:e>
        </m:d>
      </m:oMath>
      <w:r w:rsidR="006F6A9C">
        <w:rPr>
          <w:color w:val="4472C4" w:themeColor="accent1"/>
        </w:rPr>
        <w:t xml:space="preserve"> is the autocovariance, </w:t>
      </w:r>
      <m:oMath>
        <m:r>
          <w:rPr>
            <w:rFonts w:ascii="Cambria Math" w:hAnsi="Cambria Math"/>
            <w:color w:val="4472C4" w:themeColor="accent1"/>
          </w:rPr>
          <m:t>τ</m:t>
        </m:r>
      </m:oMath>
      <w:r w:rsidR="006F6A9C">
        <w:rPr>
          <w:color w:val="4472C4" w:themeColor="accent1"/>
        </w:rPr>
        <w:t xml:space="preserve"> is the lag of 1 timestep, and prime values indicate a perturbation from the mean.  The autocovariance is normalized to the </w:t>
      </w:r>
      <w:r w:rsidR="00AC0A88">
        <w:rPr>
          <w:color w:val="4472C4" w:themeColor="accent1"/>
        </w:rPr>
        <w:t xml:space="preserve">autocovariance at a lag of 0, or the </w:t>
      </w:r>
      <w:r w:rsidR="006F6A9C">
        <w:rPr>
          <w:color w:val="4472C4" w:themeColor="accent1"/>
        </w:rPr>
        <w:t xml:space="preserve">population standard deviation </w:t>
      </w:r>
      <m:oMath>
        <m:acc>
          <m:accPr>
            <m:chr m:val="̅"/>
            <m:ctrlPr>
              <w:rPr>
                <w:rFonts w:ascii="Cambria Math" w:hAnsi="Cambria Math"/>
                <w:i/>
                <w:color w:val="4472C4" w:themeColor="accent1"/>
              </w:rPr>
            </m:ctrlPr>
          </m:accPr>
          <m:e>
            <m:sSup>
              <m:sSupPr>
                <m:ctrlPr>
                  <w:rPr>
                    <w:rFonts w:ascii="Cambria Math" w:hAnsi="Cambria Math"/>
                    <w:i/>
                    <w:color w:val="4472C4" w:themeColor="accent1"/>
                  </w:rPr>
                </m:ctrlPr>
              </m:sSupPr>
              <m:e>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t>
                    </m:r>
                  </m:sup>
                </m:sSup>
              </m:e>
              <m:sup>
                <m:r>
                  <w:rPr>
                    <w:rFonts w:ascii="Cambria Math" w:hAnsi="Cambria Math"/>
                    <w:color w:val="4472C4" w:themeColor="accent1"/>
                  </w:rPr>
                  <m:t>2</m:t>
                </m:r>
              </m:sup>
            </m:sSup>
          </m:e>
        </m:acc>
      </m:oMath>
      <w:r w:rsidR="00012103">
        <w:rPr>
          <w:color w:val="4472C4" w:themeColor="accent1"/>
        </w:rPr>
        <w:t>,</w:t>
      </w:r>
      <w:r w:rsidR="006F6A9C">
        <w:rPr>
          <w:color w:val="4472C4" w:themeColor="accent1"/>
        </w:rPr>
        <w:t xml:space="preserve"> to retrieve the autocorrelation.  </w:t>
      </w:r>
    </w:p>
    <w:p w14:paraId="468DF9FC" w14:textId="221FBFC3" w:rsidR="00C14911" w:rsidRDefault="00C14911" w:rsidP="0012593F">
      <w:pPr>
        <w:ind w:firstLine="720"/>
        <w:rPr>
          <w:color w:val="4472C4" w:themeColor="accent1"/>
        </w:rPr>
      </w:pPr>
      <w:r>
        <w:rPr>
          <w:color w:val="4472C4" w:themeColor="accent1"/>
        </w:rPr>
        <w:t xml:space="preserve">Next we calculate the e-folding time for a red noise </w:t>
      </w:r>
      <w:r w:rsidR="007C4218">
        <w:rPr>
          <w:color w:val="4472C4" w:themeColor="accent1"/>
        </w:rPr>
        <w:t>timeseries with the same autocorrelation</w:t>
      </w:r>
      <w:r w:rsidR="00E92F37">
        <w:rPr>
          <w:color w:val="4472C4" w:themeColor="accent1"/>
        </w:rPr>
        <w:t xml:space="preserve"> following Hartman Chapter 6 Equation 62:</w:t>
      </w:r>
    </w:p>
    <w:p w14:paraId="370C6B90" w14:textId="4757C5C6" w:rsidR="00E92F37" w:rsidRPr="001C4F23" w:rsidRDefault="007D6B24" w:rsidP="00E92F37">
      <w:pPr>
        <w:jc w:val="cente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e</m:t>
              </m:r>
            </m:sub>
          </m:sSub>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m:t>
              </m:r>
            </m:num>
            <m:den>
              <m:r>
                <m:rPr>
                  <m:sty m:val="p"/>
                </m:rPr>
                <w:rPr>
                  <w:rFonts w:ascii="Cambria Math" w:hAnsi="Cambria Math"/>
                  <w:color w:val="4472C4" w:themeColor="accent1"/>
                </w:rPr>
                <m:t>ln⁡</m:t>
              </m:r>
              <m:r>
                <w:rPr>
                  <w:rFonts w:ascii="Cambria Math" w:hAnsi="Cambria Math"/>
                  <w:color w:val="4472C4" w:themeColor="accent1"/>
                </w:rPr>
                <m:t>(γ(τ))</m:t>
              </m:r>
            </m:den>
          </m:f>
        </m:oMath>
      </m:oMathPara>
    </w:p>
    <w:p w14:paraId="0D4B1AD1" w14:textId="046D858E" w:rsidR="001C4F23" w:rsidRDefault="00896F36" w:rsidP="001C4F23">
      <w:pPr>
        <w:rPr>
          <w:color w:val="4472C4" w:themeColor="accent1"/>
        </w:rPr>
      </w:pPr>
      <w:r>
        <w:rPr>
          <w:color w:val="4472C4" w:themeColor="accent1"/>
        </w:rPr>
        <w:t>T</w:t>
      </w:r>
      <w:r w:rsidR="0030564D">
        <w:rPr>
          <w:color w:val="4472C4" w:themeColor="accent1"/>
        </w:rPr>
        <w:t xml:space="preserve">he </w:t>
      </w:r>
      <w:r w:rsidR="006E34DF">
        <w:rPr>
          <w:color w:val="4472C4" w:themeColor="accent1"/>
        </w:rPr>
        <w:t xml:space="preserve">autocorrelation </w:t>
      </w:r>
      <w:r w:rsidR="00812D5B">
        <w:rPr>
          <w:color w:val="4472C4" w:themeColor="accent1"/>
        </w:rPr>
        <w:t xml:space="preserve">and e-folding times </w:t>
      </w:r>
      <w:r w:rsidR="006E34DF">
        <w:rPr>
          <w:color w:val="4472C4" w:themeColor="accent1"/>
        </w:rPr>
        <w:t xml:space="preserve">of the fully coupled model </w:t>
      </w:r>
      <w:r w:rsidR="00812D5B">
        <w:rPr>
          <w:color w:val="4472C4" w:themeColor="accent1"/>
        </w:rPr>
        <w:t xml:space="preserve">and slab ocean models are </w:t>
      </w:r>
      <w:r w:rsidR="006E34DF">
        <w:rPr>
          <w:color w:val="4472C4" w:themeColor="accent1"/>
        </w:rPr>
        <w:t>0.97 and</w:t>
      </w:r>
      <w:r w:rsidR="00812D5B">
        <w:rPr>
          <w:color w:val="4472C4" w:themeColor="accent1"/>
        </w:rPr>
        <w:t xml:space="preserve"> 32 years and 0.93 and 14 years, respec</w:t>
      </w:r>
      <w:r w:rsidR="001C1829">
        <w:rPr>
          <w:color w:val="4472C4" w:themeColor="accent1"/>
        </w:rPr>
        <w:t>t</w:t>
      </w:r>
      <w:r w:rsidR="00812D5B">
        <w:rPr>
          <w:color w:val="4472C4" w:themeColor="accent1"/>
        </w:rPr>
        <w:t>ively</w:t>
      </w:r>
      <w:r w:rsidR="006E34DF">
        <w:rPr>
          <w:color w:val="4472C4" w:themeColor="accent1"/>
        </w:rPr>
        <w:t xml:space="preserve">.  </w:t>
      </w:r>
      <w:r w:rsidR="00AD20E3">
        <w:rPr>
          <w:color w:val="4472C4" w:themeColor="accent1"/>
        </w:rPr>
        <w:t xml:space="preserve">We create a power spectrum for this red noise </w:t>
      </w:r>
      <w:r w:rsidR="00662004">
        <w:rPr>
          <w:color w:val="4472C4" w:themeColor="accent1"/>
        </w:rPr>
        <w:t xml:space="preserve">for comparison </w:t>
      </w:r>
      <w:r w:rsidR="00AD20E3">
        <w:rPr>
          <w:color w:val="4472C4" w:themeColor="accent1"/>
        </w:rPr>
        <w:t>following Hartmann Chapter 6 Equation 64:</w:t>
      </w:r>
    </w:p>
    <w:p w14:paraId="218ED69D" w14:textId="35F20C16" w:rsidR="00AD20E3" w:rsidRDefault="00AD20E3" w:rsidP="00AD20E3">
      <w:pPr>
        <w:jc w:val="center"/>
        <w:rPr>
          <w:color w:val="4472C4" w:themeColor="accent1"/>
        </w:rPr>
      </w:pPr>
      <m:oMathPara>
        <m:oMath>
          <m:r>
            <m:rPr>
              <m:sty m:val="p"/>
            </m:rPr>
            <w:rPr>
              <w:rFonts w:ascii="Cambria Math" w:hAnsi="Cambria Math"/>
              <w:color w:val="4472C4" w:themeColor="accent1"/>
            </w:rPr>
            <m:t>Φ</m:t>
          </m:r>
          <m:d>
            <m:dPr>
              <m:ctrlPr>
                <w:rPr>
                  <w:rFonts w:ascii="Cambria Math" w:hAnsi="Cambria Math"/>
                  <w:i/>
                  <w:color w:val="4472C4" w:themeColor="accent1"/>
                </w:rPr>
              </m:ctrlPr>
            </m:dPr>
            <m:e>
              <m:r>
                <w:rPr>
                  <w:rFonts w:ascii="Cambria Math" w:hAnsi="Cambria Math"/>
                  <w:color w:val="4472C4" w:themeColor="accent1"/>
                </w:rPr>
                <m:t>ω</m:t>
              </m:r>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2</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e</m:t>
                  </m:r>
                </m:sub>
              </m:sSub>
            </m:num>
            <m:den>
              <m:r>
                <w:rPr>
                  <w:rFonts w:ascii="Cambria Math" w:hAnsi="Cambria Math"/>
                  <w:color w:val="4472C4" w:themeColor="accent1"/>
                </w:rPr>
                <m:t>1+</m:t>
              </m:r>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sSubSup>
                <m:sSubSupPr>
                  <m:ctrlPr>
                    <w:rPr>
                      <w:rFonts w:ascii="Cambria Math" w:hAnsi="Cambria Math"/>
                      <w:i/>
                      <w:color w:val="4472C4" w:themeColor="accent1"/>
                    </w:rPr>
                  </m:ctrlPr>
                </m:sSubSupPr>
                <m:e>
                  <m:r>
                    <w:rPr>
                      <w:rFonts w:ascii="Cambria Math" w:hAnsi="Cambria Math"/>
                      <w:color w:val="4472C4" w:themeColor="accent1"/>
                    </w:rPr>
                    <m:t>T</m:t>
                  </m:r>
                </m:e>
                <m:sub>
                  <m:r>
                    <w:rPr>
                      <w:rFonts w:ascii="Cambria Math" w:hAnsi="Cambria Math"/>
                      <w:color w:val="4472C4" w:themeColor="accent1"/>
                    </w:rPr>
                    <m:t>e</m:t>
                  </m:r>
                </m:sub>
                <m:sup>
                  <m:r>
                    <w:rPr>
                      <w:rFonts w:ascii="Cambria Math" w:hAnsi="Cambria Math"/>
                      <w:color w:val="4472C4" w:themeColor="accent1"/>
                    </w:rPr>
                    <m:t>2</m:t>
                  </m:r>
                </m:sup>
              </m:sSubSup>
            </m:den>
          </m:f>
        </m:oMath>
      </m:oMathPara>
    </w:p>
    <w:p w14:paraId="0E872CC7" w14:textId="63324AB9" w:rsidR="00E92F37" w:rsidRDefault="00E92F37" w:rsidP="00E92F37">
      <w:pPr>
        <w:rPr>
          <w:color w:val="4472C4" w:themeColor="accent1"/>
        </w:rPr>
      </w:pPr>
    </w:p>
    <w:p w14:paraId="021EC99E" w14:textId="5D82B3A8" w:rsidR="002C1971" w:rsidRDefault="002C1971" w:rsidP="00E92F37">
      <w:pPr>
        <w:rPr>
          <w:color w:val="4472C4" w:themeColor="accent1"/>
        </w:rPr>
      </w:pPr>
      <w:r>
        <w:rPr>
          <w:color w:val="4472C4" w:themeColor="accent1"/>
        </w:rPr>
        <w:t xml:space="preserve">Next, we compute the critical </w:t>
      </w:r>
      <w:r w:rsidR="0046549D">
        <w:rPr>
          <w:color w:val="4472C4" w:themeColor="accent1"/>
        </w:rPr>
        <w:t>f</w:t>
      </w:r>
      <w:r>
        <w:rPr>
          <w:color w:val="4472C4" w:themeColor="accent1"/>
        </w:rPr>
        <w:t xml:space="preserve">-score </w:t>
      </w:r>
      <w:r w:rsidR="00E94233">
        <w:rPr>
          <w:color w:val="4472C4" w:themeColor="accent1"/>
        </w:rPr>
        <w:t>from a 99% confidence level</w:t>
      </w:r>
      <w:r w:rsidR="0034475B">
        <w:rPr>
          <w:color w:val="4472C4" w:themeColor="accent1"/>
        </w:rPr>
        <w:t xml:space="preserve"> and 200 degrees of freedom.  </w:t>
      </w:r>
      <w:r w:rsidR="00C64173">
        <w:rPr>
          <w:color w:val="4472C4" w:themeColor="accent1"/>
        </w:rPr>
        <w:t xml:space="preserve">200 degrees of freedom </w:t>
      </w:r>
      <w:r w:rsidR="009B4719">
        <w:rPr>
          <w:color w:val="4472C4" w:themeColor="accent1"/>
        </w:rPr>
        <w:t xml:space="preserve">are used </w:t>
      </w:r>
      <w:r w:rsidR="00C64173">
        <w:rPr>
          <w:color w:val="4472C4" w:themeColor="accent1"/>
        </w:rPr>
        <w:t>to create high-resolution accuracy on the frequency domain.</w:t>
      </w:r>
      <w:r w:rsidR="00595420">
        <w:rPr>
          <w:color w:val="4472C4" w:themeColor="accent1"/>
        </w:rPr>
        <w:t xml:space="preserve">  </w:t>
      </w:r>
      <w:r w:rsidR="0046549D">
        <w:rPr>
          <w:color w:val="4472C4" w:themeColor="accent1"/>
        </w:rPr>
        <w:lastRenderedPageBreak/>
        <w:t xml:space="preserve">The critical f-score can be compared with the power spectra of the data to determine if peaks in power are statistically significant.  </w:t>
      </w:r>
      <w:r w:rsidR="00F5273E">
        <w:rPr>
          <w:color w:val="4472C4" w:themeColor="accent1"/>
        </w:rPr>
        <w:t>When computing the f-score, we assume a null hypothesis that the data is red noise</w:t>
      </w:r>
      <w:r w:rsidR="00321440">
        <w:rPr>
          <w:color w:val="4472C4" w:themeColor="accent1"/>
        </w:rPr>
        <w:t xml:space="preserve"> and not periodic</w:t>
      </w:r>
      <w:r w:rsidR="00F5273E">
        <w:rPr>
          <w:color w:val="4472C4" w:themeColor="accent1"/>
        </w:rPr>
        <w:t xml:space="preserve">.  </w:t>
      </w:r>
      <w:r w:rsidR="001D67BF">
        <w:rPr>
          <w:color w:val="4472C4" w:themeColor="accent1"/>
        </w:rPr>
        <w:t>This value is computed from Barnes Chapter 4 Equation 34:</w:t>
      </w:r>
    </w:p>
    <w:p w14:paraId="461F4BA3" w14:textId="501F5519" w:rsidR="001D67BF" w:rsidRPr="001D67BF" w:rsidRDefault="001D67BF" w:rsidP="001D67BF">
      <w:pPr>
        <w:jc w:val="center"/>
        <w:rPr>
          <w:color w:val="4472C4" w:themeColor="accent1"/>
        </w:rPr>
      </w:pPr>
      <m:oMathPara>
        <m:oMath>
          <m:r>
            <w:rPr>
              <w:rFonts w:ascii="Cambria Math" w:hAnsi="Cambria Math"/>
              <w:color w:val="4472C4" w:themeColor="accent1"/>
            </w:rPr>
            <m:t>f=</m:t>
          </m:r>
          <m:f>
            <m:fPr>
              <m:ctrlPr>
                <w:rPr>
                  <w:rFonts w:ascii="Cambria Math" w:hAnsi="Cambria Math"/>
                  <w:i/>
                  <w:color w:val="4472C4" w:themeColor="accent1"/>
                </w:rPr>
              </m:ctrlPr>
            </m:fPr>
            <m:num>
              <m:sSubSup>
                <m:sSubSupPr>
                  <m:ctrlPr>
                    <w:rPr>
                      <w:rFonts w:ascii="Cambria Math" w:hAnsi="Cambria Math"/>
                      <w:i/>
                      <w:color w:val="4472C4" w:themeColor="accent1"/>
                    </w:rPr>
                  </m:ctrlPr>
                </m:sSubSupPr>
                <m:e>
                  <m:r>
                    <w:rPr>
                      <w:rFonts w:ascii="Cambria Math" w:hAnsi="Cambria Math"/>
                      <w:color w:val="4472C4" w:themeColor="accent1"/>
                    </w:rPr>
                    <m:t>S</m:t>
                  </m:r>
                </m:e>
                <m:sub>
                  <m:r>
                    <w:rPr>
                      <w:rFonts w:ascii="Cambria Math" w:hAnsi="Cambria Math"/>
                      <w:color w:val="4472C4" w:themeColor="accent1"/>
                    </w:rPr>
                    <m:t>1</m:t>
                  </m:r>
                </m:sub>
                <m:sup>
                  <m:r>
                    <w:rPr>
                      <w:rFonts w:ascii="Cambria Math" w:hAnsi="Cambria Math"/>
                      <w:color w:val="4472C4" w:themeColor="accent1"/>
                    </w:rPr>
                    <m:t>2</m:t>
                  </m:r>
                </m:sup>
              </m:sSubSup>
            </m:num>
            <m:den>
              <m:sSubSup>
                <m:sSubSupPr>
                  <m:ctrlPr>
                    <w:rPr>
                      <w:rFonts w:ascii="Cambria Math" w:hAnsi="Cambria Math"/>
                      <w:i/>
                      <w:color w:val="4472C4" w:themeColor="accent1"/>
                    </w:rPr>
                  </m:ctrlPr>
                </m:sSubSupPr>
                <m:e>
                  <m:r>
                    <w:rPr>
                      <w:rFonts w:ascii="Cambria Math" w:hAnsi="Cambria Math"/>
                      <w:color w:val="4472C4" w:themeColor="accent1"/>
                    </w:rPr>
                    <m:t>S</m:t>
                  </m:r>
                </m:e>
                <m:sub>
                  <m:r>
                    <w:rPr>
                      <w:rFonts w:ascii="Cambria Math" w:hAnsi="Cambria Math"/>
                      <w:color w:val="4472C4" w:themeColor="accent1"/>
                    </w:rPr>
                    <m:t>2</m:t>
                  </m:r>
                </m:sub>
                <m:sup>
                  <m:r>
                    <w:rPr>
                      <w:rFonts w:ascii="Cambria Math" w:hAnsi="Cambria Math"/>
                      <w:color w:val="4472C4" w:themeColor="accent1"/>
                    </w:rPr>
                    <m:t>2</m:t>
                  </m:r>
                </m:sup>
              </m:sSubSup>
            </m:den>
          </m:f>
        </m:oMath>
      </m:oMathPara>
    </w:p>
    <w:p w14:paraId="5D106E28" w14:textId="39D98FF6" w:rsidR="001D67BF" w:rsidRDefault="001D67BF" w:rsidP="001D67BF">
      <w:pPr>
        <w:rPr>
          <w:color w:val="4472C4" w:themeColor="accent1"/>
        </w:rPr>
      </w:pPr>
      <w:r>
        <w:rPr>
          <w:color w:val="4472C4" w:themeColor="accent1"/>
        </w:rPr>
        <w:t xml:space="preserve">where </w:t>
      </w:r>
      <m:oMath>
        <m:sSubSup>
          <m:sSubSupPr>
            <m:ctrlPr>
              <w:rPr>
                <w:rFonts w:ascii="Cambria Math" w:hAnsi="Cambria Math"/>
                <w:i/>
                <w:color w:val="4472C4" w:themeColor="accent1"/>
              </w:rPr>
            </m:ctrlPr>
          </m:sSubSupPr>
          <m:e>
            <m:r>
              <w:rPr>
                <w:rFonts w:ascii="Cambria Math" w:hAnsi="Cambria Math"/>
                <w:color w:val="4472C4" w:themeColor="accent1"/>
              </w:rPr>
              <m:t>S</m:t>
            </m:r>
          </m:e>
          <m:sub>
            <m:r>
              <w:rPr>
                <w:rFonts w:ascii="Cambria Math" w:hAnsi="Cambria Math"/>
                <w:color w:val="4472C4" w:themeColor="accent1"/>
              </w:rPr>
              <m:t>1</m:t>
            </m:r>
          </m:sub>
          <m:sup>
            <m:r>
              <w:rPr>
                <w:rFonts w:ascii="Cambria Math" w:hAnsi="Cambria Math"/>
                <w:color w:val="4472C4" w:themeColor="accent1"/>
              </w:rPr>
              <m:t>2</m:t>
            </m:r>
          </m:sup>
        </m:sSubSup>
      </m:oMath>
      <w:r>
        <w:rPr>
          <w:color w:val="4472C4" w:themeColor="accent1"/>
        </w:rPr>
        <w:t xml:space="preserve"> and </w:t>
      </w:r>
      <m:oMath>
        <m:sSubSup>
          <m:sSubSupPr>
            <m:ctrlPr>
              <w:rPr>
                <w:rFonts w:ascii="Cambria Math" w:hAnsi="Cambria Math"/>
                <w:i/>
                <w:color w:val="4472C4" w:themeColor="accent1"/>
              </w:rPr>
            </m:ctrlPr>
          </m:sSubSupPr>
          <m:e>
            <m:r>
              <w:rPr>
                <w:rFonts w:ascii="Cambria Math" w:hAnsi="Cambria Math"/>
                <w:color w:val="4472C4" w:themeColor="accent1"/>
              </w:rPr>
              <m:t>S</m:t>
            </m:r>
          </m:e>
          <m:sub>
            <m:r>
              <w:rPr>
                <w:rFonts w:ascii="Cambria Math" w:hAnsi="Cambria Math"/>
                <w:color w:val="4472C4" w:themeColor="accent1"/>
              </w:rPr>
              <m:t>0</m:t>
            </m:r>
          </m:sub>
          <m:sup>
            <m:r>
              <w:rPr>
                <w:rFonts w:ascii="Cambria Math" w:hAnsi="Cambria Math"/>
                <w:color w:val="4472C4" w:themeColor="accent1"/>
              </w:rPr>
              <m:t>2</m:t>
            </m:r>
          </m:sup>
        </m:sSubSup>
      </m:oMath>
      <w:r>
        <w:rPr>
          <w:color w:val="4472C4" w:themeColor="accent1"/>
        </w:rPr>
        <w:t xml:space="preserve"> are the variances of the original data and the red noise fit, respectively.</w:t>
      </w:r>
      <w:r w:rsidR="00B138E4">
        <w:rPr>
          <w:color w:val="4472C4" w:themeColor="accent1"/>
        </w:rPr>
        <w:t xml:space="preserve">  In order to reject the null hypothesis, the power must exceed the citial value.  </w:t>
      </w:r>
      <w:r>
        <w:rPr>
          <w:color w:val="4472C4" w:themeColor="accent1"/>
        </w:rPr>
        <w:t xml:space="preserve">  </w:t>
      </w:r>
    </w:p>
    <w:p w14:paraId="36E5EEB1" w14:textId="77777777" w:rsidR="002C1971" w:rsidRDefault="002C1971" w:rsidP="00E92F37">
      <w:pPr>
        <w:rPr>
          <w:color w:val="4472C4" w:themeColor="accent1"/>
        </w:rPr>
      </w:pPr>
    </w:p>
    <w:p w14:paraId="6282A6C9" w14:textId="72295670" w:rsidR="00A24180" w:rsidRDefault="00A24180" w:rsidP="00555161">
      <w:pPr>
        <w:ind w:firstLine="720"/>
        <w:rPr>
          <w:color w:val="4472C4" w:themeColor="accent1"/>
        </w:rPr>
      </w:pPr>
      <w:r>
        <w:rPr>
          <w:color w:val="4472C4" w:themeColor="accent1"/>
        </w:rPr>
        <w:t xml:space="preserve">Next we </w:t>
      </w:r>
      <w:r w:rsidR="00920F4B">
        <w:rPr>
          <w:color w:val="4472C4" w:themeColor="accent1"/>
        </w:rPr>
        <w:t>compute</w:t>
      </w:r>
      <w:r>
        <w:rPr>
          <w:color w:val="4472C4" w:themeColor="accent1"/>
        </w:rPr>
        <w:t xml:space="preserve"> the power spectrum </w:t>
      </w:r>
      <w:r w:rsidR="00497FEA">
        <w:rPr>
          <w:color w:val="4472C4" w:themeColor="accent1"/>
        </w:rPr>
        <w:t>for each dataset</w:t>
      </w:r>
      <w:r w:rsidR="003164F3">
        <w:rPr>
          <w:color w:val="4472C4" w:themeColor="accent1"/>
        </w:rPr>
        <w:t xml:space="preserve"> using</w:t>
      </w:r>
      <w:r w:rsidR="0025369F">
        <w:rPr>
          <w:color w:val="4472C4" w:themeColor="accent1"/>
        </w:rPr>
        <w:t xml:space="preserve"> the Welch’s method and </w:t>
      </w:r>
      <w:r w:rsidR="00FD3DF2">
        <w:rPr>
          <w:color w:val="4472C4" w:themeColor="accent1"/>
        </w:rPr>
        <w:t>an overlapping</w:t>
      </w:r>
      <w:r w:rsidR="003164F3">
        <w:rPr>
          <w:color w:val="4472C4" w:themeColor="accent1"/>
        </w:rPr>
        <w:t xml:space="preserve"> Hanning window </w:t>
      </w:r>
      <w:r w:rsidR="0025369F">
        <w:rPr>
          <w:color w:val="4472C4" w:themeColor="accent1"/>
        </w:rPr>
        <w:t xml:space="preserve">of </w:t>
      </w:r>
      <w:r w:rsidR="00B96642">
        <w:rPr>
          <w:color w:val="4472C4" w:themeColor="accent1"/>
        </w:rPr>
        <w:t xml:space="preserve">length </w:t>
      </w:r>
      <w:r w:rsidR="0025369F">
        <w:rPr>
          <w:color w:val="4472C4" w:themeColor="accent1"/>
        </w:rPr>
        <w:t xml:space="preserve">50 years.  </w:t>
      </w:r>
      <w:r w:rsidR="00F121B4">
        <w:rPr>
          <w:color w:val="4472C4" w:themeColor="accent1"/>
        </w:rPr>
        <w:t>We calculate the degrees of freedom</w:t>
      </w:r>
      <w:r w:rsidR="00AA662B">
        <w:rPr>
          <w:color w:val="4472C4" w:themeColor="accent1"/>
        </w:rPr>
        <w:t xml:space="preserve"> from Barnes Chapter 4 Equation 59</w:t>
      </w:r>
      <w:r w:rsidR="00C64D5E">
        <w:rPr>
          <w:color w:val="4472C4" w:themeColor="accent1"/>
        </w:rPr>
        <w:t>:</w:t>
      </w:r>
    </w:p>
    <w:p w14:paraId="16D6BB4D" w14:textId="5A837B75" w:rsidR="00C64D5E" w:rsidRPr="007459EA" w:rsidRDefault="00C64D5E" w:rsidP="00C64D5E">
      <w:pPr>
        <w:jc w:val="center"/>
        <w:rPr>
          <w:color w:val="4472C4" w:themeColor="accent1"/>
        </w:rPr>
      </w:pPr>
      <m:oMathPara>
        <m:oMath>
          <m:r>
            <w:rPr>
              <w:rFonts w:ascii="Cambria Math" w:hAnsi="Cambria Math"/>
              <w:color w:val="4472C4" w:themeColor="accent1"/>
            </w:rPr>
            <m:t>DOF=</m:t>
          </m:r>
          <m:f>
            <m:fPr>
              <m:ctrlPr>
                <w:rPr>
                  <w:rFonts w:ascii="Cambria Math" w:hAnsi="Cambria Math"/>
                  <w:i/>
                  <w:color w:val="4472C4" w:themeColor="accent1"/>
                </w:rPr>
              </m:ctrlPr>
            </m:fPr>
            <m:num>
              <m:r>
                <w:rPr>
                  <w:rFonts w:ascii="Cambria Math" w:hAnsi="Cambria Math"/>
                  <w:color w:val="4472C4" w:themeColor="accent1"/>
                </w:rPr>
                <m:t>N</m:t>
              </m:r>
            </m:num>
            <m:den>
              <m:r>
                <w:rPr>
                  <w:rFonts w:ascii="Cambria Math" w:hAnsi="Cambria Math"/>
                  <w:color w:val="4472C4" w:themeColor="accent1"/>
                </w:rPr>
                <m:t>(50/2)</m:t>
              </m:r>
            </m:den>
          </m:f>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w</m:t>
              </m:r>
            </m:sub>
          </m:sSub>
        </m:oMath>
      </m:oMathPara>
    </w:p>
    <w:p w14:paraId="012419D0" w14:textId="2D62B6D8" w:rsidR="007459EA" w:rsidRDefault="007459EA" w:rsidP="007459EA">
      <w:pPr>
        <w:rPr>
          <w:color w:val="4472C4" w:themeColor="accent1"/>
        </w:rPr>
      </w:pPr>
      <w:r>
        <w:rPr>
          <w:color w:val="4472C4" w:themeColor="accent1"/>
        </w:rPr>
        <w:tab/>
        <w:t xml:space="preserve">Where </w:t>
      </w:r>
      <m:oMath>
        <m:r>
          <w:rPr>
            <w:rFonts w:ascii="Cambria Math" w:hAnsi="Cambria Math"/>
            <w:color w:val="4472C4" w:themeColor="accent1"/>
          </w:rPr>
          <m:t>N</m:t>
        </m:r>
      </m:oMath>
      <w:r>
        <w:rPr>
          <w:color w:val="4472C4" w:themeColor="accent1"/>
        </w:rPr>
        <w:t xml:space="preserve"> is the timeseries length of 700, 50 is the window length, and </w:t>
      </w:r>
      <m:oMath>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w</m:t>
            </m:r>
          </m:sub>
        </m:sSub>
      </m:oMath>
      <w:r>
        <w:rPr>
          <w:color w:val="4472C4" w:themeColor="accent1"/>
        </w:rPr>
        <w:t xml:space="preserve"> is here assumed to be 1.  </w:t>
      </w:r>
      <w:r w:rsidR="008F07EC">
        <w:rPr>
          <w:color w:val="4472C4" w:themeColor="accent1"/>
        </w:rPr>
        <w:t xml:space="preserve">This leaves a DOF of 28 for both datasets.  </w:t>
      </w:r>
      <w:r w:rsidR="005F55DD">
        <w:rPr>
          <w:color w:val="4472C4" w:themeColor="accent1"/>
        </w:rPr>
        <w:t xml:space="preserve">Finally, we calculate the power </w:t>
      </w:r>
      <w:r w:rsidR="00CF7F99">
        <w:rPr>
          <w:color w:val="4472C4" w:themeColor="accent1"/>
        </w:rPr>
        <w:t xml:space="preserve">using </w:t>
      </w:r>
      <w:r w:rsidR="003563EC">
        <w:rPr>
          <w:color w:val="4472C4" w:themeColor="accent1"/>
        </w:rPr>
        <w:t xml:space="preserve">a </w:t>
      </w:r>
      <w:r w:rsidR="00CF7F99">
        <w:rPr>
          <w:color w:val="4472C4" w:themeColor="accent1"/>
        </w:rPr>
        <w:t xml:space="preserve">built in function </w:t>
      </w:r>
      <w:r w:rsidR="005F55DD">
        <w:rPr>
          <w:color w:val="4472C4" w:themeColor="accent1"/>
        </w:rPr>
        <w:t xml:space="preserve">at each frequency </w:t>
      </w:r>
      <w:r w:rsidR="004B2BFC">
        <w:rPr>
          <w:color w:val="4472C4" w:themeColor="accent1"/>
        </w:rPr>
        <w:t>which respresents</w:t>
      </w:r>
      <w:r w:rsidR="0019231F">
        <w:rPr>
          <w:color w:val="4472C4" w:themeColor="accent1"/>
        </w:rPr>
        <w:t xml:space="preserve"> Barnes Chapter  </w:t>
      </w:r>
      <w:r w:rsidR="00695213">
        <w:rPr>
          <w:color w:val="4472C4" w:themeColor="accent1"/>
        </w:rPr>
        <w:t xml:space="preserve">4 </w:t>
      </w:r>
      <w:r w:rsidR="0019231F">
        <w:rPr>
          <w:color w:val="4472C4" w:themeColor="accent1"/>
        </w:rPr>
        <w:t xml:space="preserve">Equation </w:t>
      </w:r>
      <w:r w:rsidR="002910C1">
        <w:rPr>
          <w:color w:val="4472C4" w:themeColor="accent1"/>
        </w:rPr>
        <w:t>42</w:t>
      </w:r>
      <w:r w:rsidR="005F55DD">
        <w:rPr>
          <w:color w:val="4472C4" w:themeColor="accent1"/>
        </w:rPr>
        <w:t>:</w:t>
      </w:r>
    </w:p>
    <w:p w14:paraId="3838B74F" w14:textId="23B1FBFD" w:rsidR="00CF7F99" w:rsidRPr="00CF7F99" w:rsidRDefault="002910C1" w:rsidP="00CF7F99">
      <w:pPr>
        <w:jc w:val="center"/>
        <w:rPr>
          <w:color w:val="4472C4" w:themeColor="accent1"/>
        </w:rPr>
      </w:pPr>
      <m:oMathPara>
        <m:oMath>
          <m:r>
            <w:rPr>
              <w:rFonts w:ascii="Cambria Math" w:hAnsi="Cambria Math"/>
              <w:color w:val="4472C4" w:themeColor="accent1"/>
            </w:rPr>
            <m:t>F</m:t>
          </m:r>
          <m:d>
            <m:dPr>
              <m:ctrlPr>
                <w:rPr>
                  <w:rFonts w:ascii="Cambria Math" w:hAnsi="Cambria Math"/>
                  <w:i/>
                  <w:color w:val="4472C4" w:themeColor="accent1"/>
                </w:rPr>
              </m:ctrlPr>
            </m:dPr>
            <m:e>
              <m:r>
                <w:rPr>
                  <w:rFonts w:ascii="Cambria Math" w:hAnsi="Cambria Math"/>
                  <w:color w:val="4472C4" w:themeColor="accent1"/>
                </w:rPr>
                <m:t>ω</m:t>
              </m:r>
            </m:e>
          </m:d>
          <m:r>
            <w:rPr>
              <w:rFonts w:ascii="Cambria Math" w:hAnsi="Cambria Math"/>
              <w:color w:val="4472C4" w:themeColor="accent1"/>
            </w:rPr>
            <m:t>=</m:t>
          </m:r>
          <m:nary>
            <m:naryPr>
              <m:limLoc m:val="undOvr"/>
              <m:ctrlPr>
                <w:rPr>
                  <w:rFonts w:ascii="Cambria Math" w:hAnsi="Cambria Math"/>
                  <w:i/>
                  <w:color w:val="4472C4" w:themeColor="accent1"/>
                </w:rPr>
              </m:ctrlPr>
            </m:naryPr>
            <m:sub>
              <m:r>
                <w:rPr>
                  <w:rFonts w:ascii="Cambria Math" w:hAnsi="Cambria Math"/>
                  <w:color w:val="4472C4" w:themeColor="accent1"/>
                </w:rPr>
                <m:t>-∞</m:t>
              </m:r>
            </m:sub>
            <m:sup>
              <m:r>
                <w:rPr>
                  <w:rFonts w:ascii="Cambria Math" w:hAnsi="Cambria Math"/>
                  <w:color w:val="4472C4" w:themeColor="accent1"/>
                </w:rPr>
                <m:t>∞</m:t>
              </m:r>
            </m:sup>
            <m:e>
              <m:r>
                <w:rPr>
                  <w:rFonts w:ascii="Cambria Math" w:hAnsi="Cambria Math"/>
                  <w:color w:val="4472C4" w:themeColor="accent1"/>
                </w:rPr>
                <m:t>f</m:t>
              </m:r>
              <m:d>
                <m:dPr>
                  <m:ctrlPr>
                    <w:rPr>
                      <w:rFonts w:ascii="Cambria Math" w:hAnsi="Cambria Math"/>
                      <w:i/>
                      <w:color w:val="4472C4" w:themeColor="accent1"/>
                    </w:rPr>
                  </m:ctrlPr>
                </m:dPr>
                <m:e>
                  <m:r>
                    <w:rPr>
                      <w:rFonts w:ascii="Cambria Math" w:hAnsi="Cambria Math"/>
                      <w:color w:val="4472C4" w:themeColor="accent1"/>
                    </w:rPr>
                    <m:t>t</m:t>
                  </m:r>
                </m:e>
              </m:d>
              <m:sSup>
                <m:sSupPr>
                  <m:ctrlPr>
                    <w:rPr>
                      <w:rFonts w:ascii="Cambria Math" w:hAnsi="Cambria Math"/>
                      <w:i/>
                      <w:color w:val="4472C4" w:themeColor="accent1"/>
                    </w:rPr>
                  </m:ctrlPr>
                </m:sSupPr>
                <m:e>
                  <m:r>
                    <w:rPr>
                      <w:rFonts w:ascii="Cambria Math" w:hAnsi="Cambria Math"/>
                      <w:color w:val="4472C4" w:themeColor="accent1"/>
                    </w:rPr>
                    <m:t>e</m:t>
                  </m:r>
                </m:e>
                <m:sup>
                  <m:r>
                    <w:rPr>
                      <w:rFonts w:ascii="Cambria Math" w:hAnsi="Cambria Math"/>
                      <w:color w:val="4472C4" w:themeColor="accent1"/>
                    </w:rPr>
                    <m:t>-iωt</m:t>
                  </m:r>
                </m:sup>
              </m:sSup>
              <m:r>
                <w:rPr>
                  <w:rFonts w:ascii="Cambria Math" w:hAnsi="Cambria Math"/>
                  <w:color w:val="4472C4" w:themeColor="accent1"/>
                </w:rPr>
                <m:t>dω</m:t>
              </m:r>
            </m:e>
          </m:nary>
        </m:oMath>
      </m:oMathPara>
    </w:p>
    <w:p w14:paraId="514B1DCA" w14:textId="77777777" w:rsidR="00070A02" w:rsidRDefault="00070A02" w:rsidP="00DF06A9">
      <w:pPr>
        <w:rPr>
          <w:b/>
          <w:bCs/>
          <w:color w:val="FF0000"/>
        </w:rPr>
      </w:pPr>
    </w:p>
    <w:p w14:paraId="70588522" w14:textId="228FA73D" w:rsidR="00DF06A9" w:rsidRPr="00DF06A9" w:rsidRDefault="00DF06A9" w:rsidP="00DF06A9"/>
    <w:p w14:paraId="54377311" w14:textId="4190D9FB" w:rsidR="00377643" w:rsidRPr="00377643" w:rsidRDefault="00377643" w:rsidP="00377643"/>
    <w:p w14:paraId="62B20F10" w14:textId="526D4571" w:rsidR="00DF06A9" w:rsidRPr="00DF06A9" w:rsidRDefault="00E751B4" w:rsidP="00DF06A9">
      <w:r>
        <w:rPr>
          <w:noProof/>
        </w:rPr>
        <w:drawing>
          <wp:inline distT="0" distB="0" distL="0" distR="0" wp14:anchorId="7871C999" wp14:editId="56F89DCF">
            <wp:extent cx="5943600" cy="204787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r>
        <w:rPr>
          <w:noProof/>
        </w:rPr>
        <w:drawing>
          <wp:inline distT="0" distB="0" distL="0" distR="0" wp14:anchorId="450DF1A4" wp14:editId="123C2B95">
            <wp:extent cx="5943600" cy="2046605"/>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p>
    <w:p w14:paraId="7257201F" w14:textId="5983047B" w:rsidR="00377643" w:rsidRPr="00377643" w:rsidRDefault="00377643" w:rsidP="00377643"/>
    <w:p w14:paraId="289DE134" w14:textId="750722D2" w:rsidR="00246678" w:rsidRPr="00246678" w:rsidRDefault="00246678" w:rsidP="00246678"/>
    <w:p w14:paraId="63D0DB0A" w14:textId="549B5EE7" w:rsidR="00514E5E" w:rsidRPr="00514E5E" w:rsidRDefault="00514E5E" w:rsidP="00514E5E"/>
    <w:p w14:paraId="28994D71" w14:textId="7752DF52" w:rsidR="00E91F94" w:rsidRDefault="00EA6BBD" w:rsidP="0050173B">
      <w:pPr>
        <w:jc w:val="both"/>
        <w:rPr>
          <w:color w:val="4472C4" w:themeColor="accent1"/>
        </w:rPr>
      </w:pPr>
      <w:r>
        <w:rPr>
          <w:color w:val="4472C4" w:themeColor="accent1"/>
        </w:rPr>
        <w:t>When using the coupled model</w:t>
      </w:r>
      <w:r w:rsidR="006500DC" w:rsidRPr="00D66FE7">
        <w:rPr>
          <w:color w:val="4472C4" w:themeColor="accent1"/>
        </w:rPr>
        <w:t xml:space="preserve">, we find statistically significant </w:t>
      </w:r>
      <w:r w:rsidR="005B5443" w:rsidRPr="00D66FE7">
        <w:rPr>
          <w:color w:val="4472C4" w:themeColor="accent1"/>
        </w:rPr>
        <w:t xml:space="preserve">power </w:t>
      </w:r>
      <w:r w:rsidR="00922AFA" w:rsidRPr="00D66FE7">
        <w:rPr>
          <w:color w:val="4472C4" w:themeColor="accent1"/>
        </w:rPr>
        <w:t>at frequenc</w:t>
      </w:r>
      <w:r w:rsidR="00114428">
        <w:rPr>
          <w:color w:val="4472C4" w:themeColor="accent1"/>
        </w:rPr>
        <w:t>ies</w:t>
      </w:r>
      <w:r w:rsidR="00922AFA" w:rsidRPr="00D66FE7">
        <w:rPr>
          <w:color w:val="4472C4" w:themeColor="accent1"/>
        </w:rPr>
        <w:t xml:space="preserve"> greater than 0.0</w:t>
      </w:r>
      <w:r w:rsidR="00114428">
        <w:rPr>
          <w:color w:val="4472C4" w:themeColor="accent1"/>
        </w:rPr>
        <w:t>1</w:t>
      </w:r>
      <w:r w:rsidR="001F6377">
        <w:rPr>
          <w:color w:val="4472C4" w:themeColor="accent1"/>
        </w:rPr>
        <w:t>3</w:t>
      </w:r>
      <w:r w:rsidR="00007407" w:rsidRPr="00D66FE7">
        <w:rPr>
          <w:color w:val="4472C4" w:themeColor="accent1"/>
        </w:rPr>
        <w:t xml:space="preserve"> </w:t>
      </w:r>
      <w:r w:rsidR="006A54F6">
        <w:rPr>
          <w:color w:val="4472C4" w:themeColor="accent1"/>
        </w:rPr>
        <w:t>month</w:t>
      </w:r>
      <w:r w:rsidR="005F1E3F">
        <w:rPr>
          <w:color w:val="4472C4" w:themeColor="accent1"/>
          <w:vertAlign w:val="superscript"/>
        </w:rPr>
        <w:t>-1</w:t>
      </w:r>
      <w:r w:rsidR="00922AFA" w:rsidRPr="00D66FE7">
        <w:rPr>
          <w:color w:val="4472C4" w:themeColor="accent1"/>
        </w:rPr>
        <w:t xml:space="preserve">. </w:t>
      </w:r>
      <w:r w:rsidR="009B0564" w:rsidRPr="00D66FE7">
        <w:rPr>
          <w:color w:val="4472C4" w:themeColor="accent1"/>
        </w:rPr>
        <w:t xml:space="preserve"> </w:t>
      </w:r>
      <w:r w:rsidR="006010C8" w:rsidRPr="00D66FE7">
        <w:rPr>
          <w:color w:val="4472C4" w:themeColor="accent1"/>
        </w:rPr>
        <w:t>The greatest power, though, is found at the frequency of 0.0</w:t>
      </w:r>
      <w:r w:rsidR="00B42876">
        <w:rPr>
          <w:color w:val="4472C4" w:themeColor="accent1"/>
        </w:rPr>
        <w:t>16</w:t>
      </w:r>
      <w:r w:rsidR="006010C8" w:rsidRPr="00D66FE7">
        <w:rPr>
          <w:color w:val="4472C4" w:themeColor="accent1"/>
        </w:rPr>
        <w:t xml:space="preserve"> </w:t>
      </w:r>
      <w:r w:rsidR="00097365">
        <w:rPr>
          <w:color w:val="4472C4" w:themeColor="accent1"/>
        </w:rPr>
        <w:t>month</w:t>
      </w:r>
      <w:r w:rsidR="00097365">
        <w:rPr>
          <w:color w:val="4472C4" w:themeColor="accent1"/>
          <w:vertAlign w:val="superscript"/>
        </w:rPr>
        <w:t>-1</w:t>
      </w:r>
      <w:r w:rsidR="006010C8" w:rsidRPr="00D66FE7">
        <w:rPr>
          <w:color w:val="4472C4" w:themeColor="accent1"/>
        </w:rPr>
        <w:t>.</w:t>
      </w:r>
      <w:r w:rsidR="00C70B46" w:rsidRPr="00D66FE7">
        <w:rPr>
          <w:color w:val="4472C4" w:themeColor="accent1"/>
        </w:rPr>
        <w:t xml:space="preserve">  </w:t>
      </w:r>
      <w:r w:rsidR="00D2733F">
        <w:rPr>
          <w:color w:val="4472C4" w:themeColor="accent1"/>
        </w:rPr>
        <w:t>When using the slab ocean model, t</w:t>
      </w:r>
      <w:r w:rsidR="00B17188">
        <w:rPr>
          <w:color w:val="4472C4" w:themeColor="accent1"/>
        </w:rPr>
        <w:t>he frequencies of statistically significant power range from 0.041 to 0.043 month</w:t>
      </w:r>
      <w:r w:rsidR="00B17188">
        <w:rPr>
          <w:color w:val="4472C4" w:themeColor="accent1"/>
          <w:vertAlign w:val="superscript"/>
        </w:rPr>
        <w:t>-1</w:t>
      </w:r>
      <w:r w:rsidR="00B17188">
        <w:rPr>
          <w:color w:val="4472C4" w:themeColor="accent1"/>
        </w:rPr>
        <w:t xml:space="preserve">.  </w:t>
      </w:r>
      <w:r w:rsidR="00AF3041" w:rsidRPr="00D66FE7">
        <w:rPr>
          <w:color w:val="4472C4" w:themeColor="accent1"/>
        </w:rPr>
        <w:t xml:space="preserve">The </w:t>
      </w:r>
      <w:r w:rsidR="00E6171F">
        <w:rPr>
          <w:color w:val="4472C4" w:themeColor="accent1"/>
        </w:rPr>
        <w:t>greatest power is found at a frequency of 0.0016 month</w:t>
      </w:r>
      <w:r w:rsidR="00E6171F">
        <w:rPr>
          <w:color w:val="4472C4" w:themeColor="accent1"/>
          <w:vertAlign w:val="superscript"/>
        </w:rPr>
        <w:t>-1</w:t>
      </w:r>
      <w:r w:rsidR="002F32FA" w:rsidRPr="00D66FE7">
        <w:rPr>
          <w:color w:val="4472C4" w:themeColor="accent1"/>
        </w:rPr>
        <w:t xml:space="preserve">.  </w:t>
      </w:r>
    </w:p>
    <w:p w14:paraId="703E86EA" w14:textId="07133E4B" w:rsidR="005065A6" w:rsidRPr="00FA4A92" w:rsidRDefault="00AF2698" w:rsidP="0050173B">
      <w:pPr>
        <w:jc w:val="both"/>
        <w:rPr>
          <w:color w:val="4472C4" w:themeColor="accent1"/>
        </w:rPr>
      </w:pPr>
      <w:r>
        <w:rPr>
          <w:color w:val="4472C4" w:themeColor="accent1"/>
        </w:rPr>
        <w:t>The amplitude of maximum power in the coupled model is</w:t>
      </w:r>
      <w:r w:rsidR="00FA4A92">
        <w:rPr>
          <w:color w:val="4472C4" w:themeColor="accent1"/>
        </w:rPr>
        <w:t xml:space="preserve"> 0.1 while the maximum amplitude in the slab ocean model is 0.096.  So, the maximum amplitudes are roughly the same </w:t>
      </w:r>
      <w:r w:rsidR="00D44FD0">
        <w:rPr>
          <w:color w:val="4472C4" w:themeColor="accent1"/>
        </w:rPr>
        <w:t>although smaller for the slab ocean model</w:t>
      </w:r>
      <w:r w:rsidR="00FA4A92">
        <w:rPr>
          <w:color w:val="4472C4" w:themeColor="accent1"/>
        </w:rPr>
        <w:t xml:space="preserve">.  </w:t>
      </w:r>
      <w:r w:rsidR="00947792">
        <w:rPr>
          <w:color w:val="4472C4" w:themeColor="accent1"/>
        </w:rPr>
        <w:t>T</w:t>
      </w:r>
      <w:r w:rsidR="0027245B" w:rsidRPr="00D66FE7">
        <w:rPr>
          <w:color w:val="4472C4" w:themeColor="accent1"/>
        </w:rPr>
        <w:t xml:space="preserve">he confidence interval is </w:t>
      </w:r>
      <w:r w:rsidR="00304D99">
        <w:rPr>
          <w:color w:val="4472C4" w:themeColor="accent1"/>
        </w:rPr>
        <w:t>higher</w:t>
      </w:r>
      <w:r w:rsidR="0027245B" w:rsidRPr="00D66FE7">
        <w:rPr>
          <w:color w:val="4472C4" w:themeColor="accent1"/>
        </w:rPr>
        <w:t xml:space="preserve"> for the coupled model than for the slab ocean model, </w:t>
      </w:r>
      <w:r w:rsidR="00AE1B15">
        <w:rPr>
          <w:color w:val="4472C4" w:themeColor="accent1"/>
        </w:rPr>
        <w:t>reach</w:t>
      </w:r>
      <w:r w:rsidR="004F4D26">
        <w:rPr>
          <w:color w:val="4472C4" w:themeColor="accent1"/>
        </w:rPr>
        <w:t xml:space="preserve">ing </w:t>
      </w:r>
      <w:r w:rsidR="00AE1B15">
        <w:rPr>
          <w:color w:val="4472C4" w:themeColor="accent1"/>
        </w:rPr>
        <w:t>a maximum of</w:t>
      </w:r>
      <w:r w:rsidR="0027245B" w:rsidRPr="00D66FE7">
        <w:rPr>
          <w:color w:val="4472C4" w:themeColor="accent1"/>
        </w:rPr>
        <w:t xml:space="preserve"> 0.</w:t>
      </w:r>
      <w:r w:rsidR="00AE1B15">
        <w:rPr>
          <w:color w:val="4472C4" w:themeColor="accent1"/>
        </w:rPr>
        <w:t>35</w:t>
      </w:r>
      <w:r w:rsidR="0027245B" w:rsidRPr="00D66FE7">
        <w:rPr>
          <w:color w:val="4472C4" w:themeColor="accent1"/>
        </w:rPr>
        <w:t xml:space="preserve"> </w:t>
      </w:r>
      <w:r w:rsidR="00D61503">
        <w:rPr>
          <w:color w:val="4472C4" w:themeColor="accent1"/>
        </w:rPr>
        <w:t>as opposed to</w:t>
      </w:r>
      <w:r w:rsidR="0027245B" w:rsidRPr="00D66FE7">
        <w:rPr>
          <w:color w:val="4472C4" w:themeColor="accent1"/>
        </w:rPr>
        <w:t xml:space="preserve"> 0.</w:t>
      </w:r>
      <w:r w:rsidR="002415A8">
        <w:rPr>
          <w:color w:val="4472C4" w:themeColor="accent1"/>
        </w:rPr>
        <w:t>18</w:t>
      </w:r>
      <w:r w:rsidR="008D4EE6">
        <w:rPr>
          <w:color w:val="4472C4" w:themeColor="accent1"/>
        </w:rPr>
        <w:t>.</w:t>
      </w:r>
      <w:r w:rsidR="00316E92">
        <w:rPr>
          <w:color w:val="4472C4" w:themeColor="accent1"/>
        </w:rPr>
        <w:t xml:space="preserve">  </w:t>
      </w:r>
    </w:p>
    <w:p w14:paraId="6E3CD316" w14:textId="7D7014A8" w:rsidR="00FD13D2" w:rsidRDefault="00FD13D2" w:rsidP="0050173B">
      <w:pPr>
        <w:jc w:val="both"/>
        <w:rPr>
          <w:b/>
        </w:rPr>
      </w:pPr>
    </w:p>
    <w:p w14:paraId="1641A5E2" w14:textId="02A3A935" w:rsidR="0050173B" w:rsidRDefault="0050173B" w:rsidP="00B1662C">
      <w:pPr>
        <w:jc w:val="both"/>
        <w:rPr>
          <w:b/>
        </w:rPr>
      </w:pPr>
      <w:r>
        <w:rPr>
          <w:b/>
        </w:rPr>
        <w:t xml:space="preserve">b) Redo the analysis in a) for the first 100 years only.  </w:t>
      </w:r>
      <w:r w:rsidR="001D194B">
        <w:rPr>
          <w:b/>
        </w:rPr>
        <w:t xml:space="preserve">Provide the same plots and answer the same questions as a).  Then assess - </w:t>
      </w:r>
      <w:r>
        <w:rPr>
          <w:b/>
        </w:rPr>
        <w:t xml:space="preserve"> </w:t>
      </w:r>
      <w:r w:rsidR="001D194B" w:rsidRPr="00383A42">
        <w:rPr>
          <w:b/>
          <w:i/>
          <w:iCs/>
        </w:rPr>
        <w:t>How do your results differ?</w:t>
      </w:r>
      <w:r w:rsidR="001D194B">
        <w:rPr>
          <w:b/>
        </w:rPr>
        <w:t xml:space="preserve">  </w:t>
      </w:r>
      <w:r>
        <w:rPr>
          <w:b/>
        </w:rPr>
        <w:t>(10 points)</w:t>
      </w:r>
    </w:p>
    <w:p w14:paraId="12C4EE78" w14:textId="1A3E0140" w:rsidR="00DD3CD7" w:rsidRPr="00DD3CD7" w:rsidRDefault="00DD3CD7" w:rsidP="00DD3CD7">
      <w:r w:rsidRPr="00DD3CD7">
        <w:rPr>
          <w:noProof/>
        </w:rPr>
        <w:drawing>
          <wp:inline distT="0" distB="0" distL="0" distR="0" wp14:anchorId="42640948" wp14:editId="181289D2">
            <wp:extent cx="5768340" cy="2839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2839085"/>
                    </a:xfrm>
                    <a:prstGeom prst="rect">
                      <a:avLst/>
                    </a:prstGeom>
                    <a:noFill/>
                    <a:ln>
                      <a:noFill/>
                    </a:ln>
                  </pic:spPr>
                </pic:pic>
              </a:graphicData>
            </a:graphic>
          </wp:inline>
        </w:drawing>
      </w:r>
    </w:p>
    <w:p w14:paraId="5B9EF93E" w14:textId="5327A57A" w:rsidR="00B1662C" w:rsidRPr="00B1662C" w:rsidRDefault="00B1662C" w:rsidP="00B1662C"/>
    <w:p w14:paraId="25A0FCF9" w14:textId="432C22B2" w:rsidR="00DD3CD7" w:rsidRPr="00DD3CD7" w:rsidRDefault="00DD3CD7" w:rsidP="00DD3CD7">
      <w:r w:rsidRPr="00DD3CD7">
        <w:rPr>
          <w:b/>
          <w:noProof/>
        </w:rPr>
        <w:drawing>
          <wp:inline distT="0" distB="0" distL="0" distR="0" wp14:anchorId="121E0B37" wp14:editId="2D842FD7">
            <wp:extent cx="5351145" cy="1845945"/>
            <wp:effectExtent l="0" t="0" r="0" b="0"/>
            <wp:docPr id="11" name="Picture 1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145" cy="1845945"/>
                    </a:xfrm>
                    <a:prstGeom prst="rect">
                      <a:avLst/>
                    </a:prstGeom>
                    <a:noFill/>
                    <a:ln>
                      <a:noFill/>
                    </a:ln>
                  </pic:spPr>
                </pic:pic>
              </a:graphicData>
            </a:graphic>
          </wp:inline>
        </w:drawing>
      </w:r>
    </w:p>
    <w:p w14:paraId="376D0343" w14:textId="57C2C46C" w:rsidR="00F47A25" w:rsidRDefault="00F47A25" w:rsidP="0050173B">
      <w:pPr>
        <w:jc w:val="both"/>
        <w:rPr>
          <w:b/>
        </w:rPr>
      </w:pPr>
    </w:p>
    <w:p w14:paraId="7FF3CA75" w14:textId="3424FEBA" w:rsidR="00DD3CD7" w:rsidRPr="00DD3CD7" w:rsidRDefault="00DD3CD7" w:rsidP="00DD3CD7">
      <w:r w:rsidRPr="00DD3CD7">
        <w:rPr>
          <w:b/>
          <w:noProof/>
        </w:rPr>
        <w:lastRenderedPageBreak/>
        <w:drawing>
          <wp:inline distT="0" distB="0" distL="0" distR="0" wp14:anchorId="43827C9F" wp14:editId="57DF7F57">
            <wp:extent cx="5351145" cy="1845945"/>
            <wp:effectExtent l="0" t="0" r="0" b="0"/>
            <wp:docPr id="13" name="Picture 13"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captur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1145" cy="1845945"/>
                    </a:xfrm>
                    <a:prstGeom prst="rect">
                      <a:avLst/>
                    </a:prstGeom>
                    <a:noFill/>
                    <a:ln>
                      <a:noFill/>
                    </a:ln>
                  </pic:spPr>
                </pic:pic>
              </a:graphicData>
            </a:graphic>
          </wp:inline>
        </w:drawing>
      </w:r>
    </w:p>
    <w:p w14:paraId="4EE5EC9E" w14:textId="04321BE1" w:rsidR="00D323B1" w:rsidRDefault="00D323B1" w:rsidP="0050173B">
      <w:pPr>
        <w:jc w:val="both"/>
        <w:rPr>
          <w:b/>
        </w:rPr>
      </w:pPr>
    </w:p>
    <w:p w14:paraId="3ABEF476" w14:textId="77777777" w:rsidR="00201642" w:rsidRDefault="00201642" w:rsidP="0050173B">
      <w:pPr>
        <w:jc w:val="both"/>
        <w:rPr>
          <w:color w:val="4472C4" w:themeColor="accent1"/>
        </w:rPr>
      </w:pPr>
    </w:p>
    <w:p w14:paraId="228FC9AF" w14:textId="250BB11C" w:rsidR="00201642" w:rsidRDefault="00201642" w:rsidP="00201642">
      <w:pPr>
        <w:jc w:val="both"/>
        <w:rPr>
          <w:color w:val="4472C4" w:themeColor="accent1"/>
        </w:rPr>
      </w:pPr>
      <w:r>
        <w:rPr>
          <w:color w:val="4472C4" w:themeColor="accent1"/>
        </w:rPr>
        <w:t>When using the coupled model</w:t>
      </w:r>
      <w:r w:rsidRPr="00D66FE7">
        <w:rPr>
          <w:color w:val="4472C4" w:themeColor="accent1"/>
        </w:rPr>
        <w:t>, we find statistically significant power at</w:t>
      </w:r>
      <w:r>
        <w:rPr>
          <w:color w:val="4472C4" w:themeColor="accent1"/>
        </w:rPr>
        <w:t xml:space="preserve"> </w:t>
      </w:r>
      <w:r w:rsidRPr="00D66FE7">
        <w:rPr>
          <w:color w:val="4472C4" w:themeColor="accent1"/>
        </w:rPr>
        <w:t>frequenc</w:t>
      </w:r>
      <w:r>
        <w:rPr>
          <w:color w:val="4472C4" w:themeColor="accent1"/>
        </w:rPr>
        <w:t>ies</w:t>
      </w:r>
      <w:r w:rsidRPr="00D66FE7">
        <w:rPr>
          <w:color w:val="4472C4" w:themeColor="accent1"/>
        </w:rPr>
        <w:t xml:space="preserve"> </w:t>
      </w:r>
      <w:r w:rsidR="00B5048D">
        <w:rPr>
          <w:color w:val="4472C4" w:themeColor="accent1"/>
        </w:rPr>
        <w:t xml:space="preserve">from 0.016 to 0.033 </w:t>
      </w:r>
      <w:r>
        <w:rPr>
          <w:color w:val="4472C4" w:themeColor="accent1"/>
        </w:rPr>
        <w:t>month</w:t>
      </w:r>
      <w:r>
        <w:rPr>
          <w:color w:val="4472C4" w:themeColor="accent1"/>
          <w:vertAlign w:val="superscript"/>
        </w:rPr>
        <w:t>-1</w:t>
      </w:r>
      <w:r w:rsidR="003D087F">
        <w:rPr>
          <w:color w:val="4472C4" w:themeColor="accent1"/>
        </w:rPr>
        <w:t xml:space="preserve"> and </w:t>
      </w:r>
      <w:r w:rsidR="006611F6">
        <w:rPr>
          <w:color w:val="4472C4" w:themeColor="accent1"/>
        </w:rPr>
        <w:t xml:space="preserve">those </w:t>
      </w:r>
      <w:r w:rsidR="003D087F">
        <w:rPr>
          <w:color w:val="4472C4" w:themeColor="accent1"/>
        </w:rPr>
        <w:t>greater than 0.05 month</w:t>
      </w:r>
      <w:r w:rsidR="003D087F">
        <w:rPr>
          <w:color w:val="4472C4" w:themeColor="accent1"/>
          <w:vertAlign w:val="superscript"/>
        </w:rPr>
        <w:t>-1</w:t>
      </w:r>
      <w:r w:rsidR="003D087F">
        <w:rPr>
          <w:color w:val="4472C4" w:themeColor="accent1"/>
        </w:rPr>
        <w:t>.</w:t>
      </w:r>
      <w:r w:rsidRPr="00D66FE7">
        <w:rPr>
          <w:color w:val="4472C4" w:themeColor="accent1"/>
        </w:rPr>
        <w:t xml:space="preserve">  The </w:t>
      </w:r>
      <w:r w:rsidR="00E42F71">
        <w:rPr>
          <w:color w:val="4472C4" w:themeColor="accent1"/>
        </w:rPr>
        <w:t>largest</w:t>
      </w:r>
      <w:r w:rsidRPr="00D66FE7">
        <w:rPr>
          <w:color w:val="4472C4" w:themeColor="accent1"/>
        </w:rPr>
        <w:t xml:space="preserve"> power is found at the frequency of </w:t>
      </w:r>
      <w:r w:rsidR="00716FCA">
        <w:rPr>
          <w:color w:val="4472C4" w:themeColor="accent1"/>
        </w:rPr>
        <w:t>0.016</w:t>
      </w:r>
      <w:r w:rsidRPr="00D66FE7">
        <w:rPr>
          <w:color w:val="4472C4" w:themeColor="accent1"/>
        </w:rPr>
        <w:t xml:space="preserve"> </w:t>
      </w:r>
      <w:r>
        <w:rPr>
          <w:color w:val="4472C4" w:themeColor="accent1"/>
        </w:rPr>
        <w:t>month</w:t>
      </w:r>
      <w:r>
        <w:rPr>
          <w:color w:val="4472C4" w:themeColor="accent1"/>
          <w:vertAlign w:val="superscript"/>
        </w:rPr>
        <w:t>-1</w:t>
      </w:r>
      <w:r w:rsidRPr="00D66FE7">
        <w:rPr>
          <w:color w:val="4472C4" w:themeColor="accent1"/>
        </w:rPr>
        <w:t xml:space="preserve">.  </w:t>
      </w:r>
      <w:r>
        <w:rPr>
          <w:color w:val="4472C4" w:themeColor="accent1"/>
        </w:rPr>
        <w:t xml:space="preserve">When using the slab ocean model, the </w:t>
      </w:r>
      <w:r w:rsidR="00DE1C8F">
        <w:rPr>
          <w:color w:val="4472C4" w:themeColor="accent1"/>
        </w:rPr>
        <w:t>one statistically significant frequency</w:t>
      </w:r>
      <w:r>
        <w:rPr>
          <w:color w:val="4472C4" w:themeColor="accent1"/>
        </w:rPr>
        <w:t xml:space="preserve"> </w:t>
      </w:r>
      <w:r w:rsidR="00CD53BA">
        <w:rPr>
          <w:color w:val="4472C4" w:themeColor="accent1"/>
        </w:rPr>
        <w:t>is 0.035</w:t>
      </w:r>
      <w:r>
        <w:rPr>
          <w:color w:val="4472C4" w:themeColor="accent1"/>
        </w:rPr>
        <w:t xml:space="preserve"> month</w:t>
      </w:r>
      <w:r>
        <w:rPr>
          <w:color w:val="4472C4" w:themeColor="accent1"/>
          <w:vertAlign w:val="superscript"/>
        </w:rPr>
        <w:t>-1</w:t>
      </w:r>
      <w:r>
        <w:rPr>
          <w:color w:val="4472C4" w:themeColor="accent1"/>
        </w:rPr>
        <w:t xml:space="preserve">.  </w:t>
      </w:r>
      <w:r w:rsidRPr="00D66FE7">
        <w:rPr>
          <w:color w:val="4472C4" w:themeColor="accent1"/>
        </w:rPr>
        <w:t xml:space="preserve">The </w:t>
      </w:r>
      <w:r>
        <w:rPr>
          <w:color w:val="4472C4" w:themeColor="accent1"/>
        </w:rPr>
        <w:t xml:space="preserve">greatest power is found at a frequency of </w:t>
      </w:r>
      <w:r w:rsidR="009A7E08">
        <w:rPr>
          <w:color w:val="4472C4" w:themeColor="accent1"/>
        </w:rPr>
        <w:t>0.011</w:t>
      </w:r>
      <w:r>
        <w:rPr>
          <w:color w:val="4472C4" w:themeColor="accent1"/>
        </w:rPr>
        <w:t xml:space="preserve"> month</w:t>
      </w:r>
      <w:r>
        <w:rPr>
          <w:color w:val="4472C4" w:themeColor="accent1"/>
          <w:vertAlign w:val="superscript"/>
        </w:rPr>
        <w:t>-1</w:t>
      </w:r>
      <w:r w:rsidRPr="00D66FE7">
        <w:rPr>
          <w:color w:val="4472C4" w:themeColor="accent1"/>
        </w:rPr>
        <w:t xml:space="preserve">.  </w:t>
      </w:r>
    </w:p>
    <w:p w14:paraId="2213DDDA" w14:textId="0FCCFDFD" w:rsidR="00201642" w:rsidRDefault="001B2166" w:rsidP="00201642">
      <w:pPr>
        <w:jc w:val="both"/>
        <w:rPr>
          <w:color w:val="4472C4" w:themeColor="accent1"/>
        </w:rPr>
      </w:pPr>
      <w:r>
        <w:rPr>
          <w:color w:val="4472C4" w:themeColor="accent1"/>
        </w:rPr>
        <w:t xml:space="preserve">When using the slab ocean model, we find statistically significant power at </w:t>
      </w:r>
      <w:r w:rsidR="00316470">
        <w:rPr>
          <w:color w:val="4472C4" w:themeColor="accent1"/>
        </w:rPr>
        <w:t xml:space="preserve">the </w:t>
      </w:r>
      <w:r>
        <w:rPr>
          <w:color w:val="4472C4" w:themeColor="accent1"/>
        </w:rPr>
        <w:t xml:space="preserve">frequencies </w:t>
      </w:r>
      <w:r w:rsidR="00316470">
        <w:rPr>
          <w:color w:val="4472C4" w:themeColor="accent1"/>
        </w:rPr>
        <w:t>0.035 and 0.055 month</w:t>
      </w:r>
      <w:r w:rsidR="00316470">
        <w:rPr>
          <w:color w:val="4472C4" w:themeColor="accent1"/>
          <w:vertAlign w:val="superscript"/>
        </w:rPr>
        <w:t>-1</w:t>
      </w:r>
      <w:r>
        <w:rPr>
          <w:color w:val="4472C4" w:themeColor="accent1"/>
        </w:rPr>
        <w:t xml:space="preserve"> </w:t>
      </w:r>
      <w:r w:rsidR="00201642">
        <w:rPr>
          <w:color w:val="4472C4" w:themeColor="accent1"/>
        </w:rPr>
        <w:t xml:space="preserve">The amplitude of maximum power in the coupled model is </w:t>
      </w:r>
      <w:r w:rsidR="005A5C64">
        <w:rPr>
          <w:color w:val="4472C4" w:themeColor="accent1"/>
        </w:rPr>
        <w:t>0.098</w:t>
      </w:r>
      <w:r w:rsidR="00201642">
        <w:rPr>
          <w:color w:val="4472C4" w:themeColor="accent1"/>
        </w:rPr>
        <w:t xml:space="preserve"> while the maximum amplitude in the slab ocean model is </w:t>
      </w:r>
      <w:r w:rsidR="005A5C64">
        <w:rPr>
          <w:color w:val="4472C4" w:themeColor="accent1"/>
        </w:rPr>
        <w:t>0.085</w:t>
      </w:r>
      <w:r w:rsidR="00201642">
        <w:rPr>
          <w:color w:val="4472C4" w:themeColor="accent1"/>
        </w:rPr>
        <w:t>.  However, t</w:t>
      </w:r>
      <w:r w:rsidR="00201642" w:rsidRPr="00D66FE7">
        <w:rPr>
          <w:color w:val="4472C4" w:themeColor="accent1"/>
        </w:rPr>
        <w:t xml:space="preserve">he confidence interval is </w:t>
      </w:r>
      <w:r w:rsidR="00201642">
        <w:rPr>
          <w:color w:val="4472C4" w:themeColor="accent1"/>
        </w:rPr>
        <w:t>higher</w:t>
      </w:r>
      <w:r w:rsidR="00201642" w:rsidRPr="00D66FE7">
        <w:rPr>
          <w:color w:val="4472C4" w:themeColor="accent1"/>
        </w:rPr>
        <w:t xml:space="preserve"> for the coupled model than for the slab ocean model, </w:t>
      </w:r>
      <w:r w:rsidR="00201642">
        <w:rPr>
          <w:color w:val="4472C4" w:themeColor="accent1"/>
        </w:rPr>
        <w:t>reaching a maximum of</w:t>
      </w:r>
      <w:r w:rsidR="00201642" w:rsidRPr="00D66FE7">
        <w:rPr>
          <w:color w:val="4472C4" w:themeColor="accent1"/>
        </w:rPr>
        <w:t xml:space="preserve"> </w:t>
      </w:r>
      <w:r w:rsidR="004B2646">
        <w:rPr>
          <w:color w:val="4472C4" w:themeColor="accent1"/>
        </w:rPr>
        <w:t>0.7</w:t>
      </w:r>
      <w:r w:rsidR="00201642" w:rsidRPr="00D66FE7">
        <w:rPr>
          <w:color w:val="4472C4" w:themeColor="accent1"/>
        </w:rPr>
        <w:t xml:space="preserve"> and </w:t>
      </w:r>
      <w:r w:rsidR="004B2646">
        <w:rPr>
          <w:color w:val="4472C4" w:themeColor="accent1"/>
        </w:rPr>
        <w:t>0.3</w:t>
      </w:r>
      <w:r w:rsidR="00201642" w:rsidRPr="00D66FE7">
        <w:rPr>
          <w:color w:val="4472C4" w:themeColor="accent1"/>
        </w:rPr>
        <w:t>, respectively</w:t>
      </w:r>
      <w:r w:rsidR="00201642">
        <w:rPr>
          <w:color w:val="4472C4" w:themeColor="accent1"/>
        </w:rPr>
        <w:t>.</w:t>
      </w:r>
    </w:p>
    <w:p w14:paraId="40762A9C" w14:textId="104D6A02" w:rsidR="0004491D" w:rsidRDefault="0004491D" w:rsidP="00201642">
      <w:pPr>
        <w:jc w:val="both"/>
        <w:rPr>
          <w:color w:val="4472C4" w:themeColor="accent1"/>
        </w:rPr>
      </w:pPr>
    </w:p>
    <w:p w14:paraId="04E87F36" w14:textId="3CFDFFBF" w:rsidR="0004491D" w:rsidRDefault="0004491D" w:rsidP="00201642">
      <w:pPr>
        <w:jc w:val="both"/>
        <w:rPr>
          <w:color w:val="4472C4" w:themeColor="accent1"/>
        </w:rPr>
      </w:pPr>
      <w:r>
        <w:rPr>
          <w:color w:val="4472C4" w:themeColor="accent1"/>
        </w:rPr>
        <w:t xml:space="preserve">When using </w:t>
      </w:r>
      <w:r w:rsidR="0099407B">
        <w:rPr>
          <w:color w:val="4472C4" w:themeColor="accent1"/>
        </w:rPr>
        <w:t>o</w:t>
      </w:r>
      <w:r>
        <w:rPr>
          <w:color w:val="4472C4" w:themeColor="accent1"/>
        </w:rPr>
        <w:t xml:space="preserve">nly 100 years of data, the results have changed.  </w:t>
      </w:r>
      <w:r w:rsidR="00986160">
        <w:rPr>
          <w:color w:val="4472C4" w:themeColor="accent1"/>
        </w:rPr>
        <w:t>In the coupled model, the minimum frequency for statistical significance has incr</w:t>
      </w:r>
      <w:r w:rsidR="00791376">
        <w:rPr>
          <w:color w:val="4472C4" w:themeColor="accent1"/>
        </w:rPr>
        <w:t>e</w:t>
      </w:r>
      <w:r w:rsidR="00986160">
        <w:rPr>
          <w:color w:val="4472C4" w:themeColor="accent1"/>
        </w:rPr>
        <w:t>ased from 0.013 to 0.016 month</w:t>
      </w:r>
      <w:r w:rsidR="00986160">
        <w:rPr>
          <w:color w:val="4472C4" w:themeColor="accent1"/>
          <w:vertAlign w:val="superscript"/>
        </w:rPr>
        <w:t>-1</w:t>
      </w:r>
      <w:r w:rsidR="00C75687">
        <w:rPr>
          <w:color w:val="4472C4" w:themeColor="accent1"/>
        </w:rPr>
        <w:t xml:space="preserve"> and the </w:t>
      </w:r>
      <w:r w:rsidR="00222676">
        <w:rPr>
          <w:color w:val="4472C4" w:themeColor="accent1"/>
        </w:rPr>
        <w:t>peaks</w:t>
      </w:r>
      <w:r w:rsidR="00C75687">
        <w:rPr>
          <w:color w:val="4472C4" w:themeColor="accent1"/>
        </w:rPr>
        <w:t xml:space="preserve"> </w:t>
      </w:r>
      <w:r w:rsidR="00714460">
        <w:rPr>
          <w:color w:val="4472C4" w:themeColor="accent1"/>
        </w:rPr>
        <w:t xml:space="preserve">of significant amplitudes </w:t>
      </w:r>
      <w:r w:rsidR="00C75687">
        <w:rPr>
          <w:color w:val="4472C4" w:themeColor="accent1"/>
        </w:rPr>
        <w:t>has reduced significantly.</w:t>
      </w:r>
      <w:r w:rsidR="00A469E0">
        <w:rPr>
          <w:color w:val="4472C4" w:themeColor="accent1"/>
        </w:rPr>
        <w:t xml:space="preserve">  </w:t>
      </w:r>
      <w:r w:rsidR="00B732E7">
        <w:rPr>
          <w:color w:val="4472C4" w:themeColor="accent1"/>
        </w:rPr>
        <w:t>For the slab ocean model, the opposite is true; the frequency range for statistically significant amplitudes has reduced from roughly 0.041 to 0.035 month</w:t>
      </w:r>
      <w:r w:rsidR="00B732E7">
        <w:rPr>
          <w:color w:val="4472C4" w:themeColor="accent1"/>
          <w:vertAlign w:val="superscript"/>
        </w:rPr>
        <w:t>-1</w:t>
      </w:r>
      <w:r w:rsidR="00B732E7">
        <w:rPr>
          <w:color w:val="4472C4" w:themeColor="accent1"/>
        </w:rPr>
        <w:t xml:space="preserve">.  </w:t>
      </w:r>
      <w:r w:rsidR="00BF6320">
        <w:rPr>
          <w:color w:val="4472C4" w:themeColor="accent1"/>
        </w:rPr>
        <w:t>The maximum amplitudes of power have reduced</w:t>
      </w:r>
      <w:r w:rsidR="00281160">
        <w:rPr>
          <w:color w:val="4472C4" w:themeColor="accent1"/>
        </w:rPr>
        <w:t xml:space="preserve"> somewhat</w:t>
      </w:r>
      <w:r w:rsidR="00BF6320">
        <w:rPr>
          <w:color w:val="4472C4" w:themeColor="accent1"/>
        </w:rPr>
        <w:t xml:space="preserve">, although the amount is </w:t>
      </w:r>
      <w:r w:rsidR="00E571C5">
        <w:rPr>
          <w:color w:val="4472C4" w:themeColor="accent1"/>
        </w:rPr>
        <w:t>negligble</w:t>
      </w:r>
      <w:r w:rsidR="00BF6320">
        <w:rPr>
          <w:color w:val="4472C4" w:themeColor="accent1"/>
        </w:rPr>
        <w:t xml:space="preserve">.   </w:t>
      </w:r>
      <w:r w:rsidR="00594340">
        <w:rPr>
          <w:color w:val="4472C4" w:themeColor="accent1"/>
        </w:rPr>
        <w:t xml:space="preserve">The maximum 99% confidence interval has increased substantially when using only 100 years of data.  </w:t>
      </w:r>
      <w:r w:rsidR="0087075F">
        <w:rPr>
          <w:color w:val="4472C4" w:themeColor="accent1"/>
        </w:rPr>
        <w:t xml:space="preserve">For the coupled model, the highest confidence interval increased from 0.35 to 0.7.  Similarly, the highest confidence interval for the slab model increased from 0.18 to 0.3.   </w:t>
      </w:r>
      <w:r w:rsidR="00594340">
        <w:rPr>
          <w:color w:val="4472C4" w:themeColor="accent1"/>
        </w:rPr>
        <w:t xml:space="preserve"> </w:t>
      </w:r>
    </w:p>
    <w:p w14:paraId="17DF4A81" w14:textId="77777777" w:rsidR="00D323B1" w:rsidRDefault="00D323B1" w:rsidP="0050173B">
      <w:pPr>
        <w:jc w:val="both"/>
        <w:rPr>
          <w:b/>
        </w:rPr>
      </w:pPr>
    </w:p>
    <w:p w14:paraId="6F858040" w14:textId="1AF5CA55" w:rsidR="0050173B" w:rsidRDefault="0050173B" w:rsidP="0050173B">
      <w:pPr>
        <w:jc w:val="both"/>
        <w:rPr>
          <w:b/>
        </w:rPr>
      </w:pPr>
      <w:r>
        <w:rPr>
          <w:b/>
        </w:rPr>
        <w:t>d) Discuss your results</w:t>
      </w:r>
      <w:r w:rsidRPr="005065E4">
        <w:rPr>
          <w:b/>
        </w:rPr>
        <w:t xml:space="preserve">. Provide a physical interpretation for the statistically significant spectral peaks. What do the frequencies that have significant power </w:t>
      </w:r>
      <w:r w:rsidRPr="00170803">
        <w:rPr>
          <w:b/>
        </w:rPr>
        <w:t>represent?  What do the fully coupled and slab ocean runs have in common and also... How and Why do they differ</w:t>
      </w:r>
      <w:r>
        <w:rPr>
          <w:b/>
        </w:rPr>
        <w:t xml:space="preserve">?  </w:t>
      </w:r>
      <w:r>
        <w:rPr>
          <w:b/>
          <w:i/>
        </w:rPr>
        <w:t>Hint: A quick refresher on</w:t>
      </w:r>
      <w:r w:rsidR="00CA0F9F">
        <w:rPr>
          <w:b/>
          <w:i/>
        </w:rPr>
        <w:t xml:space="preserve"> the atmosphere-ocean coupling that </w:t>
      </w:r>
      <w:r w:rsidR="00B91590">
        <w:rPr>
          <w:b/>
          <w:i/>
        </w:rPr>
        <w:t>contribute to</w:t>
      </w:r>
      <w:r>
        <w:rPr>
          <w:b/>
          <w:i/>
        </w:rPr>
        <w:t xml:space="preserve"> ENSO</w:t>
      </w:r>
      <w:r w:rsidRPr="00746C00">
        <w:rPr>
          <w:b/>
          <w:i/>
        </w:rPr>
        <w:t xml:space="preserve"> and </w:t>
      </w:r>
      <w:r>
        <w:rPr>
          <w:b/>
          <w:i/>
        </w:rPr>
        <w:t xml:space="preserve">skimming </w:t>
      </w:r>
      <w:r w:rsidRPr="00746C00">
        <w:rPr>
          <w:b/>
          <w:i/>
        </w:rPr>
        <w:t>Dommenget, D. (2010) doi:10.1029/2010GL044888</w:t>
      </w:r>
      <w:r>
        <w:rPr>
          <w:b/>
          <w:i/>
        </w:rPr>
        <w:t xml:space="preserve"> might be helpful</w:t>
      </w:r>
      <w:r w:rsidRPr="00746C00">
        <w:rPr>
          <w:b/>
          <w:i/>
        </w:rPr>
        <w:t xml:space="preserve">.  </w:t>
      </w:r>
      <w:r w:rsidRPr="00FC2843">
        <w:rPr>
          <w:b/>
        </w:rPr>
        <w:t>(10 points)</w:t>
      </w:r>
    </w:p>
    <w:p w14:paraId="5050D0FB" w14:textId="5F274AD3" w:rsidR="007630C8" w:rsidRDefault="00C61BA8" w:rsidP="008E235D">
      <w:pPr>
        <w:jc w:val="both"/>
        <w:rPr>
          <w:color w:val="4472C4" w:themeColor="accent1"/>
        </w:rPr>
      </w:pPr>
      <w:r>
        <w:rPr>
          <w:color w:val="4472C4" w:themeColor="accent1"/>
        </w:rPr>
        <w:t xml:space="preserve">The </w:t>
      </w:r>
      <w:r w:rsidR="00B02396">
        <w:rPr>
          <w:color w:val="4472C4" w:themeColor="accent1"/>
        </w:rPr>
        <w:t xml:space="preserve">overall </w:t>
      </w:r>
      <w:r w:rsidR="00E22CE6">
        <w:rPr>
          <w:color w:val="4472C4" w:themeColor="accent1"/>
        </w:rPr>
        <w:t>range</w:t>
      </w:r>
      <w:r w:rsidR="00B02396">
        <w:rPr>
          <w:color w:val="4472C4" w:themeColor="accent1"/>
        </w:rPr>
        <w:t>s</w:t>
      </w:r>
      <w:r w:rsidR="00E22CE6">
        <w:rPr>
          <w:color w:val="4472C4" w:themeColor="accent1"/>
        </w:rPr>
        <w:t xml:space="preserve"> of</w:t>
      </w:r>
      <w:r>
        <w:rPr>
          <w:color w:val="4472C4" w:themeColor="accent1"/>
        </w:rPr>
        <w:t xml:space="preserve"> frequenc</w:t>
      </w:r>
      <w:r w:rsidR="00E22CE6">
        <w:rPr>
          <w:color w:val="4472C4" w:themeColor="accent1"/>
        </w:rPr>
        <w:t>ies between the above problems</w:t>
      </w:r>
      <w:r>
        <w:rPr>
          <w:color w:val="4472C4" w:themeColor="accent1"/>
        </w:rPr>
        <w:t xml:space="preserve"> containing statistically significant power </w:t>
      </w:r>
      <w:r w:rsidR="00CE0F56">
        <w:rPr>
          <w:color w:val="4472C4" w:themeColor="accent1"/>
        </w:rPr>
        <w:t>are</w:t>
      </w:r>
      <w:r>
        <w:rPr>
          <w:color w:val="4472C4" w:themeColor="accent1"/>
        </w:rPr>
        <w:t xml:space="preserve"> 0.01</w:t>
      </w:r>
      <w:r w:rsidR="00F557F3">
        <w:rPr>
          <w:color w:val="4472C4" w:themeColor="accent1"/>
        </w:rPr>
        <w:t xml:space="preserve">3 </w:t>
      </w:r>
      <w:r w:rsidR="00A3448D">
        <w:rPr>
          <w:color w:val="4472C4" w:themeColor="accent1"/>
        </w:rPr>
        <w:t>month</w:t>
      </w:r>
      <w:r w:rsidR="00A3448D">
        <w:rPr>
          <w:color w:val="4472C4" w:themeColor="accent1"/>
          <w:vertAlign w:val="superscript"/>
        </w:rPr>
        <w:t>-1</w:t>
      </w:r>
      <w:r w:rsidR="00F557F3">
        <w:rPr>
          <w:color w:val="4472C4" w:themeColor="accent1"/>
        </w:rPr>
        <w:t>and greater,</w:t>
      </w:r>
      <w:r>
        <w:rPr>
          <w:color w:val="4472C4" w:themeColor="accent1"/>
        </w:rPr>
        <w:t xml:space="preserve"> 0.041-0.043</w:t>
      </w:r>
      <w:r w:rsidR="00A3448D">
        <w:rPr>
          <w:color w:val="4472C4" w:themeColor="accent1"/>
        </w:rPr>
        <w:t xml:space="preserve"> month</w:t>
      </w:r>
      <w:r w:rsidR="00A3448D">
        <w:rPr>
          <w:color w:val="4472C4" w:themeColor="accent1"/>
          <w:vertAlign w:val="superscript"/>
        </w:rPr>
        <w:t>-1</w:t>
      </w:r>
      <w:r w:rsidR="00CD1D31">
        <w:rPr>
          <w:color w:val="4472C4" w:themeColor="accent1"/>
        </w:rPr>
        <w:t>, 0.016-0.033</w:t>
      </w:r>
      <w:r w:rsidR="00A3448D">
        <w:rPr>
          <w:color w:val="4472C4" w:themeColor="accent1"/>
        </w:rPr>
        <w:t xml:space="preserve"> month</w:t>
      </w:r>
      <w:r w:rsidR="00A3448D">
        <w:rPr>
          <w:color w:val="4472C4" w:themeColor="accent1"/>
          <w:vertAlign w:val="superscript"/>
        </w:rPr>
        <w:t>-1</w:t>
      </w:r>
      <w:r w:rsidR="00CD1D31">
        <w:rPr>
          <w:color w:val="4472C4" w:themeColor="accent1"/>
        </w:rPr>
        <w:t>, 0.035</w:t>
      </w:r>
      <w:r w:rsidR="00A3448D">
        <w:rPr>
          <w:color w:val="4472C4" w:themeColor="accent1"/>
        </w:rPr>
        <w:t xml:space="preserve"> month</w:t>
      </w:r>
      <w:r w:rsidR="00A3448D">
        <w:rPr>
          <w:color w:val="4472C4" w:themeColor="accent1"/>
          <w:vertAlign w:val="superscript"/>
        </w:rPr>
        <w:t>-1</w:t>
      </w:r>
      <w:r w:rsidR="001E4506">
        <w:rPr>
          <w:color w:val="4472C4" w:themeColor="accent1"/>
        </w:rPr>
        <w:t>, and 0.055 month</w:t>
      </w:r>
      <w:r w:rsidR="001E4506">
        <w:rPr>
          <w:color w:val="4472C4" w:themeColor="accent1"/>
          <w:vertAlign w:val="superscript"/>
        </w:rPr>
        <w:t>-1</w:t>
      </w:r>
      <w:r w:rsidR="00C15C53">
        <w:rPr>
          <w:color w:val="4472C4" w:themeColor="accent1"/>
        </w:rPr>
        <w:t>.</w:t>
      </w:r>
      <w:r w:rsidR="00CD1D31">
        <w:rPr>
          <w:color w:val="4472C4" w:themeColor="accent1"/>
        </w:rPr>
        <w:t xml:space="preserve"> </w:t>
      </w:r>
      <w:r w:rsidR="00C15C53">
        <w:rPr>
          <w:color w:val="4472C4" w:themeColor="accent1"/>
        </w:rPr>
        <w:t xml:space="preserve"> </w:t>
      </w:r>
      <w:r w:rsidR="008E16D8">
        <w:rPr>
          <w:color w:val="4472C4" w:themeColor="accent1"/>
        </w:rPr>
        <w:t xml:space="preserve">The lowest </w:t>
      </w:r>
      <w:r w:rsidR="00C15C53">
        <w:rPr>
          <w:color w:val="4472C4" w:themeColor="accent1"/>
        </w:rPr>
        <w:t>of these frequen</w:t>
      </w:r>
      <w:r w:rsidR="009D611B">
        <w:rPr>
          <w:color w:val="4472C4" w:themeColor="accent1"/>
        </w:rPr>
        <w:t>cies</w:t>
      </w:r>
      <w:r w:rsidR="00D77C58">
        <w:rPr>
          <w:color w:val="4472C4" w:themeColor="accent1"/>
        </w:rPr>
        <w:t xml:space="preserve"> corresponds to a </w:t>
      </w:r>
      <w:r w:rsidR="00FF3E60">
        <w:rPr>
          <w:color w:val="4472C4" w:themeColor="accent1"/>
        </w:rPr>
        <w:t>timescale</w:t>
      </w:r>
      <w:r w:rsidR="00D77C58">
        <w:rPr>
          <w:color w:val="4472C4" w:themeColor="accent1"/>
        </w:rPr>
        <w:t xml:space="preserve"> of </w:t>
      </w:r>
      <w:r w:rsidR="00720511">
        <w:rPr>
          <w:color w:val="4472C4" w:themeColor="accent1"/>
        </w:rPr>
        <w:t>76</w:t>
      </w:r>
      <w:r w:rsidR="00D77C58">
        <w:rPr>
          <w:color w:val="4472C4" w:themeColor="accent1"/>
        </w:rPr>
        <w:t xml:space="preserve"> months.  </w:t>
      </w:r>
      <w:r w:rsidR="00CF1D25">
        <w:rPr>
          <w:color w:val="4472C4" w:themeColor="accent1"/>
        </w:rPr>
        <w:t xml:space="preserve">The highest frequency </w:t>
      </w:r>
      <w:r w:rsidR="00D77C58">
        <w:rPr>
          <w:color w:val="4472C4" w:themeColor="accent1"/>
        </w:rPr>
        <w:t xml:space="preserve">corresponds to a </w:t>
      </w:r>
      <w:r w:rsidR="004F2F87">
        <w:rPr>
          <w:color w:val="4472C4" w:themeColor="accent1"/>
        </w:rPr>
        <w:t>timescale</w:t>
      </w:r>
      <w:r w:rsidR="00D77C58">
        <w:rPr>
          <w:color w:val="4472C4" w:themeColor="accent1"/>
        </w:rPr>
        <w:t xml:space="preserve"> of </w:t>
      </w:r>
      <w:r w:rsidR="007D7CC6">
        <w:rPr>
          <w:color w:val="4472C4" w:themeColor="accent1"/>
        </w:rPr>
        <w:t>18</w:t>
      </w:r>
      <w:r w:rsidR="00D77C58">
        <w:rPr>
          <w:color w:val="4472C4" w:themeColor="accent1"/>
        </w:rPr>
        <w:t xml:space="preserve"> months.  </w:t>
      </w:r>
      <w:r w:rsidR="000C1D24">
        <w:rPr>
          <w:color w:val="4472C4" w:themeColor="accent1"/>
        </w:rPr>
        <w:t xml:space="preserve">Physically, this means that we could expect </w:t>
      </w:r>
      <w:r w:rsidR="00574643">
        <w:rPr>
          <w:color w:val="4472C4" w:themeColor="accent1"/>
        </w:rPr>
        <w:t>SST anomalies</w:t>
      </w:r>
      <w:r w:rsidR="000C1D24">
        <w:rPr>
          <w:color w:val="4472C4" w:themeColor="accent1"/>
        </w:rPr>
        <w:t xml:space="preserve"> in the Nino3.4 region </w:t>
      </w:r>
      <w:r w:rsidR="00210A76">
        <w:rPr>
          <w:color w:val="4472C4" w:themeColor="accent1"/>
        </w:rPr>
        <w:t xml:space="preserve">to occur </w:t>
      </w:r>
      <w:r w:rsidR="00B74641">
        <w:rPr>
          <w:color w:val="4472C4" w:themeColor="accent1"/>
        </w:rPr>
        <w:t xml:space="preserve">at a periodic cycle anywhere from </w:t>
      </w:r>
      <w:r w:rsidR="00F875A1">
        <w:rPr>
          <w:color w:val="4472C4" w:themeColor="accent1"/>
        </w:rPr>
        <w:t>1.5</w:t>
      </w:r>
      <w:r w:rsidR="00B74641">
        <w:rPr>
          <w:color w:val="4472C4" w:themeColor="accent1"/>
        </w:rPr>
        <w:t xml:space="preserve"> to 6</w:t>
      </w:r>
      <w:r w:rsidR="00F875A1">
        <w:rPr>
          <w:color w:val="4472C4" w:themeColor="accent1"/>
        </w:rPr>
        <w:t>.3</w:t>
      </w:r>
      <w:r w:rsidR="00B74641">
        <w:rPr>
          <w:color w:val="4472C4" w:themeColor="accent1"/>
        </w:rPr>
        <w:t xml:space="preserve"> years.  </w:t>
      </w:r>
      <w:r w:rsidR="00A40770">
        <w:rPr>
          <w:color w:val="4472C4" w:themeColor="accent1"/>
        </w:rPr>
        <w:t xml:space="preserve">This </w:t>
      </w:r>
      <w:r w:rsidR="0000188B">
        <w:rPr>
          <w:color w:val="4472C4" w:themeColor="accent1"/>
        </w:rPr>
        <w:t>finding</w:t>
      </w:r>
      <w:r w:rsidR="00A40770">
        <w:rPr>
          <w:color w:val="4472C4" w:themeColor="accent1"/>
        </w:rPr>
        <w:t xml:space="preserve"> is close to the actual ENSO cycle, which contains a period</w:t>
      </w:r>
      <w:r w:rsidR="00DD04B1">
        <w:rPr>
          <w:color w:val="4472C4" w:themeColor="accent1"/>
        </w:rPr>
        <w:t>ic</w:t>
      </w:r>
      <w:r w:rsidR="00A40770">
        <w:rPr>
          <w:color w:val="4472C4" w:themeColor="accent1"/>
        </w:rPr>
        <w:t xml:space="preserve"> timescale from about 3 to 7 years.  So, our analysis has a </w:t>
      </w:r>
      <w:r w:rsidR="000677DA">
        <w:rPr>
          <w:color w:val="4472C4" w:themeColor="accent1"/>
        </w:rPr>
        <w:t>slight negative</w:t>
      </w:r>
      <w:r w:rsidR="00A40770">
        <w:rPr>
          <w:color w:val="4472C4" w:themeColor="accent1"/>
        </w:rPr>
        <w:t xml:space="preserve"> bi</w:t>
      </w:r>
      <w:r w:rsidR="00D41D77">
        <w:rPr>
          <w:color w:val="4472C4" w:themeColor="accent1"/>
        </w:rPr>
        <w:t xml:space="preserve">as.  </w:t>
      </w:r>
    </w:p>
    <w:p w14:paraId="5CFD9DF0" w14:textId="63C29537" w:rsidR="00256534" w:rsidRDefault="00256534" w:rsidP="008E235D">
      <w:pPr>
        <w:jc w:val="both"/>
        <w:rPr>
          <w:color w:val="4472C4" w:themeColor="accent1"/>
        </w:rPr>
      </w:pPr>
    </w:p>
    <w:p w14:paraId="17B234C7" w14:textId="2A9F74C9" w:rsidR="00B86135" w:rsidRDefault="00B86135" w:rsidP="008E235D">
      <w:pPr>
        <w:jc w:val="both"/>
        <w:rPr>
          <w:color w:val="4472C4" w:themeColor="accent1"/>
        </w:rPr>
      </w:pPr>
    </w:p>
    <w:p w14:paraId="20DAFEFD" w14:textId="0882587A" w:rsidR="00B86135" w:rsidRPr="005F5972" w:rsidRDefault="007802E6" w:rsidP="008E235D">
      <w:pPr>
        <w:jc w:val="both"/>
        <w:rPr>
          <w:color w:val="4472C4" w:themeColor="accent1"/>
        </w:rPr>
      </w:pPr>
      <w:r w:rsidRPr="007802E6">
        <w:rPr>
          <w:color w:val="4472C4" w:themeColor="accent1"/>
        </w:rPr>
        <w:lastRenderedPageBreak/>
        <w:t xml:space="preserve">Both the </w:t>
      </w:r>
      <w:r>
        <w:rPr>
          <w:color w:val="4472C4" w:themeColor="accent1"/>
        </w:rPr>
        <w:t xml:space="preserve">fully coupled and slab ocean models produce variability in sea surface temperature.  </w:t>
      </w:r>
      <w:r w:rsidR="00CB0EF3">
        <w:rPr>
          <w:color w:val="4472C4" w:themeColor="accent1"/>
        </w:rPr>
        <w:t>T</w:t>
      </w:r>
      <w:r w:rsidR="00741899">
        <w:rPr>
          <w:color w:val="4472C4" w:themeColor="accent1"/>
        </w:rPr>
        <w:t>he slab model is forced by atmospheric processes</w:t>
      </w:r>
      <w:r w:rsidR="006633F9">
        <w:rPr>
          <w:color w:val="4472C4" w:themeColor="accent1"/>
        </w:rPr>
        <w:t xml:space="preserve"> including</w:t>
      </w:r>
      <w:r w:rsidR="00741899">
        <w:rPr>
          <w:color w:val="4472C4" w:themeColor="accent1"/>
        </w:rPr>
        <w:t xml:space="preserve"> shortwave, longwave, and sensible heat fluxes</w:t>
      </w:r>
      <w:r w:rsidR="008A6C52">
        <w:rPr>
          <w:color w:val="4472C4" w:themeColor="accent1"/>
        </w:rPr>
        <w:t xml:space="preserve"> so </w:t>
      </w:r>
      <w:r w:rsidR="00741899">
        <w:rPr>
          <w:color w:val="4472C4" w:themeColor="accent1"/>
        </w:rPr>
        <w:t xml:space="preserve">ENSO variability is observed.  </w:t>
      </w:r>
      <w:r w:rsidR="00684C3B">
        <w:rPr>
          <w:color w:val="4472C4" w:themeColor="accent1"/>
        </w:rPr>
        <w:t xml:space="preserve">However, the amplitude of ENSO SST anomalies in the slab model are </w:t>
      </w:r>
      <w:r w:rsidR="009F091B">
        <w:rPr>
          <w:color w:val="4472C4" w:themeColor="accent1"/>
        </w:rPr>
        <w:t xml:space="preserve">muted since ocean dynamics are not included.  </w:t>
      </w:r>
      <w:r w:rsidR="00E7310D">
        <w:rPr>
          <w:color w:val="4472C4" w:themeColor="accent1"/>
        </w:rPr>
        <w:t>For example,</w:t>
      </w:r>
      <w:r w:rsidR="00266C60">
        <w:rPr>
          <w:color w:val="4472C4" w:themeColor="accent1"/>
        </w:rPr>
        <w:t xml:space="preserve"> atmospheric wind stress could </w:t>
      </w:r>
      <w:r w:rsidR="0014439E">
        <w:rPr>
          <w:color w:val="4472C4" w:themeColor="accent1"/>
        </w:rPr>
        <w:t xml:space="preserve">advect </w:t>
      </w:r>
      <w:r w:rsidR="00A02734">
        <w:rPr>
          <w:color w:val="4472C4" w:themeColor="accent1"/>
        </w:rPr>
        <w:t xml:space="preserve">cooler </w:t>
      </w:r>
      <w:r w:rsidR="0014439E">
        <w:rPr>
          <w:color w:val="4472C4" w:themeColor="accent1"/>
        </w:rPr>
        <w:t xml:space="preserve">sea surface temperatures to a particular </w:t>
      </w:r>
      <w:r w:rsidR="00143D2D">
        <w:rPr>
          <w:color w:val="4472C4" w:themeColor="accent1"/>
        </w:rPr>
        <w:t>region</w:t>
      </w:r>
      <w:r w:rsidR="0014439E">
        <w:rPr>
          <w:color w:val="4472C4" w:themeColor="accent1"/>
        </w:rPr>
        <w:t xml:space="preserve">, but the underlying ocean dynamics will not change.  </w:t>
      </w:r>
      <w:r w:rsidR="00DB645B">
        <w:rPr>
          <w:color w:val="4472C4" w:themeColor="accent1"/>
        </w:rPr>
        <w:t>So</w:t>
      </w:r>
      <w:r w:rsidR="0014439E">
        <w:rPr>
          <w:color w:val="4472C4" w:themeColor="accent1"/>
        </w:rPr>
        <w:t>, the inclusion of cold tongue upwelling</w:t>
      </w:r>
      <w:r w:rsidR="00DB645B">
        <w:rPr>
          <w:color w:val="4472C4" w:themeColor="accent1"/>
        </w:rPr>
        <w:t>, as one example,</w:t>
      </w:r>
      <w:r w:rsidR="0014439E">
        <w:rPr>
          <w:color w:val="4472C4" w:themeColor="accent1"/>
        </w:rPr>
        <w:t xml:space="preserve"> is not represented in the model</w:t>
      </w:r>
      <w:r w:rsidR="00A3595C">
        <w:rPr>
          <w:color w:val="4472C4" w:themeColor="accent1"/>
        </w:rPr>
        <w:t xml:space="preserve">, making the ENSO cold region less amplified.  </w:t>
      </w:r>
      <w:r w:rsidR="005F5972">
        <w:rPr>
          <w:color w:val="4472C4" w:themeColor="accent1"/>
        </w:rPr>
        <w:t xml:space="preserve">This could be why the slab model fails to produce </w:t>
      </w:r>
      <w:r w:rsidR="00A04753">
        <w:rPr>
          <w:color w:val="4472C4" w:themeColor="accent1"/>
        </w:rPr>
        <w:t>large</w:t>
      </w:r>
      <w:r w:rsidR="005F5972">
        <w:rPr>
          <w:color w:val="4472C4" w:themeColor="accent1"/>
        </w:rPr>
        <w:t xml:space="preserve"> </w:t>
      </w:r>
      <w:r w:rsidR="00533030">
        <w:rPr>
          <w:color w:val="4472C4" w:themeColor="accent1"/>
        </w:rPr>
        <w:t xml:space="preserve">power at </w:t>
      </w:r>
      <w:r w:rsidR="005F5972">
        <w:rPr>
          <w:color w:val="4472C4" w:themeColor="accent1"/>
        </w:rPr>
        <w:t>frequencies between approximately 0.01</w:t>
      </w:r>
      <w:r w:rsidR="00F86AA4">
        <w:rPr>
          <w:color w:val="4472C4" w:themeColor="accent1"/>
        </w:rPr>
        <w:t>3</w:t>
      </w:r>
      <w:r w:rsidR="005F5972">
        <w:rPr>
          <w:color w:val="4472C4" w:themeColor="accent1"/>
        </w:rPr>
        <w:t xml:space="preserve"> and 0.04 month</w:t>
      </w:r>
      <w:r w:rsidR="005F5972">
        <w:rPr>
          <w:color w:val="4472C4" w:themeColor="accent1"/>
          <w:vertAlign w:val="superscript"/>
        </w:rPr>
        <w:t>-1</w:t>
      </w:r>
      <w:r w:rsidR="005F5972">
        <w:rPr>
          <w:color w:val="4472C4" w:themeColor="accent1"/>
        </w:rPr>
        <w:t xml:space="preserve"> </w:t>
      </w:r>
      <w:r w:rsidR="00F86AA4">
        <w:rPr>
          <w:color w:val="4472C4" w:themeColor="accent1"/>
        </w:rPr>
        <w:t>(1 to 6 years)</w:t>
      </w:r>
      <w:r w:rsidR="00442AE6">
        <w:rPr>
          <w:color w:val="4472C4" w:themeColor="accent1"/>
        </w:rPr>
        <w:t xml:space="preserve"> in both a) and b)</w:t>
      </w:r>
      <w:r w:rsidR="00AF5D2E">
        <w:rPr>
          <w:color w:val="4472C4" w:themeColor="accent1"/>
        </w:rPr>
        <w:t xml:space="preserve"> and why the range of SST anomalies is smaller in the timeseries compared with</w:t>
      </w:r>
      <w:r w:rsidR="00A80C22">
        <w:rPr>
          <w:color w:val="4472C4" w:themeColor="accent1"/>
        </w:rPr>
        <w:t xml:space="preserve"> the </w:t>
      </w:r>
      <w:r w:rsidR="00CF7C41">
        <w:rPr>
          <w:color w:val="4472C4" w:themeColor="accent1"/>
        </w:rPr>
        <w:t>coupled model</w:t>
      </w:r>
      <w:r w:rsidR="00A80C22">
        <w:rPr>
          <w:color w:val="4472C4" w:themeColor="accent1"/>
        </w:rPr>
        <w:t xml:space="preserve">.  </w:t>
      </w:r>
      <w:r w:rsidR="00BC0F65">
        <w:rPr>
          <w:color w:val="4472C4" w:themeColor="accent1"/>
        </w:rPr>
        <w:t xml:space="preserve">  </w:t>
      </w:r>
    </w:p>
    <w:p w14:paraId="096DE08E" w14:textId="460D65B6" w:rsidR="00B1662C" w:rsidRDefault="00B1662C" w:rsidP="00B1662C"/>
    <w:p w14:paraId="25379E8A" w14:textId="61C9ECC5" w:rsidR="00B1662C" w:rsidRDefault="00B1662C" w:rsidP="00B1662C"/>
    <w:p w14:paraId="1A8D3D33" w14:textId="77777777" w:rsidR="00B1662C" w:rsidRPr="00B1662C" w:rsidRDefault="00B1662C" w:rsidP="00B1662C"/>
    <w:p w14:paraId="6F961D72" w14:textId="4963DBD5" w:rsidR="0050173B" w:rsidRPr="00340366" w:rsidRDefault="0050173B" w:rsidP="0050173B">
      <w:pPr>
        <w:jc w:val="both"/>
        <w:rPr>
          <w:b/>
        </w:rPr>
      </w:pPr>
      <w:r>
        <w:rPr>
          <w:b/>
        </w:rPr>
        <w:t>Problem II</w:t>
      </w:r>
      <w:r w:rsidRPr="00EC5055">
        <w:rPr>
          <w:b/>
        </w:rPr>
        <w:t xml:space="preserve">) </w:t>
      </w:r>
      <w:r>
        <w:rPr>
          <w:b/>
        </w:rPr>
        <w:t>Apply spectral analysis to a dataset of your choice (50 points)</w:t>
      </w:r>
    </w:p>
    <w:p w14:paraId="6CF4848A" w14:textId="77777777" w:rsidR="0050173B" w:rsidRDefault="0050173B" w:rsidP="0050173B">
      <w:pPr>
        <w:jc w:val="both"/>
      </w:pPr>
    </w:p>
    <w:p w14:paraId="7B8D9226" w14:textId="7C68F851" w:rsidR="0050173B" w:rsidRDefault="0050173B" w:rsidP="0050173B">
      <w:pPr>
        <w:pStyle w:val="ListParagraph"/>
        <w:numPr>
          <w:ilvl w:val="0"/>
          <w:numId w:val="1"/>
        </w:numPr>
        <w:jc w:val="both"/>
        <w:rPr>
          <w:b/>
        </w:rPr>
      </w:pPr>
      <w:r w:rsidRPr="0084717F">
        <w:rPr>
          <w:b/>
        </w:rPr>
        <w:t>Provide a thorough description of your data including the reference, the variable (including names and units), the sampling frequency, etc. Describe why you think power spectral analysis may provide useful information about your data.  (10 points)</w:t>
      </w:r>
    </w:p>
    <w:p w14:paraId="773BF37A" w14:textId="034F3A8A" w:rsidR="00E54D2B" w:rsidRDefault="00BF19C6" w:rsidP="009315B1">
      <w:pPr>
        <w:pStyle w:val="ListParagraph"/>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This analysis will use data output from the Weather Research and Forecasting (WRF) model.  </w:t>
      </w:r>
      <w:r w:rsidR="00E60DCD">
        <w:rPr>
          <w:rFonts w:ascii="Times New Roman" w:eastAsia="Times New Roman" w:hAnsi="Times New Roman" w:cs="Times New Roman"/>
          <w:color w:val="4472C4" w:themeColor="accent1"/>
        </w:rPr>
        <w:t>The simulation was run at a 2-km horizontal resolution and a 10-m vertical resolution</w:t>
      </w:r>
      <w:r w:rsidR="001E49F0">
        <w:rPr>
          <w:rFonts w:ascii="Times New Roman" w:eastAsia="Times New Roman" w:hAnsi="Times New Roman" w:cs="Times New Roman"/>
          <w:color w:val="4472C4" w:themeColor="accent1"/>
        </w:rPr>
        <w:t xml:space="preserve">.  The data exists at a 10-min frequency encompassing an entire year from September, 2019 to September, 2020.  </w:t>
      </w:r>
      <w:r w:rsidR="00A22738">
        <w:rPr>
          <w:rFonts w:ascii="Times New Roman" w:eastAsia="Times New Roman" w:hAnsi="Times New Roman" w:cs="Times New Roman"/>
          <w:color w:val="4472C4" w:themeColor="accent1"/>
        </w:rPr>
        <w:t>Each variable of interest has dimensions</w:t>
      </w:r>
      <w:r w:rsidR="000B27BD">
        <w:rPr>
          <w:rFonts w:ascii="Times New Roman" w:eastAsia="Times New Roman" w:hAnsi="Times New Roman" w:cs="Times New Roman"/>
          <w:color w:val="4472C4" w:themeColor="accent1"/>
        </w:rPr>
        <w:t xml:space="preserve"> [Time,level,lat,lon]=</w:t>
      </w:r>
      <w:r w:rsidR="00A22738">
        <w:rPr>
          <w:rFonts w:ascii="Times New Roman" w:eastAsia="Times New Roman" w:hAnsi="Times New Roman" w:cs="Times New Roman"/>
          <w:color w:val="4472C4" w:themeColor="accent1"/>
        </w:rPr>
        <w:t xml:space="preserve"> [52704,17,258,465].  Since th</w:t>
      </w:r>
      <w:r w:rsidR="00BD6AE0">
        <w:rPr>
          <w:rFonts w:ascii="Times New Roman" w:eastAsia="Times New Roman" w:hAnsi="Times New Roman" w:cs="Times New Roman"/>
          <w:color w:val="4472C4" w:themeColor="accent1"/>
        </w:rPr>
        <w:t>is</w:t>
      </w:r>
      <w:r w:rsidR="00A22738">
        <w:rPr>
          <w:rFonts w:ascii="Times New Roman" w:eastAsia="Times New Roman" w:hAnsi="Times New Roman" w:cs="Times New Roman"/>
          <w:color w:val="4472C4" w:themeColor="accent1"/>
        </w:rPr>
        <w:t xml:space="preserve"> dataset is large enough that it can crash Jupyter, the data is subset to an hourly output frequency</w:t>
      </w:r>
      <w:r w:rsidR="006215C6">
        <w:rPr>
          <w:rFonts w:ascii="Times New Roman" w:eastAsia="Times New Roman" w:hAnsi="Times New Roman" w:cs="Times New Roman"/>
          <w:color w:val="4472C4" w:themeColor="accent1"/>
        </w:rPr>
        <w:t xml:space="preserve">, the closest model level to the surface, and to a model grid cell near the coastline.  </w:t>
      </w:r>
    </w:p>
    <w:p w14:paraId="4A372952" w14:textId="42097EB1" w:rsidR="001430D9" w:rsidRPr="00BF19C6" w:rsidRDefault="009315B1" w:rsidP="00E54D2B">
      <w:pPr>
        <w:pStyle w:val="ListParagraph"/>
        <w:ind w:firstLine="720"/>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In the last homework, I </w:t>
      </w:r>
      <w:r w:rsidR="00914E8F">
        <w:rPr>
          <w:rFonts w:ascii="Times New Roman" w:eastAsia="Times New Roman" w:hAnsi="Times New Roman" w:cs="Times New Roman"/>
          <w:color w:val="4472C4" w:themeColor="accent1"/>
        </w:rPr>
        <w:t>computed the first three EOF structures of wind direction</w:t>
      </w:r>
      <w:r w:rsidR="00650C24">
        <w:rPr>
          <w:rFonts w:ascii="Times New Roman" w:eastAsia="Times New Roman" w:hAnsi="Times New Roman" w:cs="Times New Roman"/>
          <w:color w:val="4472C4" w:themeColor="accent1"/>
        </w:rPr>
        <w:t>.  The</w:t>
      </w:r>
      <w:r w:rsidR="008412A1">
        <w:rPr>
          <w:rFonts w:ascii="Times New Roman" w:eastAsia="Times New Roman" w:hAnsi="Times New Roman" w:cs="Times New Roman"/>
          <w:color w:val="4472C4" w:themeColor="accent1"/>
        </w:rPr>
        <w:t xml:space="preserve"> EOF</w:t>
      </w:r>
      <w:r w:rsidR="00650C24">
        <w:rPr>
          <w:rFonts w:ascii="Times New Roman" w:eastAsia="Times New Roman" w:hAnsi="Times New Roman" w:cs="Times New Roman"/>
          <w:color w:val="4472C4" w:themeColor="accent1"/>
        </w:rPr>
        <w:t xml:space="preserve"> </w:t>
      </w:r>
      <w:r w:rsidR="001F33B0">
        <w:rPr>
          <w:rFonts w:ascii="Times New Roman" w:eastAsia="Times New Roman" w:hAnsi="Times New Roman" w:cs="Times New Roman"/>
          <w:color w:val="4472C4" w:themeColor="accent1"/>
        </w:rPr>
        <w:t>which</w:t>
      </w:r>
      <w:r w:rsidR="00E54D2B">
        <w:rPr>
          <w:rFonts w:ascii="Times New Roman" w:eastAsia="Times New Roman" w:hAnsi="Times New Roman" w:cs="Times New Roman"/>
          <w:color w:val="4472C4" w:themeColor="accent1"/>
        </w:rPr>
        <w:t xml:space="preserve"> explained the most variance was </w:t>
      </w:r>
      <w:r w:rsidR="003271FA">
        <w:rPr>
          <w:rFonts w:ascii="Times New Roman" w:eastAsia="Times New Roman" w:hAnsi="Times New Roman" w:cs="Times New Roman"/>
          <w:color w:val="4472C4" w:themeColor="accent1"/>
        </w:rPr>
        <w:t xml:space="preserve">a </w:t>
      </w:r>
      <w:r w:rsidR="00D81760">
        <w:rPr>
          <w:rFonts w:ascii="Times New Roman" w:eastAsia="Times New Roman" w:hAnsi="Times New Roman" w:cs="Times New Roman"/>
          <w:color w:val="4472C4" w:themeColor="accent1"/>
        </w:rPr>
        <w:t>70</w:t>
      </w:r>
      <m:oMath>
        <m:r>
          <w:rPr>
            <w:rFonts w:ascii="Cambria Math" w:eastAsia="Times New Roman" w:hAnsi="Cambria Math" w:cs="Times New Roman"/>
            <w:color w:val="4472C4" w:themeColor="accent1"/>
          </w:rPr>
          <m:t>°</m:t>
        </m:r>
      </m:oMath>
      <w:r w:rsidR="00D81760">
        <w:rPr>
          <w:rFonts w:ascii="Times New Roman" w:eastAsia="Times New Roman" w:hAnsi="Times New Roman" w:cs="Times New Roman"/>
          <w:color w:val="4472C4" w:themeColor="accent1"/>
        </w:rPr>
        <w:t xml:space="preserve"> shift in wind direction near the coast.  </w:t>
      </w:r>
      <w:r w:rsidR="005C320C">
        <w:rPr>
          <w:rFonts w:ascii="Times New Roman" w:eastAsia="Times New Roman" w:hAnsi="Times New Roman" w:cs="Times New Roman"/>
          <w:color w:val="4472C4" w:themeColor="accent1"/>
        </w:rPr>
        <w:t xml:space="preserve">The </w:t>
      </w:r>
      <w:r w:rsidR="00EE4935">
        <w:rPr>
          <w:rFonts w:ascii="Times New Roman" w:eastAsia="Times New Roman" w:hAnsi="Times New Roman" w:cs="Times New Roman"/>
          <w:color w:val="4472C4" w:themeColor="accent1"/>
        </w:rPr>
        <w:t>average</w:t>
      </w:r>
      <w:r w:rsidR="005C320C">
        <w:rPr>
          <w:rFonts w:ascii="Times New Roman" w:eastAsia="Times New Roman" w:hAnsi="Times New Roman" w:cs="Times New Roman"/>
          <w:color w:val="4472C4" w:themeColor="accent1"/>
        </w:rPr>
        <w:t xml:space="preserve"> wind direction in this region is parallel to the</w:t>
      </w:r>
      <w:r w:rsidR="008605B5">
        <w:rPr>
          <w:rFonts w:ascii="Times New Roman" w:eastAsia="Times New Roman" w:hAnsi="Times New Roman" w:cs="Times New Roman"/>
          <w:color w:val="4472C4" w:themeColor="accent1"/>
        </w:rPr>
        <w:t xml:space="preserve"> </w:t>
      </w:r>
      <w:r w:rsidR="005C320C">
        <w:rPr>
          <w:rFonts w:ascii="Times New Roman" w:eastAsia="Times New Roman" w:hAnsi="Times New Roman" w:cs="Times New Roman"/>
          <w:color w:val="4472C4" w:themeColor="accent1"/>
        </w:rPr>
        <w:t xml:space="preserve">coast. </w:t>
      </w:r>
      <w:r w:rsidR="00D81760">
        <w:rPr>
          <w:rFonts w:ascii="Times New Roman" w:eastAsia="Times New Roman" w:hAnsi="Times New Roman" w:cs="Times New Roman"/>
          <w:color w:val="4472C4" w:themeColor="accent1"/>
        </w:rPr>
        <w:t>I presumed in my discussion that this shift</w:t>
      </w:r>
      <w:r w:rsidR="001B7819">
        <w:rPr>
          <w:rFonts w:ascii="Times New Roman" w:eastAsia="Times New Roman" w:hAnsi="Times New Roman" w:cs="Times New Roman"/>
          <w:color w:val="4472C4" w:themeColor="accent1"/>
        </w:rPr>
        <w:t>, which is nearly perpendicular to the mean flow,</w:t>
      </w:r>
      <w:r w:rsidR="00D81760">
        <w:rPr>
          <w:rFonts w:ascii="Times New Roman" w:eastAsia="Times New Roman" w:hAnsi="Times New Roman" w:cs="Times New Roman"/>
          <w:color w:val="4472C4" w:themeColor="accent1"/>
        </w:rPr>
        <w:t xml:space="preserve"> was </w:t>
      </w:r>
      <w:r w:rsidR="00AD6E32">
        <w:rPr>
          <w:rFonts w:ascii="Times New Roman" w:eastAsia="Times New Roman" w:hAnsi="Times New Roman" w:cs="Times New Roman"/>
          <w:color w:val="4472C4" w:themeColor="accent1"/>
        </w:rPr>
        <w:t xml:space="preserve">caused by </w:t>
      </w:r>
      <w:r w:rsidR="00BC66E3">
        <w:rPr>
          <w:rFonts w:ascii="Times New Roman" w:eastAsia="Times New Roman" w:hAnsi="Times New Roman" w:cs="Times New Roman"/>
          <w:color w:val="4472C4" w:themeColor="accent1"/>
        </w:rPr>
        <w:t>diurnal and seasonal heating contrasts between land and sea.</w:t>
      </w:r>
      <w:r w:rsidR="00F62DA4">
        <w:rPr>
          <w:rFonts w:ascii="Times New Roman" w:eastAsia="Times New Roman" w:hAnsi="Times New Roman" w:cs="Times New Roman"/>
          <w:color w:val="4472C4" w:themeColor="accent1"/>
        </w:rPr>
        <w:t xml:space="preserve">  Namely, </w:t>
      </w:r>
      <w:r w:rsidR="00B2739A">
        <w:rPr>
          <w:rFonts w:ascii="Times New Roman" w:eastAsia="Times New Roman" w:hAnsi="Times New Roman" w:cs="Times New Roman"/>
          <w:color w:val="4472C4" w:themeColor="accent1"/>
        </w:rPr>
        <w:t>the temperature gradient caused by differ</w:t>
      </w:r>
      <w:r w:rsidR="003A1E44">
        <w:rPr>
          <w:rFonts w:ascii="Times New Roman" w:eastAsia="Times New Roman" w:hAnsi="Times New Roman" w:cs="Times New Roman"/>
          <w:color w:val="4472C4" w:themeColor="accent1"/>
        </w:rPr>
        <w:t>e</w:t>
      </w:r>
      <w:r w:rsidR="00B2739A">
        <w:rPr>
          <w:rFonts w:ascii="Times New Roman" w:eastAsia="Times New Roman" w:hAnsi="Times New Roman" w:cs="Times New Roman"/>
          <w:color w:val="4472C4" w:themeColor="accent1"/>
        </w:rPr>
        <w:t>nces in surface heating are conducive to sea/land breezes</w:t>
      </w:r>
      <w:r w:rsidR="00FC0F05">
        <w:rPr>
          <w:rFonts w:ascii="Times New Roman" w:eastAsia="Times New Roman" w:hAnsi="Times New Roman" w:cs="Times New Roman"/>
          <w:color w:val="4472C4" w:themeColor="accent1"/>
        </w:rPr>
        <w:t>.  So, I think this power spectral analysis will provide useful information in determining if the EOF struc</w:t>
      </w:r>
      <w:r w:rsidR="00CD39D1">
        <w:rPr>
          <w:rFonts w:ascii="Times New Roman" w:eastAsia="Times New Roman" w:hAnsi="Times New Roman" w:cs="Times New Roman"/>
          <w:color w:val="4472C4" w:themeColor="accent1"/>
        </w:rPr>
        <w:t>t</w:t>
      </w:r>
      <w:r w:rsidR="00FC0F05">
        <w:rPr>
          <w:rFonts w:ascii="Times New Roman" w:eastAsia="Times New Roman" w:hAnsi="Times New Roman" w:cs="Times New Roman"/>
          <w:color w:val="4472C4" w:themeColor="accent1"/>
        </w:rPr>
        <w:t xml:space="preserve">ures I analyzed in the previous homework were indeed </w:t>
      </w:r>
      <w:r w:rsidR="00664446">
        <w:rPr>
          <w:rFonts w:ascii="Times New Roman" w:eastAsia="Times New Roman" w:hAnsi="Times New Roman" w:cs="Times New Roman"/>
          <w:color w:val="4472C4" w:themeColor="accent1"/>
        </w:rPr>
        <w:t xml:space="preserve">caused by diurnal </w:t>
      </w:r>
      <w:r w:rsidR="00CE442D">
        <w:rPr>
          <w:rFonts w:ascii="Times New Roman" w:eastAsia="Times New Roman" w:hAnsi="Times New Roman" w:cs="Times New Roman"/>
          <w:color w:val="4472C4" w:themeColor="accent1"/>
        </w:rPr>
        <w:t xml:space="preserve">and seasonal variability.  </w:t>
      </w:r>
    </w:p>
    <w:p w14:paraId="718D8DF9" w14:textId="77777777" w:rsidR="00C74572" w:rsidRPr="0084717F" w:rsidRDefault="00C74572" w:rsidP="00C74572">
      <w:pPr>
        <w:pStyle w:val="ListParagraph"/>
        <w:jc w:val="both"/>
        <w:rPr>
          <w:b/>
        </w:rPr>
      </w:pPr>
    </w:p>
    <w:p w14:paraId="012CAAED" w14:textId="5E8C811E" w:rsidR="0050173B" w:rsidRDefault="0050173B" w:rsidP="0050173B">
      <w:pPr>
        <w:pStyle w:val="ListParagraph"/>
        <w:numPr>
          <w:ilvl w:val="0"/>
          <w:numId w:val="1"/>
        </w:numPr>
        <w:jc w:val="both"/>
        <w:rPr>
          <w:b/>
        </w:rPr>
      </w:pPr>
      <w:r w:rsidRPr="0084717F">
        <w:rPr>
          <w:b/>
        </w:rPr>
        <w:t>Explain what you expect to see in the power spectra plots.  Do this **before** you do the analysis.  What is your hypothesis?  (There is not any penalty for it being wrong…!) (10 points)</w:t>
      </w:r>
    </w:p>
    <w:p w14:paraId="4F4238E2" w14:textId="0D649969" w:rsidR="00C74572" w:rsidRPr="00034494" w:rsidRDefault="00034494" w:rsidP="00C74572">
      <w:pPr>
        <w:pStyle w:val="ListParagraph"/>
        <w:jc w:val="both"/>
        <w:rPr>
          <w:rFonts w:ascii="Times New Roman" w:eastAsia="Times New Roman" w:hAnsi="Times New Roman" w:cs="Times New Roman"/>
          <w:color w:val="4472C4" w:themeColor="accent1"/>
        </w:rPr>
      </w:pPr>
      <w:r w:rsidRPr="00034494">
        <w:rPr>
          <w:rFonts w:ascii="Times New Roman" w:eastAsia="Times New Roman" w:hAnsi="Times New Roman" w:cs="Times New Roman"/>
          <w:color w:val="4472C4" w:themeColor="accent1"/>
        </w:rPr>
        <w:t xml:space="preserve">I expect to see </w:t>
      </w:r>
      <w:r w:rsidR="00CD760D">
        <w:rPr>
          <w:rFonts w:ascii="Times New Roman" w:eastAsia="Times New Roman" w:hAnsi="Times New Roman" w:cs="Times New Roman"/>
          <w:color w:val="4472C4" w:themeColor="accent1"/>
        </w:rPr>
        <w:t xml:space="preserve">power at </w:t>
      </w:r>
      <w:r w:rsidR="00C8290A">
        <w:rPr>
          <w:rFonts w:ascii="Times New Roman" w:eastAsia="Times New Roman" w:hAnsi="Times New Roman" w:cs="Times New Roman"/>
          <w:color w:val="4472C4" w:themeColor="accent1"/>
        </w:rPr>
        <w:t>frequencies corresponding to a 24-hour perio</w:t>
      </w:r>
      <w:r w:rsidR="002F3C48">
        <w:rPr>
          <w:rFonts w:ascii="Times New Roman" w:eastAsia="Times New Roman" w:hAnsi="Times New Roman" w:cs="Times New Roman"/>
          <w:color w:val="4472C4" w:themeColor="accent1"/>
        </w:rPr>
        <w:t>d</w:t>
      </w:r>
      <w:r w:rsidR="00C8290A">
        <w:rPr>
          <w:rFonts w:ascii="Times New Roman" w:eastAsia="Times New Roman" w:hAnsi="Times New Roman" w:cs="Times New Roman"/>
          <w:color w:val="4472C4" w:themeColor="accent1"/>
        </w:rPr>
        <w:t xml:space="preserve">.  I expect this because land/sea breeze circulations are induced by daytime heating </w:t>
      </w:r>
      <w:r w:rsidR="00456BDF">
        <w:rPr>
          <w:rFonts w:ascii="Times New Roman" w:eastAsia="Times New Roman" w:hAnsi="Times New Roman" w:cs="Times New Roman"/>
          <w:color w:val="4472C4" w:themeColor="accent1"/>
        </w:rPr>
        <w:t>and follow the diurnal cycle.</w:t>
      </w:r>
      <w:r w:rsidR="00CB2936">
        <w:rPr>
          <w:rFonts w:ascii="Times New Roman" w:eastAsia="Times New Roman" w:hAnsi="Times New Roman" w:cs="Times New Roman"/>
          <w:color w:val="4472C4" w:themeColor="accent1"/>
        </w:rPr>
        <w:t xml:space="preserve">  Although the temperature contrast between the land and sea surface also follows a yearly timescale, I only have 1 year of output.  So, I don’t think this analysis will have power at a frequency corresponding to </w:t>
      </w:r>
      <w:r w:rsidR="002B4609">
        <w:rPr>
          <w:rFonts w:ascii="Times New Roman" w:eastAsia="Times New Roman" w:hAnsi="Times New Roman" w:cs="Times New Roman"/>
          <w:color w:val="4472C4" w:themeColor="accent1"/>
        </w:rPr>
        <w:t>a</w:t>
      </w:r>
      <w:r w:rsidR="00CB2936">
        <w:rPr>
          <w:rFonts w:ascii="Times New Roman" w:eastAsia="Times New Roman" w:hAnsi="Times New Roman" w:cs="Times New Roman"/>
          <w:color w:val="4472C4" w:themeColor="accent1"/>
        </w:rPr>
        <w:t xml:space="preserve"> yearly timescale.   </w:t>
      </w:r>
    </w:p>
    <w:p w14:paraId="530DA6AD" w14:textId="77777777" w:rsidR="00C74572" w:rsidRPr="0084717F" w:rsidRDefault="00C74572" w:rsidP="00C74572">
      <w:pPr>
        <w:pStyle w:val="ListParagraph"/>
        <w:jc w:val="both"/>
        <w:rPr>
          <w:b/>
        </w:rPr>
      </w:pPr>
    </w:p>
    <w:p w14:paraId="29A607F6" w14:textId="4DC018CF" w:rsidR="0050173B" w:rsidRDefault="0050173B" w:rsidP="0050173B">
      <w:pPr>
        <w:pStyle w:val="ListParagraph"/>
        <w:numPr>
          <w:ilvl w:val="0"/>
          <w:numId w:val="1"/>
        </w:numPr>
        <w:jc w:val="both"/>
        <w:rPr>
          <w:b/>
        </w:rPr>
      </w:pPr>
      <w:r w:rsidRPr="0084717F">
        <w:rPr>
          <w:b/>
        </w:rPr>
        <w:lastRenderedPageBreak/>
        <w:t xml:space="preserve">Perform FFT analysis and find the power spectrum. </w:t>
      </w:r>
      <w:r>
        <w:rPr>
          <w:b/>
        </w:rPr>
        <w:t xml:space="preserve">Provide a plot of normalized power vs. frequency. </w:t>
      </w:r>
      <w:r w:rsidRPr="0084717F">
        <w:rPr>
          <w:b/>
        </w:rPr>
        <w:t>Analyze the statistical significance</w:t>
      </w:r>
      <w:r>
        <w:rPr>
          <w:b/>
        </w:rPr>
        <w:t xml:space="preserve"> of any spectral peaks</w:t>
      </w:r>
      <w:r w:rsidRPr="0084717F">
        <w:rPr>
          <w:b/>
        </w:rPr>
        <w:t xml:space="preserve"> using a 99% confidence level and the null hypothesis of red noise. (20 points)</w:t>
      </w:r>
    </w:p>
    <w:p w14:paraId="5D848E7F" w14:textId="69BB8818" w:rsidR="00C74572" w:rsidRDefault="00BC21D9" w:rsidP="00C74572">
      <w:pPr>
        <w:pStyle w:val="ListParagraph"/>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The plot below shows the raw wind direction data plotted for the full year from Se</w:t>
      </w:r>
      <w:r w:rsidR="004B6CA0">
        <w:rPr>
          <w:rFonts w:ascii="Times New Roman" w:eastAsia="Times New Roman" w:hAnsi="Times New Roman" w:cs="Times New Roman"/>
          <w:color w:val="4472C4" w:themeColor="accent1"/>
        </w:rPr>
        <w:t>pt</w:t>
      </w:r>
      <w:r>
        <w:rPr>
          <w:rFonts w:ascii="Times New Roman" w:eastAsia="Times New Roman" w:hAnsi="Times New Roman" w:cs="Times New Roman"/>
          <w:color w:val="4472C4" w:themeColor="accent1"/>
        </w:rPr>
        <w:t xml:space="preserve">ember 2019 to September 2020.  </w:t>
      </w:r>
    </w:p>
    <w:p w14:paraId="3906D0A2" w14:textId="557EBA0E" w:rsidR="00BC21D9" w:rsidRDefault="00BC21D9" w:rsidP="00C74572">
      <w:pPr>
        <w:pStyle w:val="ListParagraph"/>
        <w:jc w:val="both"/>
        <w:rPr>
          <w:rFonts w:ascii="Times New Roman" w:eastAsia="Times New Roman" w:hAnsi="Times New Roman" w:cs="Times New Roman"/>
          <w:color w:val="4472C4" w:themeColor="accent1"/>
        </w:rPr>
      </w:pPr>
    </w:p>
    <w:p w14:paraId="79B497CE" w14:textId="7A4D6163" w:rsidR="00BC21D9" w:rsidRDefault="00BC21D9" w:rsidP="00C74572">
      <w:pPr>
        <w:pStyle w:val="ListParagraph"/>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Using the same method as before, the lag-1 autocorrelation is 0.76 and the e-folding time is 4 hours. </w:t>
      </w:r>
      <w:r w:rsidR="00DA0C8A">
        <w:rPr>
          <w:rFonts w:ascii="Times New Roman" w:eastAsia="Times New Roman" w:hAnsi="Times New Roman" w:cs="Times New Roman"/>
          <w:color w:val="4472C4" w:themeColor="accent1"/>
        </w:rPr>
        <w:t xml:space="preserve"> For this analysis, </w:t>
      </w:r>
      <w:r w:rsidR="008733A6">
        <w:rPr>
          <w:rFonts w:ascii="Times New Roman" w:eastAsia="Times New Roman" w:hAnsi="Times New Roman" w:cs="Times New Roman"/>
          <w:color w:val="4472C4" w:themeColor="accent1"/>
        </w:rPr>
        <w:t xml:space="preserve">we use </w:t>
      </w:r>
      <w:r w:rsidR="006951CE">
        <w:rPr>
          <w:rFonts w:ascii="Times New Roman" w:eastAsia="Times New Roman" w:hAnsi="Times New Roman" w:cs="Times New Roman"/>
          <w:color w:val="4472C4" w:themeColor="accent1"/>
        </w:rPr>
        <w:t>a</w:t>
      </w:r>
      <w:r w:rsidR="003A319B">
        <w:rPr>
          <w:rFonts w:ascii="Times New Roman" w:eastAsia="Times New Roman" w:hAnsi="Times New Roman" w:cs="Times New Roman"/>
          <w:color w:val="4472C4" w:themeColor="accent1"/>
        </w:rPr>
        <w:t xml:space="preserve"> sliding Hanning window of length 24</w:t>
      </w:r>
      <w:r w:rsidR="00DA0C8A">
        <w:rPr>
          <w:rFonts w:ascii="Times New Roman" w:eastAsia="Times New Roman" w:hAnsi="Times New Roman" w:cs="Times New Roman"/>
          <w:color w:val="4472C4" w:themeColor="accent1"/>
        </w:rPr>
        <w:t>.</w:t>
      </w:r>
      <w:r w:rsidR="003A319B">
        <w:rPr>
          <w:rFonts w:ascii="Times New Roman" w:eastAsia="Times New Roman" w:hAnsi="Times New Roman" w:cs="Times New Roman"/>
          <w:color w:val="4472C4" w:themeColor="accent1"/>
        </w:rPr>
        <w:t xml:space="preserve">  </w:t>
      </w:r>
      <w:r w:rsidR="006951CE">
        <w:rPr>
          <w:rFonts w:ascii="Times New Roman" w:eastAsia="Times New Roman" w:hAnsi="Times New Roman" w:cs="Times New Roman"/>
          <w:color w:val="4472C4" w:themeColor="accent1"/>
        </w:rPr>
        <w:t xml:space="preserve">We do not care about frequencies </w:t>
      </w:r>
      <w:r w:rsidR="00C21D96">
        <w:rPr>
          <w:rFonts w:ascii="Times New Roman" w:eastAsia="Times New Roman" w:hAnsi="Times New Roman" w:cs="Times New Roman"/>
          <w:color w:val="4472C4" w:themeColor="accent1"/>
        </w:rPr>
        <w:t>higher</w:t>
      </w:r>
      <w:r w:rsidR="006951CE">
        <w:rPr>
          <w:rFonts w:ascii="Times New Roman" w:eastAsia="Times New Roman" w:hAnsi="Times New Roman" w:cs="Times New Roman"/>
          <w:color w:val="4472C4" w:themeColor="accent1"/>
        </w:rPr>
        <w:t xml:space="preserve"> than the daily scale, </w:t>
      </w:r>
      <w:r w:rsidR="00C21D96">
        <w:rPr>
          <w:rFonts w:ascii="Times New Roman" w:eastAsia="Times New Roman" w:hAnsi="Times New Roman" w:cs="Times New Roman"/>
          <w:color w:val="4472C4" w:themeColor="accent1"/>
        </w:rPr>
        <w:t xml:space="preserve">as these are likely </w:t>
      </w:r>
    </w:p>
    <w:p w14:paraId="01CD78E2" w14:textId="42A316B2" w:rsidR="00B94399" w:rsidRDefault="00B94399" w:rsidP="00C74572">
      <w:pPr>
        <w:pStyle w:val="ListParagraph"/>
        <w:jc w:val="both"/>
        <w:rPr>
          <w:rFonts w:ascii="Times New Roman" w:eastAsia="Times New Roman" w:hAnsi="Times New Roman" w:cs="Times New Roman"/>
          <w:color w:val="4472C4" w:themeColor="accent1"/>
        </w:rPr>
      </w:pPr>
    </w:p>
    <w:p w14:paraId="33525E5E" w14:textId="6E730100" w:rsidR="005647B4" w:rsidRDefault="002E4B53" w:rsidP="005647B4">
      <w:pPr>
        <w:pStyle w:val="ListParagraph"/>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For the power spectral analysis, we will test two different window lengths.  The first </w:t>
      </w:r>
      <w:r w:rsidR="00907216">
        <w:rPr>
          <w:rFonts w:ascii="Times New Roman" w:eastAsia="Times New Roman" w:hAnsi="Times New Roman" w:cs="Times New Roman"/>
          <w:color w:val="4472C4" w:themeColor="accent1"/>
        </w:rPr>
        <w:t xml:space="preserve">method </w:t>
      </w:r>
      <w:r w:rsidR="00113632">
        <w:rPr>
          <w:rFonts w:ascii="Times New Roman" w:eastAsia="Times New Roman" w:hAnsi="Times New Roman" w:cs="Times New Roman"/>
          <w:color w:val="4472C4" w:themeColor="accent1"/>
        </w:rPr>
        <w:t xml:space="preserve">(top figure) </w:t>
      </w:r>
      <w:r>
        <w:rPr>
          <w:rFonts w:ascii="Times New Roman" w:eastAsia="Times New Roman" w:hAnsi="Times New Roman" w:cs="Times New Roman"/>
          <w:color w:val="4472C4" w:themeColor="accent1"/>
        </w:rPr>
        <w:t xml:space="preserve">leaves only two windows for use.  The second </w:t>
      </w:r>
      <w:r w:rsidR="009028AF">
        <w:rPr>
          <w:rFonts w:ascii="Times New Roman" w:eastAsia="Times New Roman" w:hAnsi="Times New Roman" w:cs="Times New Roman"/>
          <w:color w:val="4472C4" w:themeColor="accent1"/>
        </w:rPr>
        <w:t xml:space="preserve">method (bottom figure) </w:t>
      </w:r>
      <w:r>
        <w:rPr>
          <w:rFonts w:ascii="Times New Roman" w:eastAsia="Times New Roman" w:hAnsi="Times New Roman" w:cs="Times New Roman"/>
          <w:color w:val="4472C4" w:themeColor="accent1"/>
        </w:rPr>
        <w:t xml:space="preserve">uses windows of length 24 hours.  We choose </w:t>
      </w:r>
      <w:r w:rsidR="0035310E">
        <w:rPr>
          <w:rFonts w:ascii="Times New Roman" w:eastAsia="Times New Roman" w:hAnsi="Times New Roman" w:cs="Times New Roman"/>
          <w:color w:val="4472C4" w:themeColor="accent1"/>
        </w:rPr>
        <w:t>the</w:t>
      </w:r>
      <w:r>
        <w:rPr>
          <w:rFonts w:ascii="Times New Roman" w:eastAsia="Times New Roman" w:hAnsi="Times New Roman" w:cs="Times New Roman"/>
          <w:color w:val="4472C4" w:themeColor="accent1"/>
        </w:rPr>
        <w:t xml:space="preserve"> cutoff </w:t>
      </w:r>
      <w:r w:rsidR="00D90CA7">
        <w:rPr>
          <w:rFonts w:ascii="Times New Roman" w:eastAsia="Times New Roman" w:hAnsi="Times New Roman" w:cs="Times New Roman"/>
          <w:color w:val="4472C4" w:themeColor="accent1"/>
        </w:rPr>
        <w:t xml:space="preserve">of 24 </w:t>
      </w:r>
      <w:r>
        <w:rPr>
          <w:rFonts w:ascii="Times New Roman" w:eastAsia="Times New Roman" w:hAnsi="Times New Roman" w:cs="Times New Roman"/>
          <w:color w:val="4472C4" w:themeColor="accent1"/>
        </w:rPr>
        <w:t xml:space="preserve">since we are not concerned with frequencies higher than a daily cycle leaking to the lower (daily) frequency.  This is because wind direction is highly sensitive to thermal gradients and </w:t>
      </w:r>
      <w:r w:rsidR="007B747B">
        <w:rPr>
          <w:rFonts w:ascii="Times New Roman" w:eastAsia="Times New Roman" w:hAnsi="Times New Roman" w:cs="Times New Roman"/>
          <w:color w:val="4472C4" w:themeColor="accent1"/>
        </w:rPr>
        <w:t xml:space="preserve">thus </w:t>
      </w:r>
      <w:r>
        <w:rPr>
          <w:rFonts w:ascii="Times New Roman" w:eastAsia="Times New Roman" w:hAnsi="Times New Roman" w:cs="Times New Roman"/>
          <w:color w:val="4472C4" w:themeColor="accent1"/>
        </w:rPr>
        <w:t xml:space="preserve">typically </w:t>
      </w:r>
      <w:r w:rsidR="007B747B">
        <w:rPr>
          <w:rFonts w:ascii="Times New Roman" w:eastAsia="Times New Roman" w:hAnsi="Times New Roman" w:cs="Times New Roman"/>
          <w:color w:val="4472C4" w:themeColor="accent1"/>
        </w:rPr>
        <w:t>varies at frequencies controlled by a diurnal cycle or lower frequencies</w:t>
      </w:r>
      <w:r>
        <w:rPr>
          <w:rFonts w:ascii="Times New Roman" w:eastAsia="Times New Roman" w:hAnsi="Times New Roman" w:cs="Times New Roman"/>
          <w:color w:val="4472C4" w:themeColor="accent1"/>
        </w:rPr>
        <w:t>.  Furthermore, comparison of a sho</w:t>
      </w:r>
      <w:r w:rsidR="00BE2299">
        <w:rPr>
          <w:rFonts w:ascii="Times New Roman" w:eastAsia="Times New Roman" w:hAnsi="Times New Roman" w:cs="Times New Roman"/>
          <w:color w:val="4472C4" w:themeColor="accent1"/>
        </w:rPr>
        <w:t>r</w:t>
      </w:r>
      <w:r>
        <w:rPr>
          <w:rFonts w:ascii="Times New Roman" w:eastAsia="Times New Roman" w:hAnsi="Times New Roman" w:cs="Times New Roman"/>
          <w:color w:val="4472C4" w:themeColor="accent1"/>
        </w:rPr>
        <w:t xml:space="preserve">t and long window </w:t>
      </w:r>
      <w:r w:rsidR="004D3395">
        <w:rPr>
          <w:rFonts w:ascii="Times New Roman" w:eastAsia="Times New Roman" w:hAnsi="Times New Roman" w:cs="Times New Roman"/>
          <w:color w:val="4472C4" w:themeColor="accent1"/>
        </w:rPr>
        <w:t>creates</w:t>
      </w:r>
      <w:r>
        <w:rPr>
          <w:rFonts w:ascii="Times New Roman" w:eastAsia="Times New Roman" w:hAnsi="Times New Roman" w:cs="Times New Roman"/>
          <w:color w:val="4472C4" w:themeColor="accent1"/>
        </w:rPr>
        <w:t xml:space="preserve"> </w:t>
      </w:r>
      <w:r w:rsidR="00BE2299">
        <w:rPr>
          <w:rFonts w:ascii="Times New Roman" w:eastAsia="Times New Roman" w:hAnsi="Times New Roman" w:cs="Times New Roman"/>
          <w:color w:val="4472C4" w:themeColor="accent1"/>
        </w:rPr>
        <w:t xml:space="preserve">both high temporal resolution and high fidelity in the amplitude of power to be compared.  </w:t>
      </w:r>
    </w:p>
    <w:p w14:paraId="11345A80" w14:textId="71EE2943" w:rsidR="00503654" w:rsidRDefault="00503654" w:rsidP="00503654">
      <w:r>
        <w:rPr>
          <w:rFonts w:ascii="Arial" w:hAnsi="Arial" w:cs="Arial"/>
          <w:color w:val="000000"/>
          <w:sz w:val="40"/>
          <w:szCs w:val="40"/>
          <w:bdr w:val="none" w:sz="0" w:space="0" w:color="auto" w:frame="1"/>
        </w:rPr>
        <w:fldChar w:fldCharType="begin"/>
      </w:r>
      <w:r>
        <w:rPr>
          <w:rFonts w:ascii="Arial" w:hAnsi="Arial" w:cs="Arial"/>
          <w:color w:val="000000"/>
          <w:sz w:val="40"/>
          <w:szCs w:val="40"/>
          <w:bdr w:val="none" w:sz="0" w:space="0" w:color="auto" w:frame="1"/>
        </w:rPr>
        <w:instrText xml:space="preserve"> INCLUDEPICTURE "https://lh5.googleusercontent.com/3ICzhpGEbWb49zApmo5pJrR0I2F-ysaVxPQOTaKZ9lBxyblA6bzZrOxe37jlhFmAWF8JgHmRJIOa38dX6O_Kq0iEkYMe_luEyGNIVcdCt3fhj4adH36NJbntzw6-4M8B2oOlsd4m" \* MERGEFORMATINET </w:instrText>
      </w:r>
      <w:r>
        <w:rPr>
          <w:rFonts w:ascii="Arial" w:hAnsi="Arial" w:cs="Arial"/>
          <w:color w:val="000000"/>
          <w:sz w:val="40"/>
          <w:szCs w:val="40"/>
          <w:bdr w:val="none" w:sz="0" w:space="0" w:color="auto" w:frame="1"/>
        </w:rPr>
        <w:fldChar w:fldCharType="separate"/>
      </w:r>
      <w:r>
        <w:rPr>
          <w:rFonts w:ascii="Arial" w:hAnsi="Arial" w:cs="Arial"/>
          <w:noProof/>
          <w:color w:val="000000"/>
          <w:sz w:val="40"/>
          <w:szCs w:val="40"/>
          <w:bdr w:val="none" w:sz="0" w:space="0" w:color="auto" w:frame="1"/>
        </w:rPr>
        <w:drawing>
          <wp:inline distT="0" distB="0" distL="0" distR="0" wp14:anchorId="5C53AD83" wp14:editId="67A9A364">
            <wp:extent cx="5943600" cy="2083435"/>
            <wp:effectExtent l="0" t="0" r="0" b="0"/>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r>
        <w:rPr>
          <w:rFonts w:ascii="Arial" w:hAnsi="Arial" w:cs="Arial"/>
          <w:color w:val="000000"/>
          <w:sz w:val="40"/>
          <w:szCs w:val="40"/>
          <w:bdr w:val="none" w:sz="0" w:space="0" w:color="auto" w:frame="1"/>
        </w:rPr>
        <w:fldChar w:fldCharType="end"/>
      </w:r>
    </w:p>
    <w:p w14:paraId="35BA0DEC" w14:textId="6DD3AD7D" w:rsidR="0014495F" w:rsidRDefault="0014495F" w:rsidP="0014495F"/>
    <w:p w14:paraId="47AD45C6" w14:textId="3767D8A5" w:rsidR="00503654" w:rsidRDefault="00503654" w:rsidP="00503654">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"https://lh5.googleusercontent.com/TfBcln12pCKeZkS1blrSqQsvpTZVbSpkPRRSLrgTuACeiTUJPCRpkWk7yYSVCIy2O-06kx90XXD4Tfk6jp2vUUiZR1sjHC8wKuyrOYlUvqpiiBw66a6LSQca27gcWfC1sSPePcrp"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B96EA74" wp14:editId="4EEB63FE">
            <wp:extent cx="5943600" cy="209994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994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5939FE0E" w14:textId="17BC0BEF" w:rsidR="0014495F" w:rsidRDefault="0014495F" w:rsidP="0014495F"/>
    <w:p w14:paraId="4CFA533D" w14:textId="5241885B" w:rsidR="008A7A47" w:rsidRDefault="008A7A47" w:rsidP="005647B4">
      <w:pPr>
        <w:pStyle w:val="ListParagraph"/>
        <w:jc w:val="both"/>
        <w:rPr>
          <w:rFonts w:ascii="Times New Roman" w:eastAsia="Times New Roman" w:hAnsi="Times New Roman" w:cs="Times New Roman"/>
          <w:color w:val="4472C4" w:themeColor="accent1"/>
        </w:rPr>
      </w:pPr>
    </w:p>
    <w:p w14:paraId="3718F89B" w14:textId="54061B37" w:rsidR="000E1708" w:rsidRDefault="000E1708" w:rsidP="005647B4">
      <w:pPr>
        <w:pStyle w:val="ListParagraph"/>
        <w:jc w:val="both"/>
        <w:rPr>
          <w:rFonts w:ascii="Times New Roman" w:eastAsia="Times New Roman" w:hAnsi="Times New Roman" w:cs="Times New Roman"/>
          <w:color w:val="4472C4" w:themeColor="accent1"/>
        </w:rPr>
      </w:pPr>
    </w:p>
    <w:p w14:paraId="371DAF22" w14:textId="237D7015" w:rsidR="00D365F6" w:rsidRPr="00E201F7" w:rsidRDefault="000E1708" w:rsidP="00D365F6">
      <w:pPr>
        <w:pStyle w:val="ListParagraph"/>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lastRenderedPageBreak/>
        <w:t>From the plots above, the first method</w:t>
      </w:r>
      <w:r w:rsidR="00D365F6">
        <w:rPr>
          <w:rFonts w:ascii="Times New Roman" w:eastAsia="Times New Roman" w:hAnsi="Times New Roman" w:cs="Times New Roman"/>
          <w:color w:val="4472C4" w:themeColor="accent1"/>
        </w:rPr>
        <w:t xml:space="preserve">, using </w:t>
      </w:r>
      <w:r>
        <w:rPr>
          <w:rFonts w:ascii="Times New Roman" w:eastAsia="Times New Roman" w:hAnsi="Times New Roman" w:cs="Times New Roman"/>
          <w:color w:val="4472C4" w:themeColor="accent1"/>
        </w:rPr>
        <w:t>two windows only</w:t>
      </w:r>
      <w:r w:rsidR="00D365F6">
        <w:rPr>
          <w:rFonts w:ascii="Times New Roman" w:eastAsia="Times New Roman" w:hAnsi="Times New Roman" w:cs="Times New Roman"/>
          <w:color w:val="4472C4" w:themeColor="accent1"/>
        </w:rPr>
        <w:t>,</w:t>
      </w:r>
      <w:r>
        <w:rPr>
          <w:rFonts w:ascii="Times New Roman" w:eastAsia="Times New Roman" w:hAnsi="Times New Roman" w:cs="Times New Roman"/>
          <w:color w:val="4472C4" w:themeColor="accent1"/>
        </w:rPr>
        <w:t xml:space="preserve"> </w:t>
      </w:r>
      <w:r w:rsidR="00D742A5">
        <w:rPr>
          <w:rFonts w:ascii="Times New Roman" w:eastAsia="Times New Roman" w:hAnsi="Times New Roman" w:cs="Times New Roman"/>
          <w:color w:val="4472C4" w:themeColor="accent1"/>
        </w:rPr>
        <w:t>result</w:t>
      </w:r>
      <w:r w:rsidR="002078F4">
        <w:rPr>
          <w:rFonts w:ascii="Times New Roman" w:eastAsia="Times New Roman" w:hAnsi="Times New Roman" w:cs="Times New Roman"/>
          <w:color w:val="4472C4" w:themeColor="accent1"/>
        </w:rPr>
        <w:t>s</w:t>
      </w:r>
      <w:r w:rsidR="00D742A5">
        <w:rPr>
          <w:rFonts w:ascii="Times New Roman" w:eastAsia="Times New Roman" w:hAnsi="Times New Roman" w:cs="Times New Roman"/>
          <w:color w:val="4472C4" w:themeColor="accent1"/>
        </w:rPr>
        <w:t xml:space="preserve"> in </w:t>
      </w:r>
      <w:r w:rsidR="002078F4">
        <w:rPr>
          <w:rFonts w:ascii="Times New Roman" w:eastAsia="Times New Roman" w:hAnsi="Times New Roman" w:cs="Times New Roman"/>
          <w:color w:val="4472C4" w:themeColor="accent1"/>
        </w:rPr>
        <w:t xml:space="preserve">three distinctive frequencies that have statistically significant power.  </w:t>
      </w:r>
      <w:r w:rsidR="00AF4B53">
        <w:rPr>
          <w:rFonts w:ascii="Times New Roman" w:eastAsia="Times New Roman" w:hAnsi="Times New Roman" w:cs="Times New Roman"/>
          <w:color w:val="4472C4" w:themeColor="accent1"/>
        </w:rPr>
        <w:t>These frequencies are 0.003 hr</w:t>
      </w:r>
      <w:r w:rsidR="00AF4B53">
        <w:rPr>
          <w:rFonts w:ascii="Times New Roman" w:eastAsia="Times New Roman" w:hAnsi="Times New Roman" w:cs="Times New Roman"/>
          <w:color w:val="4472C4" w:themeColor="accent1"/>
          <w:vertAlign w:val="superscript"/>
        </w:rPr>
        <w:t>-1</w:t>
      </w:r>
      <w:r w:rsidR="00AF4B53">
        <w:rPr>
          <w:rFonts w:ascii="Times New Roman" w:eastAsia="Times New Roman" w:hAnsi="Times New Roman" w:cs="Times New Roman"/>
          <w:color w:val="4472C4" w:themeColor="accent1"/>
        </w:rPr>
        <w:t>, 0.01 hr</w:t>
      </w:r>
      <w:r w:rsidR="00AF4B53">
        <w:rPr>
          <w:rFonts w:ascii="Times New Roman" w:eastAsia="Times New Roman" w:hAnsi="Times New Roman" w:cs="Times New Roman"/>
          <w:color w:val="4472C4" w:themeColor="accent1"/>
          <w:vertAlign w:val="superscript"/>
        </w:rPr>
        <w:t>-1</w:t>
      </w:r>
      <w:r w:rsidR="00AF4B53">
        <w:rPr>
          <w:rFonts w:ascii="Times New Roman" w:eastAsia="Times New Roman" w:hAnsi="Times New Roman" w:cs="Times New Roman"/>
          <w:color w:val="4472C4" w:themeColor="accent1"/>
        </w:rPr>
        <w:t>, and 0.04</w:t>
      </w:r>
      <w:r w:rsidR="00F23147">
        <w:rPr>
          <w:rFonts w:ascii="Times New Roman" w:eastAsia="Times New Roman" w:hAnsi="Times New Roman" w:cs="Times New Roman"/>
          <w:color w:val="4472C4" w:themeColor="accent1"/>
        </w:rPr>
        <w:t>1</w:t>
      </w:r>
      <w:r w:rsidR="00AF4B53">
        <w:rPr>
          <w:rFonts w:ascii="Times New Roman" w:eastAsia="Times New Roman" w:hAnsi="Times New Roman" w:cs="Times New Roman"/>
          <w:color w:val="4472C4" w:themeColor="accent1"/>
        </w:rPr>
        <w:t xml:space="preserve"> hr</w:t>
      </w:r>
      <w:r w:rsidR="00AF4B53">
        <w:rPr>
          <w:rFonts w:ascii="Times New Roman" w:eastAsia="Times New Roman" w:hAnsi="Times New Roman" w:cs="Times New Roman"/>
          <w:color w:val="4472C4" w:themeColor="accent1"/>
          <w:vertAlign w:val="superscript"/>
        </w:rPr>
        <w:t>-1</w:t>
      </w:r>
      <w:r w:rsidR="00AF4B53">
        <w:rPr>
          <w:rFonts w:ascii="Times New Roman" w:eastAsia="Times New Roman" w:hAnsi="Times New Roman" w:cs="Times New Roman"/>
          <w:color w:val="4472C4" w:themeColor="accent1"/>
        </w:rPr>
        <w:t xml:space="preserve">. </w:t>
      </w:r>
      <w:r w:rsidR="00EA52CD">
        <w:rPr>
          <w:rFonts w:ascii="Times New Roman" w:eastAsia="Times New Roman" w:hAnsi="Times New Roman" w:cs="Times New Roman"/>
          <w:color w:val="4472C4" w:themeColor="accent1"/>
        </w:rPr>
        <w:t>The greatest power is found at the frequency of 0.003 hr</w:t>
      </w:r>
      <w:r w:rsidR="00EA52CD">
        <w:rPr>
          <w:rFonts w:ascii="Times New Roman" w:eastAsia="Times New Roman" w:hAnsi="Times New Roman" w:cs="Times New Roman"/>
          <w:color w:val="4472C4" w:themeColor="accent1"/>
          <w:vertAlign w:val="superscript"/>
        </w:rPr>
        <w:t>-1</w:t>
      </w:r>
      <w:r w:rsidR="008176B7">
        <w:rPr>
          <w:rFonts w:ascii="Times New Roman" w:eastAsia="Times New Roman" w:hAnsi="Times New Roman" w:cs="Times New Roman"/>
          <w:color w:val="4472C4" w:themeColor="accent1"/>
        </w:rPr>
        <w:t xml:space="preserve"> with an amplitude of </w:t>
      </w:r>
      <w:r w:rsidR="00EA6F4E">
        <w:rPr>
          <w:rFonts w:ascii="Times New Roman" w:eastAsia="Times New Roman" w:hAnsi="Times New Roman" w:cs="Times New Roman"/>
          <w:color w:val="4472C4" w:themeColor="accent1"/>
        </w:rPr>
        <w:t>0.021</w:t>
      </w:r>
      <w:r w:rsidR="008176B7">
        <w:rPr>
          <w:rFonts w:ascii="Times New Roman" w:eastAsia="Times New Roman" w:hAnsi="Times New Roman" w:cs="Times New Roman"/>
          <w:color w:val="4472C4" w:themeColor="accent1"/>
        </w:rPr>
        <w:t>.</w:t>
      </w:r>
      <w:r w:rsidR="00D365F6">
        <w:rPr>
          <w:rFonts w:ascii="Times New Roman" w:eastAsia="Times New Roman" w:hAnsi="Times New Roman" w:cs="Times New Roman"/>
          <w:color w:val="4472C4" w:themeColor="accent1"/>
        </w:rPr>
        <w:t xml:space="preserve">  The second plot, which uses </w:t>
      </w:r>
      <w:r w:rsidR="002E3EE0">
        <w:rPr>
          <w:rFonts w:ascii="Times New Roman" w:eastAsia="Times New Roman" w:hAnsi="Times New Roman" w:cs="Times New Roman"/>
          <w:color w:val="4472C4" w:themeColor="accent1"/>
        </w:rPr>
        <w:t>2392</w:t>
      </w:r>
      <w:r w:rsidR="00D365F6">
        <w:rPr>
          <w:rFonts w:ascii="Times New Roman" w:eastAsia="Times New Roman" w:hAnsi="Times New Roman" w:cs="Times New Roman"/>
          <w:color w:val="4472C4" w:themeColor="accent1"/>
        </w:rPr>
        <w:t xml:space="preserve"> windows of length 24,</w:t>
      </w:r>
      <w:r w:rsidR="00BD796E">
        <w:rPr>
          <w:rFonts w:ascii="Times New Roman" w:eastAsia="Times New Roman" w:hAnsi="Times New Roman" w:cs="Times New Roman"/>
          <w:color w:val="4472C4" w:themeColor="accent1"/>
        </w:rPr>
        <w:t xml:space="preserve"> results in a </w:t>
      </w:r>
      <w:r w:rsidR="00EF69D0">
        <w:rPr>
          <w:rFonts w:ascii="Times New Roman" w:eastAsia="Times New Roman" w:hAnsi="Times New Roman" w:cs="Times New Roman"/>
          <w:color w:val="4472C4" w:themeColor="accent1"/>
        </w:rPr>
        <w:t xml:space="preserve">large range of statistically significant frequencies. </w:t>
      </w:r>
      <w:r w:rsidR="00BE6E98">
        <w:rPr>
          <w:rFonts w:ascii="Times New Roman" w:eastAsia="Times New Roman" w:hAnsi="Times New Roman" w:cs="Times New Roman"/>
          <w:color w:val="4472C4" w:themeColor="accent1"/>
        </w:rPr>
        <w:t xml:space="preserve"> </w:t>
      </w:r>
      <w:r w:rsidR="00E201F7">
        <w:rPr>
          <w:rFonts w:ascii="Times New Roman" w:eastAsia="Times New Roman" w:hAnsi="Times New Roman" w:cs="Times New Roman"/>
          <w:color w:val="4472C4" w:themeColor="accent1"/>
        </w:rPr>
        <w:t>This range exists from roughly 0.034 hr</w:t>
      </w:r>
      <w:r w:rsidR="00E201F7">
        <w:rPr>
          <w:rFonts w:ascii="Times New Roman" w:eastAsia="Times New Roman" w:hAnsi="Times New Roman" w:cs="Times New Roman"/>
          <w:color w:val="4472C4" w:themeColor="accent1"/>
          <w:vertAlign w:val="superscript"/>
        </w:rPr>
        <w:t>-1</w:t>
      </w:r>
      <w:r w:rsidR="00E201F7">
        <w:rPr>
          <w:rFonts w:ascii="Times New Roman" w:eastAsia="Times New Roman" w:hAnsi="Times New Roman" w:cs="Times New Roman"/>
          <w:color w:val="4472C4" w:themeColor="accent1"/>
        </w:rPr>
        <w:t xml:space="preserve"> and greater.  The greatest power is found at the frequency of 0.041 hr</w:t>
      </w:r>
      <w:r w:rsidR="00E201F7">
        <w:rPr>
          <w:rFonts w:ascii="Times New Roman" w:eastAsia="Times New Roman" w:hAnsi="Times New Roman" w:cs="Times New Roman"/>
          <w:color w:val="4472C4" w:themeColor="accent1"/>
          <w:vertAlign w:val="superscript"/>
        </w:rPr>
        <w:t>-1</w:t>
      </w:r>
      <w:r w:rsidR="00E201F7">
        <w:rPr>
          <w:rFonts w:ascii="Times New Roman" w:eastAsia="Times New Roman" w:hAnsi="Times New Roman" w:cs="Times New Roman"/>
          <w:color w:val="4472C4" w:themeColor="accent1"/>
        </w:rPr>
        <w:t xml:space="preserve"> with an amplitude of 0.42. </w:t>
      </w:r>
    </w:p>
    <w:p w14:paraId="6D8C5E30" w14:textId="431C60D4" w:rsidR="00C74572" w:rsidRPr="003873DE" w:rsidRDefault="00C74572" w:rsidP="00C74572">
      <w:pPr>
        <w:pStyle w:val="ListParagraph"/>
        <w:jc w:val="both"/>
        <w:rPr>
          <w:bCs/>
        </w:rPr>
      </w:pPr>
    </w:p>
    <w:p w14:paraId="618C353E" w14:textId="3D0647AE" w:rsidR="0050173B" w:rsidRDefault="0050173B" w:rsidP="0050173B">
      <w:pPr>
        <w:pStyle w:val="ListParagraph"/>
        <w:numPr>
          <w:ilvl w:val="0"/>
          <w:numId w:val="1"/>
        </w:numPr>
        <w:jc w:val="both"/>
        <w:rPr>
          <w:b/>
        </w:rPr>
      </w:pPr>
      <w:r w:rsidRPr="0084717F">
        <w:rPr>
          <w:b/>
        </w:rPr>
        <w:t xml:space="preserve">Describe what you found.  Were there statistically significant spectral peaks? </w:t>
      </w:r>
      <w:r>
        <w:rPr>
          <w:b/>
        </w:rPr>
        <w:t xml:space="preserve">What do the peaks mean physically?  </w:t>
      </w:r>
      <w:r w:rsidRPr="0084717F">
        <w:rPr>
          <w:b/>
        </w:rPr>
        <w:t xml:space="preserve">What did you learn?  </w:t>
      </w:r>
      <w:r>
        <w:rPr>
          <w:b/>
        </w:rPr>
        <w:t xml:space="preserve">Did you find what you expected to find?  </w:t>
      </w:r>
      <w:r w:rsidRPr="0084717F">
        <w:rPr>
          <w:b/>
        </w:rPr>
        <w:t xml:space="preserve">(10 points) </w:t>
      </w:r>
    </w:p>
    <w:p w14:paraId="34F8BBF2" w14:textId="0EC784B0" w:rsidR="00C74572" w:rsidRPr="00F40B6F" w:rsidRDefault="006D0ADC" w:rsidP="00C74572">
      <w:pPr>
        <w:pStyle w:val="ListParagraph"/>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Both methods return statistically significant spectral peaks.  </w:t>
      </w:r>
      <w:r w:rsidR="00E53395">
        <w:rPr>
          <w:rFonts w:ascii="Times New Roman" w:eastAsia="Times New Roman" w:hAnsi="Times New Roman" w:cs="Times New Roman"/>
          <w:color w:val="4472C4" w:themeColor="accent1"/>
        </w:rPr>
        <w:t xml:space="preserve">The first method </w:t>
      </w:r>
      <w:r w:rsidR="0087772B">
        <w:rPr>
          <w:rFonts w:ascii="Times New Roman" w:eastAsia="Times New Roman" w:hAnsi="Times New Roman" w:cs="Times New Roman"/>
          <w:color w:val="4472C4" w:themeColor="accent1"/>
        </w:rPr>
        <w:t>finds</w:t>
      </w:r>
      <w:r w:rsidR="00E53395">
        <w:rPr>
          <w:rFonts w:ascii="Times New Roman" w:eastAsia="Times New Roman" w:hAnsi="Times New Roman" w:cs="Times New Roman"/>
          <w:color w:val="4472C4" w:themeColor="accent1"/>
        </w:rPr>
        <w:t xml:space="preserve"> </w:t>
      </w:r>
      <w:r w:rsidR="00B170B3">
        <w:rPr>
          <w:rFonts w:ascii="Times New Roman" w:eastAsia="Times New Roman" w:hAnsi="Times New Roman" w:cs="Times New Roman"/>
          <w:color w:val="4472C4" w:themeColor="accent1"/>
        </w:rPr>
        <w:t xml:space="preserve">three </w:t>
      </w:r>
      <w:r w:rsidR="00E53395">
        <w:rPr>
          <w:rFonts w:ascii="Times New Roman" w:eastAsia="Times New Roman" w:hAnsi="Times New Roman" w:cs="Times New Roman"/>
          <w:color w:val="4472C4" w:themeColor="accent1"/>
        </w:rPr>
        <w:t xml:space="preserve">spectral peaks with high temporal resolution although the fidelity of statistical significance </w:t>
      </w:r>
      <w:r w:rsidR="005D4C31">
        <w:rPr>
          <w:rFonts w:ascii="Times New Roman" w:eastAsia="Times New Roman" w:hAnsi="Times New Roman" w:cs="Times New Roman"/>
          <w:color w:val="4472C4" w:themeColor="accent1"/>
        </w:rPr>
        <w:t>is</w:t>
      </w:r>
      <w:r w:rsidR="00E53395">
        <w:rPr>
          <w:rFonts w:ascii="Times New Roman" w:eastAsia="Times New Roman" w:hAnsi="Times New Roman" w:cs="Times New Roman"/>
          <w:color w:val="4472C4" w:themeColor="accent1"/>
        </w:rPr>
        <w:t xml:space="preserve"> low.  The second method </w:t>
      </w:r>
      <w:r w:rsidR="003001F3">
        <w:rPr>
          <w:rFonts w:ascii="Times New Roman" w:eastAsia="Times New Roman" w:hAnsi="Times New Roman" w:cs="Times New Roman"/>
          <w:color w:val="4472C4" w:themeColor="accent1"/>
        </w:rPr>
        <w:t>returns</w:t>
      </w:r>
      <w:r w:rsidR="0099571B">
        <w:rPr>
          <w:rFonts w:ascii="Times New Roman" w:eastAsia="Times New Roman" w:hAnsi="Times New Roman" w:cs="Times New Roman"/>
          <w:color w:val="4472C4" w:themeColor="accent1"/>
        </w:rPr>
        <w:t xml:space="preserve"> only</w:t>
      </w:r>
      <w:r w:rsidR="00E53395">
        <w:rPr>
          <w:rFonts w:ascii="Times New Roman" w:eastAsia="Times New Roman" w:hAnsi="Times New Roman" w:cs="Times New Roman"/>
          <w:color w:val="4472C4" w:themeColor="accent1"/>
        </w:rPr>
        <w:t xml:space="preserve"> one spectral peak with low resolution but the fidelity of statistical significance is high.</w:t>
      </w:r>
      <w:r w:rsidR="00CF419A">
        <w:rPr>
          <w:rFonts w:ascii="Times New Roman" w:eastAsia="Times New Roman" w:hAnsi="Times New Roman" w:cs="Times New Roman"/>
          <w:color w:val="4472C4" w:themeColor="accent1"/>
        </w:rPr>
        <w:t xml:space="preserve">  </w:t>
      </w:r>
      <w:r w:rsidR="003239F3">
        <w:rPr>
          <w:rFonts w:ascii="Times New Roman" w:eastAsia="Times New Roman" w:hAnsi="Times New Roman" w:cs="Times New Roman"/>
          <w:color w:val="4472C4" w:themeColor="accent1"/>
        </w:rPr>
        <w:t>Combining the two</w:t>
      </w:r>
      <w:r w:rsidR="00963818">
        <w:rPr>
          <w:rFonts w:ascii="Times New Roman" w:eastAsia="Times New Roman" w:hAnsi="Times New Roman" w:cs="Times New Roman"/>
          <w:color w:val="4472C4" w:themeColor="accent1"/>
        </w:rPr>
        <w:t xml:space="preserve"> methods</w:t>
      </w:r>
      <w:r w:rsidR="003239F3">
        <w:rPr>
          <w:rFonts w:ascii="Times New Roman" w:eastAsia="Times New Roman" w:hAnsi="Times New Roman" w:cs="Times New Roman"/>
          <w:color w:val="4472C4" w:themeColor="accent1"/>
        </w:rPr>
        <w:t>, the</w:t>
      </w:r>
      <w:r w:rsidR="003C75AE">
        <w:rPr>
          <w:rFonts w:ascii="Times New Roman" w:eastAsia="Times New Roman" w:hAnsi="Times New Roman" w:cs="Times New Roman"/>
          <w:color w:val="4472C4" w:themeColor="accent1"/>
        </w:rPr>
        <w:t>re is one</w:t>
      </w:r>
      <w:r w:rsidR="003239F3">
        <w:rPr>
          <w:rFonts w:ascii="Times New Roman" w:eastAsia="Times New Roman" w:hAnsi="Times New Roman" w:cs="Times New Roman"/>
          <w:color w:val="4472C4" w:themeColor="accent1"/>
        </w:rPr>
        <w:t xml:space="preserve"> common frequency</w:t>
      </w:r>
      <w:r w:rsidR="003C75AE">
        <w:rPr>
          <w:rFonts w:ascii="Times New Roman" w:eastAsia="Times New Roman" w:hAnsi="Times New Roman" w:cs="Times New Roman"/>
          <w:color w:val="4472C4" w:themeColor="accent1"/>
        </w:rPr>
        <w:t xml:space="preserve"> o</w:t>
      </w:r>
      <w:r w:rsidR="00F40B6F">
        <w:rPr>
          <w:rFonts w:ascii="Times New Roman" w:eastAsia="Times New Roman" w:hAnsi="Times New Roman" w:cs="Times New Roman"/>
          <w:color w:val="4472C4" w:themeColor="accent1"/>
        </w:rPr>
        <w:t>f 0.041 hr</w:t>
      </w:r>
      <w:r w:rsidR="00F40B6F">
        <w:rPr>
          <w:rFonts w:ascii="Times New Roman" w:eastAsia="Times New Roman" w:hAnsi="Times New Roman" w:cs="Times New Roman"/>
          <w:color w:val="4472C4" w:themeColor="accent1"/>
          <w:vertAlign w:val="superscript"/>
        </w:rPr>
        <w:t>-1</w:t>
      </w:r>
      <w:r w:rsidR="00F40B6F">
        <w:rPr>
          <w:rFonts w:ascii="Times New Roman" w:eastAsia="Times New Roman" w:hAnsi="Times New Roman" w:cs="Times New Roman"/>
          <w:color w:val="4472C4" w:themeColor="accent1"/>
        </w:rPr>
        <w:t xml:space="preserve">.  We can be confident with the finding since this frequency exists </w:t>
      </w:r>
      <w:r w:rsidR="005805ED">
        <w:rPr>
          <w:rFonts w:ascii="Times New Roman" w:eastAsia="Times New Roman" w:hAnsi="Times New Roman" w:cs="Times New Roman"/>
          <w:color w:val="4472C4" w:themeColor="accent1"/>
        </w:rPr>
        <w:t xml:space="preserve">both </w:t>
      </w:r>
      <w:r w:rsidR="00F40B6F">
        <w:rPr>
          <w:rFonts w:ascii="Times New Roman" w:eastAsia="Times New Roman" w:hAnsi="Times New Roman" w:cs="Times New Roman"/>
          <w:color w:val="4472C4" w:themeColor="accent1"/>
        </w:rPr>
        <w:t xml:space="preserve">at </w:t>
      </w:r>
      <w:r w:rsidR="00E85771">
        <w:rPr>
          <w:rFonts w:ascii="Times New Roman" w:eastAsia="Times New Roman" w:hAnsi="Times New Roman" w:cs="Times New Roman"/>
          <w:color w:val="4472C4" w:themeColor="accent1"/>
        </w:rPr>
        <w:t xml:space="preserve">a </w:t>
      </w:r>
      <w:r w:rsidR="00F40B6F">
        <w:rPr>
          <w:rFonts w:ascii="Times New Roman" w:eastAsia="Times New Roman" w:hAnsi="Times New Roman" w:cs="Times New Roman"/>
          <w:color w:val="4472C4" w:themeColor="accent1"/>
        </w:rPr>
        <w:t xml:space="preserve">high resolution </w:t>
      </w:r>
      <w:r w:rsidR="00EB5A98">
        <w:rPr>
          <w:rFonts w:ascii="Times New Roman" w:eastAsia="Times New Roman" w:hAnsi="Times New Roman" w:cs="Times New Roman"/>
          <w:color w:val="4472C4" w:themeColor="accent1"/>
        </w:rPr>
        <w:t>and with</w:t>
      </w:r>
      <w:r w:rsidR="00F40B6F">
        <w:rPr>
          <w:rFonts w:ascii="Times New Roman" w:eastAsia="Times New Roman" w:hAnsi="Times New Roman" w:cs="Times New Roman"/>
          <w:color w:val="4472C4" w:themeColor="accent1"/>
        </w:rPr>
        <w:t xml:space="preserve"> a large amplitude and thus high fidelity of statistical significance. </w:t>
      </w:r>
      <w:r w:rsidR="002604FA">
        <w:rPr>
          <w:rFonts w:ascii="Times New Roman" w:eastAsia="Times New Roman" w:hAnsi="Times New Roman" w:cs="Times New Roman"/>
          <w:color w:val="4472C4" w:themeColor="accent1"/>
        </w:rPr>
        <w:t xml:space="preserve"> This frequency corresponds to </w:t>
      </w:r>
      <w:r w:rsidR="00B03C00">
        <w:rPr>
          <w:rFonts w:ascii="Times New Roman" w:eastAsia="Times New Roman" w:hAnsi="Times New Roman" w:cs="Times New Roman"/>
          <w:color w:val="4472C4" w:themeColor="accent1"/>
        </w:rPr>
        <w:t xml:space="preserve">a timescale </w:t>
      </w:r>
      <w:r w:rsidR="002604FA">
        <w:rPr>
          <w:rFonts w:ascii="Times New Roman" w:eastAsia="Times New Roman" w:hAnsi="Times New Roman" w:cs="Times New Roman"/>
          <w:color w:val="4472C4" w:themeColor="accent1"/>
        </w:rPr>
        <w:t>24.3 hours</w:t>
      </w:r>
      <w:r w:rsidR="00B03C00">
        <w:rPr>
          <w:rFonts w:ascii="Times New Roman" w:eastAsia="Times New Roman" w:hAnsi="Times New Roman" w:cs="Times New Roman"/>
          <w:color w:val="4472C4" w:themeColor="accent1"/>
        </w:rPr>
        <w:t xml:space="preserve">, or the diurnal cycle.  </w:t>
      </w:r>
      <w:r w:rsidR="00554828">
        <w:rPr>
          <w:rFonts w:ascii="Times New Roman" w:eastAsia="Times New Roman" w:hAnsi="Times New Roman" w:cs="Times New Roman"/>
          <w:color w:val="4472C4" w:themeColor="accent1"/>
        </w:rPr>
        <w:t xml:space="preserve">This finding is not surprising since we found in homework 2 that the dominant mode of variability </w:t>
      </w:r>
      <w:r w:rsidR="009B0DFC">
        <w:rPr>
          <w:rFonts w:ascii="Times New Roman" w:eastAsia="Times New Roman" w:hAnsi="Times New Roman" w:cs="Times New Roman"/>
          <w:color w:val="4472C4" w:themeColor="accent1"/>
        </w:rPr>
        <w:t xml:space="preserve">along the coast </w:t>
      </w:r>
      <w:r w:rsidR="00554828">
        <w:rPr>
          <w:rFonts w:ascii="Times New Roman" w:eastAsia="Times New Roman" w:hAnsi="Times New Roman" w:cs="Times New Roman"/>
          <w:color w:val="4472C4" w:themeColor="accent1"/>
        </w:rPr>
        <w:t xml:space="preserve">was a perpendicular veering of the wind.  The main cause of this steering is the land/sea-breeze that also follows a diurnal cycle.  </w:t>
      </w:r>
    </w:p>
    <w:p w14:paraId="5AE37ECD" w14:textId="77777777" w:rsidR="0050173B" w:rsidRDefault="0050173B" w:rsidP="0050173B">
      <w:pPr>
        <w:jc w:val="both"/>
        <w:rPr>
          <w:i/>
          <w:color w:val="FF0000"/>
        </w:rPr>
      </w:pPr>
    </w:p>
    <w:p w14:paraId="64845696" w14:textId="77777777" w:rsidR="0050173B" w:rsidRDefault="0050173B" w:rsidP="0050173B">
      <w:pPr>
        <w:jc w:val="both"/>
        <w:rPr>
          <w:i/>
          <w:color w:val="FF0000"/>
        </w:rPr>
      </w:pPr>
      <w:r w:rsidRPr="000319F2">
        <w:rPr>
          <w:i/>
          <w:color w:val="FF0000"/>
        </w:rPr>
        <w:t>Note for grading Problem II.  You are analyzing your own data.  Since only you know the “right answer”, you will be largely graded on how well I can follow your description of the</w:t>
      </w:r>
      <w:r>
        <w:rPr>
          <w:i/>
          <w:color w:val="FF0000"/>
        </w:rPr>
        <w:t xml:space="preserve"> data, the methods, the results, </w:t>
      </w:r>
      <w:r w:rsidRPr="000319F2">
        <w:rPr>
          <w:i/>
          <w:color w:val="FF0000"/>
        </w:rPr>
        <w:t>and the co</w:t>
      </w:r>
      <w:r>
        <w:rPr>
          <w:i/>
          <w:color w:val="FF0000"/>
        </w:rPr>
        <w:t>nclusions.  Keep your code and your explanations</w:t>
      </w:r>
      <w:r w:rsidRPr="000319F2">
        <w:rPr>
          <w:i/>
          <w:color w:val="FF0000"/>
        </w:rPr>
        <w:t xml:space="preserve"> simple, clear, and easy to follow. </w:t>
      </w:r>
      <w:r>
        <w:rPr>
          <w:i/>
          <w:color w:val="FF0000"/>
        </w:rPr>
        <w:t xml:space="preserve"> </w:t>
      </w:r>
      <w:r w:rsidRPr="000319F2">
        <w:rPr>
          <w:i/>
          <w:color w:val="FF0000"/>
        </w:rPr>
        <w:t xml:space="preserve">Spend the time to make your code concise, clear, and well documented. </w:t>
      </w:r>
      <w:r>
        <w:rPr>
          <w:i/>
          <w:color w:val="FF0000"/>
        </w:rPr>
        <w:t>Look at your code as an opportunity to re-enforce the understanding you have gained in class as expressed through analyzing your own data.</w:t>
      </w:r>
    </w:p>
    <w:p w14:paraId="43FAA9B5" w14:textId="77777777" w:rsidR="0050173B" w:rsidRDefault="0050173B" w:rsidP="0050173B">
      <w:pPr>
        <w:jc w:val="both"/>
      </w:pPr>
    </w:p>
    <w:p w14:paraId="024D7035" w14:textId="77777777" w:rsidR="0050173B" w:rsidRDefault="0050173B" w:rsidP="0050173B">
      <w:pPr>
        <w:jc w:val="both"/>
      </w:pPr>
    </w:p>
    <w:p w14:paraId="6EF18E0B" w14:textId="0C843D8E" w:rsidR="000A085A" w:rsidRDefault="0050173B" w:rsidP="00BF7C65">
      <w:pPr>
        <w:jc w:val="both"/>
        <w:rPr>
          <w:b/>
        </w:rPr>
      </w:pPr>
      <w:r>
        <w:rPr>
          <w:b/>
        </w:rPr>
        <w:t>3</w:t>
      </w:r>
      <w:r w:rsidRPr="00EC5055">
        <w:rPr>
          <w:b/>
        </w:rPr>
        <w:t xml:space="preserve">) </w:t>
      </w:r>
      <w:r w:rsidR="00D96D30">
        <w:rPr>
          <w:b/>
        </w:rPr>
        <w:t>Homework #5</w:t>
      </w:r>
      <w:r>
        <w:rPr>
          <w:b/>
        </w:rPr>
        <w:t xml:space="preserve"> will </w:t>
      </w:r>
      <w:r w:rsidR="00296A79">
        <w:rPr>
          <w:b/>
        </w:rPr>
        <w:t>also</w:t>
      </w:r>
      <w:r>
        <w:rPr>
          <w:b/>
        </w:rPr>
        <w:t xml:space="preserve"> require that you analyze a time series dataset</w:t>
      </w:r>
      <w:r w:rsidR="00053D7D">
        <w:rPr>
          <w:b/>
        </w:rPr>
        <w:t xml:space="preserve"> of your choice</w:t>
      </w:r>
      <w:r>
        <w:rPr>
          <w:b/>
        </w:rPr>
        <w:t xml:space="preserve">.  You will apply more power spectra analysis and filtering to this dataset.  A dataset with interesting variations at a wide range of timescales will be the most interesting. </w:t>
      </w:r>
      <w:r w:rsidR="004E524B">
        <w:rPr>
          <w:b/>
        </w:rPr>
        <w:t xml:space="preserve">I strongly encourage you to use </w:t>
      </w:r>
      <w:r w:rsidR="00AF539E">
        <w:rPr>
          <w:b/>
        </w:rPr>
        <w:t xml:space="preserve">a similar </w:t>
      </w:r>
      <w:r w:rsidR="004E524B">
        <w:rPr>
          <w:b/>
        </w:rPr>
        <w:t xml:space="preserve">dataset for both Homework #4 and #5.  </w:t>
      </w:r>
      <w:r>
        <w:rPr>
          <w:b/>
        </w:rPr>
        <w:t>Please describe the dataset you plan to use here. Discuss with me or a classmate if you do not have a dataset in mind.  We can help you brainstorm!!  (0 points</w:t>
      </w:r>
      <w:r w:rsidR="00BF7C65">
        <w:rPr>
          <w:b/>
        </w:rPr>
        <w:t>)</w:t>
      </w:r>
    </w:p>
    <w:p w14:paraId="483A32AC" w14:textId="30E3D645" w:rsidR="00970F1A" w:rsidRPr="00541E97" w:rsidRDefault="00970F1A" w:rsidP="00BF7C65">
      <w:pPr>
        <w:jc w:val="both"/>
        <w:rPr>
          <w:color w:val="4472C4" w:themeColor="accent1"/>
        </w:rPr>
      </w:pPr>
      <w:r w:rsidRPr="00541E97">
        <w:rPr>
          <w:color w:val="4472C4" w:themeColor="accent1"/>
        </w:rPr>
        <w:t xml:space="preserve">For homework number 5, I want to further analyze wind direction.  However, instead of looking at wind direction along the coast, I will choose a point </w:t>
      </w:r>
      <w:r w:rsidR="009F20A2" w:rsidRPr="00541E97">
        <w:rPr>
          <w:color w:val="4472C4" w:themeColor="accent1"/>
        </w:rPr>
        <w:t>in complex terrain</w:t>
      </w:r>
      <w:r w:rsidRPr="00541E97">
        <w:rPr>
          <w:color w:val="4472C4" w:themeColor="accent1"/>
        </w:rPr>
        <w:t xml:space="preserve">.  Wind directions in complex terrain can be influenced by the changes in heating along </w:t>
      </w:r>
      <w:r w:rsidR="003F0C2E" w:rsidRPr="00541E97">
        <w:rPr>
          <w:color w:val="4472C4" w:themeColor="accent1"/>
        </w:rPr>
        <w:t>the</w:t>
      </w:r>
      <w:r w:rsidRPr="00541E97">
        <w:rPr>
          <w:color w:val="4472C4" w:themeColor="accent1"/>
        </w:rPr>
        <w:t xml:space="preserve"> slope.  These changes can depend not only on the </w:t>
      </w:r>
      <w:r w:rsidR="00F06032" w:rsidRPr="00541E97">
        <w:rPr>
          <w:color w:val="4472C4" w:themeColor="accent1"/>
        </w:rPr>
        <w:t>position</w:t>
      </w:r>
      <w:r w:rsidRPr="00541E97">
        <w:rPr>
          <w:color w:val="4472C4" w:themeColor="accent1"/>
        </w:rPr>
        <w:t xml:space="preserve"> of the sun in the sky (for a diurnal cycle) </w:t>
      </w:r>
      <w:r w:rsidR="00532C4C" w:rsidRPr="00541E97">
        <w:rPr>
          <w:color w:val="4472C4" w:themeColor="accent1"/>
        </w:rPr>
        <w:t xml:space="preserve">but which direction the slope faces.  </w:t>
      </w:r>
      <w:r w:rsidR="00542100" w:rsidRPr="00541E97">
        <w:rPr>
          <w:color w:val="4472C4" w:themeColor="accent1"/>
        </w:rPr>
        <w:t xml:space="preserve">This may result in a range of variability on multiple timescales. </w:t>
      </w:r>
      <w:r w:rsidRPr="00541E97">
        <w:rPr>
          <w:color w:val="4472C4" w:themeColor="accent1"/>
        </w:rPr>
        <w:t xml:space="preserve">  </w:t>
      </w:r>
    </w:p>
    <w:sectPr w:rsidR="00970F1A" w:rsidRPr="00541E97" w:rsidSect="00EB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01"/>
    <w:multiLevelType w:val="hybridMultilevel"/>
    <w:tmpl w:val="6B8C4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C7534"/>
    <w:multiLevelType w:val="hybridMultilevel"/>
    <w:tmpl w:val="7E3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3B"/>
    <w:rsid w:val="0000188B"/>
    <w:rsid w:val="00007407"/>
    <w:rsid w:val="00012103"/>
    <w:rsid w:val="0001488E"/>
    <w:rsid w:val="00034494"/>
    <w:rsid w:val="00037181"/>
    <w:rsid w:val="0004491D"/>
    <w:rsid w:val="00053D7D"/>
    <w:rsid w:val="0005658B"/>
    <w:rsid w:val="00060119"/>
    <w:rsid w:val="0006472C"/>
    <w:rsid w:val="000677DA"/>
    <w:rsid w:val="00070A02"/>
    <w:rsid w:val="00070F18"/>
    <w:rsid w:val="00076B67"/>
    <w:rsid w:val="0009023E"/>
    <w:rsid w:val="00090A3B"/>
    <w:rsid w:val="000939EF"/>
    <w:rsid w:val="0009555F"/>
    <w:rsid w:val="00097365"/>
    <w:rsid w:val="000A085A"/>
    <w:rsid w:val="000A2971"/>
    <w:rsid w:val="000B27BD"/>
    <w:rsid w:val="000C1D24"/>
    <w:rsid w:val="000D4982"/>
    <w:rsid w:val="000E1708"/>
    <w:rsid w:val="000F5A00"/>
    <w:rsid w:val="00113632"/>
    <w:rsid w:val="00114428"/>
    <w:rsid w:val="0012593F"/>
    <w:rsid w:val="001430D9"/>
    <w:rsid w:val="00143D2D"/>
    <w:rsid w:val="0014439E"/>
    <w:rsid w:val="0014495F"/>
    <w:rsid w:val="00153A5E"/>
    <w:rsid w:val="00165E28"/>
    <w:rsid w:val="00170803"/>
    <w:rsid w:val="0019231F"/>
    <w:rsid w:val="001956AD"/>
    <w:rsid w:val="00195EA4"/>
    <w:rsid w:val="001977D9"/>
    <w:rsid w:val="001A11AB"/>
    <w:rsid w:val="001A528F"/>
    <w:rsid w:val="001A7EF1"/>
    <w:rsid w:val="001B2166"/>
    <w:rsid w:val="001B42F9"/>
    <w:rsid w:val="001B772C"/>
    <w:rsid w:val="001B7819"/>
    <w:rsid w:val="001C1829"/>
    <w:rsid w:val="001C4F23"/>
    <w:rsid w:val="001C518C"/>
    <w:rsid w:val="001C6AC1"/>
    <w:rsid w:val="001D132C"/>
    <w:rsid w:val="001D194B"/>
    <w:rsid w:val="001D67BF"/>
    <w:rsid w:val="001E4506"/>
    <w:rsid w:val="001E49F0"/>
    <w:rsid w:val="001F0E69"/>
    <w:rsid w:val="001F33B0"/>
    <w:rsid w:val="001F6377"/>
    <w:rsid w:val="00201642"/>
    <w:rsid w:val="002078F4"/>
    <w:rsid w:val="00210A76"/>
    <w:rsid w:val="00222676"/>
    <w:rsid w:val="0022662B"/>
    <w:rsid w:val="0023251B"/>
    <w:rsid w:val="002415A8"/>
    <w:rsid w:val="00246678"/>
    <w:rsid w:val="00246685"/>
    <w:rsid w:val="00253554"/>
    <w:rsid w:val="0025369F"/>
    <w:rsid w:val="00256534"/>
    <w:rsid w:val="002604FA"/>
    <w:rsid w:val="00260F26"/>
    <w:rsid w:val="0026442E"/>
    <w:rsid w:val="00266C60"/>
    <w:rsid w:val="0027245B"/>
    <w:rsid w:val="00281160"/>
    <w:rsid w:val="00282D28"/>
    <w:rsid w:val="00284FAD"/>
    <w:rsid w:val="00286406"/>
    <w:rsid w:val="002910C1"/>
    <w:rsid w:val="00293369"/>
    <w:rsid w:val="00296A79"/>
    <w:rsid w:val="002A07EB"/>
    <w:rsid w:val="002B3281"/>
    <w:rsid w:val="002B4609"/>
    <w:rsid w:val="002C1971"/>
    <w:rsid w:val="002C2D7F"/>
    <w:rsid w:val="002C67A0"/>
    <w:rsid w:val="002D0831"/>
    <w:rsid w:val="002D307A"/>
    <w:rsid w:val="002E1A80"/>
    <w:rsid w:val="002E3EE0"/>
    <w:rsid w:val="002E4B53"/>
    <w:rsid w:val="002F32FA"/>
    <w:rsid w:val="002F3C48"/>
    <w:rsid w:val="002F4C09"/>
    <w:rsid w:val="002F4CC2"/>
    <w:rsid w:val="002F5F5B"/>
    <w:rsid w:val="003001F3"/>
    <w:rsid w:val="00304D99"/>
    <w:rsid w:val="0030564D"/>
    <w:rsid w:val="0031152A"/>
    <w:rsid w:val="003135CC"/>
    <w:rsid w:val="00316470"/>
    <w:rsid w:val="003164F3"/>
    <w:rsid w:val="00316A58"/>
    <w:rsid w:val="00316E92"/>
    <w:rsid w:val="00321440"/>
    <w:rsid w:val="003239F3"/>
    <w:rsid w:val="00324723"/>
    <w:rsid w:val="003271FA"/>
    <w:rsid w:val="00334E72"/>
    <w:rsid w:val="003411DB"/>
    <w:rsid w:val="003432EB"/>
    <w:rsid w:val="0034475B"/>
    <w:rsid w:val="0035310E"/>
    <w:rsid w:val="003563EC"/>
    <w:rsid w:val="0035713A"/>
    <w:rsid w:val="00357AF1"/>
    <w:rsid w:val="003623CA"/>
    <w:rsid w:val="00371C3F"/>
    <w:rsid w:val="00377643"/>
    <w:rsid w:val="00383A42"/>
    <w:rsid w:val="003873DE"/>
    <w:rsid w:val="003920A0"/>
    <w:rsid w:val="00396A02"/>
    <w:rsid w:val="003A007E"/>
    <w:rsid w:val="003A1E44"/>
    <w:rsid w:val="003A319B"/>
    <w:rsid w:val="003A322C"/>
    <w:rsid w:val="003A7E6D"/>
    <w:rsid w:val="003B1468"/>
    <w:rsid w:val="003C75AE"/>
    <w:rsid w:val="003D087F"/>
    <w:rsid w:val="003D0CED"/>
    <w:rsid w:val="003F0C2E"/>
    <w:rsid w:val="00411555"/>
    <w:rsid w:val="00414DEC"/>
    <w:rsid w:val="0043154A"/>
    <w:rsid w:val="00432721"/>
    <w:rsid w:val="00442AE6"/>
    <w:rsid w:val="0045583C"/>
    <w:rsid w:val="00456BDF"/>
    <w:rsid w:val="0046549D"/>
    <w:rsid w:val="00474BA3"/>
    <w:rsid w:val="00475E0D"/>
    <w:rsid w:val="0047624D"/>
    <w:rsid w:val="00481857"/>
    <w:rsid w:val="00495E68"/>
    <w:rsid w:val="00497FEA"/>
    <w:rsid w:val="004A5D89"/>
    <w:rsid w:val="004B2204"/>
    <w:rsid w:val="004B2646"/>
    <w:rsid w:val="004B2BFC"/>
    <w:rsid w:val="004B6CA0"/>
    <w:rsid w:val="004D3395"/>
    <w:rsid w:val="004E36D9"/>
    <w:rsid w:val="004E524B"/>
    <w:rsid w:val="004E62A3"/>
    <w:rsid w:val="004F0270"/>
    <w:rsid w:val="004F0351"/>
    <w:rsid w:val="004F2F87"/>
    <w:rsid w:val="004F4D26"/>
    <w:rsid w:val="004F75B1"/>
    <w:rsid w:val="00500DE9"/>
    <w:rsid w:val="0050173B"/>
    <w:rsid w:val="00503624"/>
    <w:rsid w:val="00503654"/>
    <w:rsid w:val="005065A6"/>
    <w:rsid w:val="005065E4"/>
    <w:rsid w:val="0050762D"/>
    <w:rsid w:val="00514E5E"/>
    <w:rsid w:val="0051582B"/>
    <w:rsid w:val="00517C79"/>
    <w:rsid w:val="005268B3"/>
    <w:rsid w:val="005272D2"/>
    <w:rsid w:val="0053021F"/>
    <w:rsid w:val="00532C4C"/>
    <w:rsid w:val="00533030"/>
    <w:rsid w:val="00541E97"/>
    <w:rsid w:val="00542100"/>
    <w:rsid w:val="005445C0"/>
    <w:rsid w:val="00545844"/>
    <w:rsid w:val="00554828"/>
    <w:rsid w:val="00555161"/>
    <w:rsid w:val="005647B4"/>
    <w:rsid w:val="00564D23"/>
    <w:rsid w:val="00566806"/>
    <w:rsid w:val="00574643"/>
    <w:rsid w:val="005805ED"/>
    <w:rsid w:val="00594340"/>
    <w:rsid w:val="005944E7"/>
    <w:rsid w:val="00595420"/>
    <w:rsid w:val="005A5C64"/>
    <w:rsid w:val="005B0E19"/>
    <w:rsid w:val="005B5443"/>
    <w:rsid w:val="005B658D"/>
    <w:rsid w:val="005C320C"/>
    <w:rsid w:val="005C38C4"/>
    <w:rsid w:val="005D4C31"/>
    <w:rsid w:val="005E14EF"/>
    <w:rsid w:val="005F1D70"/>
    <w:rsid w:val="005F1E3F"/>
    <w:rsid w:val="005F3B1E"/>
    <w:rsid w:val="005F55DD"/>
    <w:rsid w:val="005F5972"/>
    <w:rsid w:val="006010C8"/>
    <w:rsid w:val="006065D8"/>
    <w:rsid w:val="00606B60"/>
    <w:rsid w:val="006215C6"/>
    <w:rsid w:val="00631BAE"/>
    <w:rsid w:val="0064035D"/>
    <w:rsid w:val="006500DC"/>
    <w:rsid w:val="00650C24"/>
    <w:rsid w:val="006611F6"/>
    <w:rsid w:val="00662004"/>
    <w:rsid w:val="006633F9"/>
    <w:rsid w:val="00664446"/>
    <w:rsid w:val="00667843"/>
    <w:rsid w:val="00684C3B"/>
    <w:rsid w:val="006862D7"/>
    <w:rsid w:val="00691291"/>
    <w:rsid w:val="006951CE"/>
    <w:rsid w:val="00695213"/>
    <w:rsid w:val="006960AD"/>
    <w:rsid w:val="00697B0C"/>
    <w:rsid w:val="006A3BC9"/>
    <w:rsid w:val="006A5267"/>
    <w:rsid w:val="006A54F6"/>
    <w:rsid w:val="006B3C29"/>
    <w:rsid w:val="006B4746"/>
    <w:rsid w:val="006B5E83"/>
    <w:rsid w:val="006B795E"/>
    <w:rsid w:val="006B7B46"/>
    <w:rsid w:val="006C2BBB"/>
    <w:rsid w:val="006C78E0"/>
    <w:rsid w:val="006D0ADC"/>
    <w:rsid w:val="006D761C"/>
    <w:rsid w:val="006E34DF"/>
    <w:rsid w:val="006F6846"/>
    <w:rsid w:val="006F6A9C"/>
    <w:rsid w:val="00701864"/>
    <w:rsid w:val="00702A84"/>
    <w:rsid w:val="0070466B"/>
    <w:rsid w:val="007069E4"/>
    <w:rsid w:val="00714460"/>
    <w:rsid w:val="00716FCA"/>
    <w:rsid w:val="00720511"/>
    <w:rsid w:val="00720E18"/>
    <w:rsid w:val="00730DB7"/>
    <w:rsid w:val="00733FEC"/>
    <w:rsid w:val="00735A33"/>
    <w:rsid w:val="00741899"/>
    <w:rsid w:val="007459EA"/>
    <w:rsid w:val="00757BEF"/>
    <w:rsid w:val="007630C8"/>
    <w:rsid w:val="007802E6"/>
    <w:rsid w:val="0078652B"/>
    <w:rsid w:val="00791376"/>
    <w:rsid w:val="007A477A"/>
    <w:rsid w:val="007A4AAA"/>
    <w:rsid w:val="007B747B"/>
    <w:rsid w:val="007B7EDC"/>
    <w:rsid w:val="007C4218"/>
    <w:rsid w:val="007C5F5A"/>
    <w:rsid w:val="007D1E27"/>
    <w:rsid w:val="007D6B24"/>
    <w:rsid w:val="007D7CC6"/>
    <w:rsid w:val="007E4390"/>
    <w:rsid w:val="007E638E"/>
    <w:rsid w:val="007F41E1"/>
    <w:rsid w:val="008014CB"/>
    <w:rsid w:val="008107C0"/>
    <w:rsid w:val="00812D5B"/>
    <w:rsid w:val="008176B7"/>
    <w:rsid w:val="00821FA1"/>
    <w:rsid w:val="00827328"/>
    <w:rsid w:val="0083199A"/>
    <w:rsid w:val="008412A1"/>
    <w:rsid w:val="00842074"/>
    <w:rsid w:val="00844741"/>
    <w:rsid w:val="0084550B"/>
    <w:rsid w:val="008518F2"/>
    <w:rsid w:val="008528B2"/>
    <w:rsid w:val="00855EED"/>
    <w:rsid w:val="00857061"/>
    <w:rsid w:val="008605B5"/>
    <w:rsid w:val="00863345"/>
    <w:rsid w:val="00863992"/>
    <w:rsid w:val="00864425"/>
    <w:rsid w:val="008660A0"/>
    <w:rsid w:val="0087075F"/>
    <w:rsid w:val="008719F1"/>
    <w:rsid w:val="008733A6"/>
    <w:rsid w:val="0087772B"/>
    <w:rsid w:val="00883747"/>
    <w:rsid w:val="00893FB0"/>
    <w:rsid w:val="00896F36"/>
    <w:rsid w:val="008A3B38"/>
    <w:rsid w:val="008A6C52"/>
    <w:rsid w:val="008A76A8"/>
    <w:rsid w:val="008A7A47"/>
    <w:rsid w:val="008B0E1A"/>
    <w:rsid w:val="008C2385"/>
    <w:rsid w:val="008C246B"/>
    <w:rsid w:val="008D4EE6"/>
    <w:rsid w:val="008E16D8"/>
    <w:rsid w:val="008E235D"/>
    <w:rsid w:val="008E65A8"/>
    <w:rsid w:val="008E71B2"/>
    <w:rsid w:val="008F07EC"/>
    <w:rsid w:val="009028AF"/>
    <w:rsid w:val="00907216"/>
    <w:rsid w:val="00907D95"/>
    <w:rsid w:val="00914E8F"/>
    <w:rsid w:val="00917ED8"/>
    <w:rsid w:val="00920C4E"/>
    <w:rsid w:val="00920F4B"/>
    <w:rsid w:val="00922AFA"/>
    <w:rsid w:val="00926AFA"/>
    <w:rsid w:val="00927044"/>
    <w:rsid w:val="00930782"/>
    <w:rsid w:val="009315B1"/>
    <w:rsid w:val="00947792"/>
    <w:rsid w:val="009542BB"/>
    <w:rsid w:val="009625DE"/>
    <w:rsid w:val="00963818"/>
    <w:rsid w:val="00963A49"/>
    <w:rsid w:val="0096584D"/>
    <w:rsid w:val="00965AE5"/>
    <w:rsid w:val="00966793"/>
    <w:rsid w:val="00970F1A"/>
    <w:rsid w:val="00974D55"/>
    <w:rsid w:val="00986160"/>
    <w:rsid w:val="0099407B"/>
    <w:rsid w:val="0099571B"/>
    <w:rsid w:val="009A09DF"/>
    <w:rsid w:val="009A4865"/>
    <w:rsid w:val="009A7E08"/>
    <w:rsid w:val="009B0564"/>
    <w:rsid w:val="009B0DFC"/>
    <w:rsid w:val="009B4719"/>
    <w:rsid w:val="009B7FED"/>
    <w:rsid w:val="009D0A54"/>
    <w:rsid w:val="009D611B"/>
    <w:rsid w:val="009F091B"/>
    <w:rsid w:val="009F20A2"/>
    <w:rsid w:val="009F6460"/>
    <w:rsid w:val="00A02734"/>
    <w:rsid w:val="00A04753"/>
    <w:rsid w:val="00A16311"/>
    <w:rsid w:val="00A22738"/>
    <w:rsid w:val="00A24180"/>
    <w:rsid w:val="00A32787"/>
    <w:rsid w:val="00A3405A"/>
    <w:rsid w:val="00A3448D"/>
    <w:rsid w:val="00A3595C"/>
    <w:rsid w:val="00A40770"/>
    <w:rsid w:val="00A469E0"/>
    <w:rsid w:val="00A6296B"/>
    <w:rsid w:val="00A740B7"/>
    <w:rsid w:val="00A80C22"/>
    <w:rsid w:val="00A84EE2"/>
    <w:rsid w:val="00AA6393"/>
    <w:rsid w:val="00AA662B"/>
    <w:rsid w:val="00AA79E2"/>
    <w:rsid w:val="00AB43F1"/>
    <w:rsid w:val="00AB6155"/>
    <w:rsid w:val="00AC0A88"/>
    <w:rsid w:val="00AD03C0"/>
    <w:rsid w:val="00AD20E3"/>
    <w:rsid w:val="00AD6E32"/>
    <w:rsid w:val="00AD7B0B"/>
    <w:rsid w:val="00AE1B15"/>
    <w:rsid w:val="00AF1A3A"/>
    <w:rsid w:val="00AF2698"/>
    <w:rsid w:val="00AF3041"/>
    <w:rsid w:val="00AF4B53"/>
    <w:rsid w:val="00AF539E"/>
    <w:rsid w:val="00AF5D2E"/>
    <w:rsid w:val="00AF7EC7"/>
    <w:rsid w:val="00B02396"/>
    <w:rsid w:val="00B03C00"/>
    <w:rsid w:val="00B044D8"/>
    <w:rsid w:val="00B10715"/>
    <w:rsid w:val="00B1092A"/>
    <w:rsid w:val="00B11C09"/>
    <w:rsid w:val="00B138E4"/>
    <w:rsid w:val="00B1662C"/>
    <w:rsid w:val="00B170B3"/>
    <w:rsid w:val="00B17188"/>
    <w:rsid w:val="00B2578E"/>
    <w:rsid w:val="00B269D7"/>
    <w:rsid w:val="00B2739A"/>
    <w:rsid w:val="00B42876"/>
    <w:rsid w:val="00B47FB4"/>
    <w:rsid w:val="00B50374"/>
    <w:rsid w:val="00B5048D"/>
    <w:rsid w:val="00B66003"/>
    <w:rsid w:val="00B732E7"/>
    <w:rsid w:val="00B74641"/>
    <w:rsid w:val="00B755CF"/>
    <w:rsid w:val="00B85FBC"/>
    <w:rsid w:val="00B86135"/>
    <w:rsid w:val="00B91590"/>
    <w:rsid w:val="00B92FC7"/>
    <w:rsid w:val="00B94399"/>
    <w:rsid w:val="00B96642"/>
    <w:rsid w:val="00BB097A"/>
    <w:rsid w:val="00BC0F65"/>
    <w:rsid w:val="00BC21D9"/>
    <w:rsid w:val="00BC66E3"/>
    <w:rsid w:val="00BD6AE0"/>
    <w:rsid w:val="00BD796E"/>
    <w:rsid w:val="00BE1FBA"/>
    <w:rsid w:val="00BE2299"/>
    <w:rsid w:val="00BE3B79"/>
    <w:rsid w:val="00BE6E98"/>
    <w:rsid w:val="00BF091E"/>
    <w:rsid w:val="00BF0EA2"/>
    <w:rsid w:val="00BF19C6"/>
    <w:rsid w:val="00BF2C93"/>
    <w:rsid w:val="00BF6320"/>
    <w:rsid w:val="00BF7C65"/>
    <w:rsid w:val="00C0371D"/>
    <w:rsid w:val="00C04799"/>
    <w:rsid w:val="00C14911"/>
    <w:rsid w:val="00C15C53"/>
    <w:rsid w:val="00C16188"/>
    <w:rsid w:val="00C21D96"/>
    <w:rsid w:val="00C25157"/>
    <w:rsid w:val="00C33EF3"/>
    <w:rsid w:val="00C34ACA"/>
    <w:rsid w:val="00C459C0"/>
    <w:rsid w:val="00C504C6"/>
    <w:rsid w:val="00C61BA8"/>
    <w:rsid w:val="00C64173"/>
    <w:rsid w:val="00C64D5E"/>
    <w:rsid w:val="00C67595"/>
    <w:rsid w:val="00C70B46"/>
    <w:rsid w:val="00C73DD7"/>
    <w:rsid w:val="00C74572"/>
    <w:rsid w:val="00C75687"/>
    <w:rsid w:val="00C8290A"/>
    <w:rsid w:val="00C935BC"/>
    <w:rsid w:val="00C93783"/>
    <w:rsid w:val="00C940CF"/>
    <w:rsid w:val="00CA0F9F"/>
    <w:rsid w:val="00CA42A2"/>
    <w:rsid w:val="00CB0EF3"/>
    <w:rsid w:val="00CB2936"/>
    <w:rsid w:val="00CC0C4E"/>
    <w:rsid w:val="00CD1D31"/>
    <w:rsid w:val="00CD2C9F"/>
    <w:rsid w:val="00CD39D1"/>
    <w:rsid w:val="00CD53BA"/>
    <w:rsid w:val="00CD760D"/>
    <w:rsid w:val="00CE0F56"/>
    <w:rsid w:val="00CE442D"/>
    <w:rsid w:val="00CF1D25"/>
    <w:rsid w:val="00CF419A"/>
    <w:rsid w:val="00CF52E4"/>
    <w:rsid w:val="00CF7C41"/>
    <w:rsid w:val="00CF7F99"/>
    <w:rsid w:val="00D126A5"/>
    <w:rsid w:val="00D2733F"/>
    <w:rsid w:val="00D323B1"/>
    <w:rsid w:val="00D365F6"/>
    <w:rsid w:val="00D37E22"/>
    <w:rsid w:val="00D41D77"/>
    <w:rsid w:val="00D44FD0"/>
    <w:rsid w:val="00D45F25"/>
    <w:rsid w:val="00D54569"/>
    <w:rsid w:val="00D57FE5"/>
    <w:rsid w:val="00D6017B"/>
    <w:rsid w:val="00D61503"/>
    <w:rsid w:val="00D66FE7"/>
    <w:rsid w:val="00D7163B"/>
    <w:rsid w:val="00D718E4"/>
    <w:rsid w:val="00D742A5"/>
    <w:rsid w:val="00D74D44"/>
    <w:rsid w:val="00D77C58"/>
    <w:rsid w:val="00D81760"/>
    <w:rsid w:val="00D8519B"/>
    <w:rsid w:val="00D90CA7"/>
    <w:rsid w:val="00D94EEA"/>
    <w:rsid w:val="00D96D30"/>
    <w:rsid w:val="00DA0C8A"/>
    <w:rsid w:val="00DB645B"/>
    <w:rsid w:val="00DC74BF"/>
    <w:rsid w:val="00DD04B1"/>
    <w:rsid w:val="00DD3CD7"/>
    <w:rsid w:val="00DD6AAA"/>
    <w:rsid w:val="00DE1C8F"/>
    <w:rsid w:val="00DE37C4"/>
    <w:rsid w:val="00DE4D30"/>
    <w:rsid w:val="00DF06A9"/>
    <w:rsid w:val="00E201F7"/>
    <w:rsid w:val="00E22CE6"/>
    <w:rsid w:val="00E23E91"/>
    <w:rsid w:val="00E252B7"/>
    <w:rsid w:val="00E321A4"/>
    <w:rsid w:val="00E35B20"/>
    <w:rsid w:val="00E363DC"/>
    <w:rsid w:val="00E42338"/>
    <w:rsid w:val="00E42F71"/>
    <w:rsid w:val="00E42F8B"/>
    <w:rsid w:val="00E53395"/>
    <w:rsid w:val="00E54D2B"/>
    <w:rsid w:val="00E571C5"/>
    <w:rsid w:val="00E60DCD"/>
    <w:rsid w:val="00E6171F"/>
    <w:rsid w:val="00E63490"/>
    <w:rsid w:val="00E66A84"/>
    <w:rsid w:val="00E7310D"/>
    <w:rsid w:val="00E751B4"/>
    <w:rsid w:val="00E819EF"/>
    <w:rsid w:val="00E85771"/>
    <w:rsid w:val="00E85B93"/>
    <w:rsid w:val="00E86CD6"/>
    <w:rsid w:val="00E86F1D"/>
    <w:rsid w:val="00E91F94"/>
    <w:rsid w:val="00E92F37"/>
    <w:rsid w:val="00E94233"/>
    <w:rsid w:val="00EA04EE"/>
    <w:rsid w:val="00EA2B7B"/>
    <w:rsid w:val="00EA52CD"/>
    <w:rsid w:val="00EA6BBD"/>
    <w:rsid w:val="00EA6F4E"/>
    <w:rsid w:val="00EB227E"/>
    <w:rsid w:val="00EB5A98"/>
    <w:rsid w:val="00EC7242"/>
    <w:rsid w:val="00ED120F"/>
    <w:rsid w:val="00ED5CC5"/>
    <w:rsid w:val="00EE001F"/>
    <w:rsid w:val="00EE4935"/>
    <w:rsid w:val="00EE6E8C"/>
    <w:rsid w:val="00EF69D0"/>
    <w:rsid w:val="00EF6CD6"/>
    <w:rsid w:val="00F00719"/>
    <w:rsid w:val="00F06032"/>
    <w:rsid w:val="00F10274"/>
    <w:rsid w:val="00F121B4"/>
    <w:rsid w:val="00F166FE"/>
    <w:rsid w:val="00F23147"/>
    <w:rsid w:val="00F36726"/>
    <w:rsid w:val="00F4043A"/>
    <w:rsid w:val="00F40B6F"/>
    <w:rsid w:val="00F4728D"/>
    <w:rsid w:val="00F479B6"/>
    <w:rsid w:val="00F47A25"/>
    <w:rsid w:val="00F52626"/>
    <w:rsid w:val="00F5273E"/>
    <w:rsid w:val="00F557F3"/>
    <w:rsid w:val="00F61D51"/>
    <w:rsid w:val="00F62DA4"/>
    <w:rsid w:val="00F85EED"/>
    <w:rsid w:val="00F86AA4"/>
    <w:rsid w:val="00F875A1"/>
    <w:rsid w:val="00F90BB8"/>
    <w:rsid w:val="00F91904"/>
    <w:rsid w:val="00F92BB6"/>
    <w:rsid w:val="00F96FAF"/>
    <w:rsid w:val="00FA4A92"/>
    <w:rsid w:val="00FB16B3"/>
    <w:rsid w:val="00FB5B70"/>
    <w:rsid w:val="00FB71ED"/>
    <w:rsid w:val="00FC0F05"/>
    <w:rsid w:val="00FD12CE"/>
    <w:rsid w:val="00FD13D2"/>
    <w:rsid w:val="00FD2560"/>
    <w:rsid w:val="00FD3DF2"/>
    <w:rsid w:val="00FD7EAD"/>
    <w:rsid w:val="00FE6F57"/>
    <w:rsid w:val="00FF3E60"/>
    <w:rsid w:val="00FF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43092"/>
  <w15:chartTrackingRefBased/>
  <w15:docId w15:val="{CFDF2128-6345-EB44-9E9E-40FC04E5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9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3B"/>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50173B"/>
    <w:rPr>
      <w:color w:val="0563C1" w:themeColor="hyperlink"/>
      <w:u w:val="single"/>
    </w:rPr>
  </w:style>
  <w:style w:type="character" w:styleId="UnresolvedMention">
    <w:name w:val="Unresolved Mention"/>
    <w:basedOn w:val="DefaultParagraphFont"/>
    <w:uiPriority w:val="99"/>
    <w:semiHidden/>
    <w:unhideWhenUsed/>
    <w:rsid w:val="00E63490"/>
    <w:rPr>
      <w:color w:val="605E5C"/>
      <w:shd w:val="clear" w:color="auto" w:fill="E1DFDD"/>
    </w:rPr>
  </w:style>
  <w:style w:type="character" w:styleId="PlaceholderText">
    <w:name w:val="Placeholder Text"/>
    <w:basedOn w:val="DefaultParagraphFont"/>
    <w:uiPriority w:val="99"/>
    <w:semiHidden/>
    <w:rsid w:val="006F6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6157">
      <w:bodyDiv w:val="1"/>
      <w:marLeft w:val="0"/>
      <w:marRight w:val="0"/>
      <w:marTop w:val="0"/>
      <w:marBottom w:val="0"/>
      <w:divBdr>
        <w:top w:val="none" w:sz="0" w:space="0" w:color="auto"/>
        <w:left w:val="none" w:sz="0" w:space="0" w:color="auto"/>
        <w:bottom w:val="none" w:sz="0" w:space="0" w:color="auto"/>
        <w:right w:val="none" w:sz="0" w:space="0" w:color="auto"/>
      </w:divBdr>
    </w:div>
    <w:div w:id="102380167">
      <w:bodyDiv w:val="1"/>
      <w:marLeft w:val="0"/>
      <w:marRight w:val="0"/>
      <w:marTop w:val="0"/>
      <w:marBottom w:val="0"/>
      <w:divBdr>
        <w:top w:val="none" w:sz="0" w:space="0" w:color="auto"/>
        <w:left w:val="none" w:sz="0" w:space="0" w:color="auto"/>
        <w:bottom w:val="none" w:sz="0" w:space="0" w:color="auto"/>
        <w:right w:val="none" w:sz="0" w:space="0" w:color="auto"/>
      </w:divBdr>
    </w:div>
    <w:div w:id="167133975">
      <w:bodyDiv w:val="1"/>
      <w:marLeft w:val="0"/>
      <w:marRight w:val="0"/>
      <w:marTop w:val="0"/>
      <w:marBottom w:val="0"/>
      <w:divBdr>
        <w:top w:val="none" w:sz="0" w:space="0" w:color="auto"/>
        <w:left w:val="none" w:sz="0" w:space="0" w:color="auto"/>
        <w:bottom w:val="none" w:sz="0" w:space="0" w:color="auto"/>
        <w:right w:val="none" w:sz="0" w:space="0" w:color="auto"/>
      </w:divBdr>
    </w:div>
    <w:div w:id="170798827">
      <w:bodyDiv w:val="1"/>
      <w:marLeft w:val="0"/>
      <w:marRight w:val="0"/>
      <w:marTop w:val="0"/>
      <w:marBottom w:val="0"/>
      <w:divBdr>
        <w:top w:val="none" w:sz="0" w:space="0" w:color="auto"/>
        <w:left w:val="none" w:sz="0" w:space="0" w:color="auto"/>
        <w:bottom w:val="none" w:sz="0" w:space="0" w:color="auto"/>
        <w:right w:val="none" w:sz="0" w:space="0" w:color="auto"/>
      </w:divBdr>
    </w:div>
    <w:div w:id="191576739">
      <w:bodyDiv w:val="1"/>
      <w:marLeft w:val="0"/>
      <w:marRight w:val="0"/>
      <w:marTop w:val="0"/>
      <w:marBottom w:val="0"/>
      <w:divBdr>
        <w:top w:val="none" w:sz="0" w:space="0" w:color="auto"/>
        <w:left w:val="none" w:sz="0" w:space="0" w:color="auto"/>
        <w:bottom w:val="none" w:sz="0" w:space="0" w:color="auto"/>
        <w:right w:val="none" w:sz="0" w:space="0" w:color="auto"/>
      </w:divBdr>
    </w:div>
    <w:div w:id="202668579">
      <w:bodyDiv w:val="1"/>
      <w:marLeft w:val="0"/>
      <w:marRight w:val="0"/>
      <w:marTop w:val="0"/>
      <w:marBottom w:val="0"/>
      <w:divBdr>
        <w:top w:val="none" w:sz="0" w:space="0" w:color="auto"/>
        <w:left w:val="none" w:sz="0" w:space="0" w:color="auto"/>
        <w:bottom w:val="none" w:sz="0" w:space="0" w:color="auto"/>
        <w:right w:val="none" w:sz="0" w:space="0" w:color="auto"/>
      </w:divBdr>
    </w:div>
    <w:div w:id="220211323">
      <w:bodyDiv w:val="1"/>
      <w:marLeft w:val="0"/>
      <w:marRight w:val="0"/>
      <w:marTop w:val="0"/>
      <w:marBottom w:val="0"/>
      <w:divBdr>
        <w:top w:val="none" w:sz="0" w:space="0" w:color="auto"/>
        <w:left w:val="none" w:sz="0" w:space="0" w:color="auto"/>
        <w:bottom w:val="none" w:sz="0" w:space="0" w:color="auto"/>
        <w:right w:val="none" w:sz="0" w:space="0" w:color="auto"/>
      </w:divBdr>
    </w:div>
    <w:div w:id="224029266">
      <w:bodyDiv w:val="1"/>
      <w:marLeft w:val="0"/>
      <w:marRight w:val="0"/>
      <w:marTop w:val="0"/>
      <w:marBottom w:val="0"/>
      <w:divBdr>
        <w:top w:val="none" w:sz="0" w:space="0" w:color="auto"/>
        <w:left w:val="none" w:sz="0" w:space="0" w:color="auto"/>
        <w:bottom w:val="none" w:sz="0" w:space="0" w:color="auto"/>
        <w:right w:val="none" w:sz="0" w:space="0" w:color="auto"/>
      </w:divBdr>
    </w:div>
    <w:div w:id="304048804">
      <w:bodyDiv w:val="1"/>
      <w:marLeft w:val="0"/>
      <w:marRight w:val="0"/>
      <w:marTop w:val="0"/>
      <w:marBottom w:val="0"/>
      <w:divBdr>
        <w:top w:val="none" w:sz="0" w:space="0" w:color="auto"/>
        <w:left w:val="none" w:sz="0" w:space="0" w:color="auto"/>
        <w:bottom w:val="none" w:sz="0" w:space="0" w:color="auto"/>
        <w:right w:val="none" w:sz="0" w:space="0" w:color="auto"/>
      </w:divBdr>
    </w:div>
    <w:div w:id="334580349">
      <w:bodyDiv w:val="1"/>
      <w:marLeft w:val="0"/>
      <w:marRight w:val="0"/>
      <w:marTop w:val="0"/>
      <w:marBottom w:val="0"/>
      <w:divBdr>
        <w:top w:val="none" w:sz="0" w:space="0" w:color="auto"/>
        <w:left w:val="none" w:sz="0" w:space="0" w:color="auto"/>
        <w:bottom w:val="none" w:sz="0" w:space="0" w:color="auto"/>
        <w:right w:val="none" w:sz="0" w:space="0" w:color="auto"/>
      </w:divBdr>
    </w:div>
    <w:div w:id="355618889">
      <w:bodyDiv w:val="1"/>
      <w:marLeft w:val="0"/>
      <w:marRight w:val="0"/>
      <w:marTop w:val="0"/>
      <w:marBottom w:val="0"/>
      <w:divBdr>
        <w:top w:val="none" w:sz="0" w:space="0" w:color="auto"/>
        <w:left w:val="none" w:sz="0" w:space="0" w:color="auto"/>
        <w:bottom w:val="none" w:sz="0" w:space="0" w:color="auto"/>
        <w:right w:val="none" w:sz="0" w:space="0" w:color="auto"/>
      </w:divBdr>
    </w:div>
    <w:div w:id="411783965">
      <w:bodyDiv w:val="1"/>
      <w:marLeft w:val="0"/>
      <w:marRight w:val="0"/>
      <w:marTop w:val="0"/>
      <w:marBottom w:val="0"/>
      <w:divBdr>
        <w:top w:val="none" w:sz="0" w:space="0" w:color="auto"/>
        <w:left w:val="none" w:sz="0" w:space="0" w:color="auto"/>
        <w:bottom w:val="none" w:sz="0" w:space="0" w:color="auto"/>
        <w:right w:val="none" w:sz="0" w:space="0" w:color="auto"/>
      </w:divBdr>
    </w:div>
    <w:div w:id="437064678">
      <w:bodyDiv w:val="1"/>
      <w:marLeft w:val="0"/>
      <w:marRight w:val="0"/>
      <w:marTop w:val="0"/>
      <w:marBottom w:val="0"/>
      <w:divBdr>
        <w:top w:val="none" w:sz="0" w:space="0" w:color="auto"/>
        <w:left w:val="none" w:sz="0" w:space="0" w:color="auto"/>
        <w:bottom w:val="none" w:sz="0" w:space="0" w:color="auto"/>
        <w:right w:val="none" w:sz="0" w:space="0" w:color="auto"/>
      </w:divBdr>
    </w:div>
    <w:div w:id="768938032">
      <w:bodyDiv w:val="1"/>
      <w:marLeft w:val="0"/>
      <w:marRight w:val="0"/>
      <w:marTop w:val="0"/>
      <w:marBottom w:val="0"/>
      <w:divBdr>
        <w:top w:val="none" w:sz="0" w:space="0" w:color="auto"/>
        <w:left w:val="none" w:sz="0" w:space="0" w:color="auto"/>
        <w:bottom w:val="none" w:sz="0" w:space="0" w:color="auto"/>
        <w:right w:val="none" w:sz="0" w:space="0" w:color="auto"/>
      </w:divBdr>
    </w:div>
    <w:div w:id="769012077">
      <w:bodyDiv w:val="1"/>
      <w:marLeft w:val="0"/>
      <w:marRight w:val="0"/>
      <w:marTop w:val="0"/>
      <w:marBottom w:val="0"/>
      <w:divBdr>
        <w:top w:val="none" w:sz="0" w:space="0" w:color="auto"/>
        <w:left w:val="none" w:sz="0" w:space="0" w:color="auto"/>
        <w:bottom w:val="none" w:sz="0" w:space="0" w:color="auto"/>
        <w:right w:val="none" w:sz="0" w:space="0" w:color="auto"/>
      </w:divBdr>
    </w:div>
    <w:div w:id="951546498">
      <w:bodyDiv w:val="1"/>
      <w:marLeft w:val="0"/>
      <w:marRight w:val="0"/>
      <w:marTop w:val="0"/>
      <w:marBottom w:val="0"/>
      <w:divBdr>
        <w:top w:val="none" w:sz="0" w:space="0" w:color="auto"/>
        <w:left w:val="none" w:sz="0" w:space="0" w:color="auto"/>
        <w:bottom w:val="none" w:sz="0" w:space="0" w:color="auto"/>
        <w:right w:val="none" w:sz="0" w:space="0" w:color="auto"/>
      </w:divBdr>
    </w:div>
    <w:div w:id="968972604">
      <w:bodyDiv w:val="1"/>
      <w:marLeft w:val="0"/>
      <w:marRight w:val="0"/>
      <w:marTop w:val="0"/>
      <w:marBottom w:val="0"/>
      <w:divBdr>
        <w:top w:val="none" w:sz="0" w:space="0" w:color="auto"/>
        <w:left w:val="none" w:sz="0" w:space="0" w:color="auto"/>
        <w:bottom w:val="none" w:sz="0" w:space="0" w:color="auto"/>
        <w:right w:val="none" w:sz="0" w:space="0" w:color="auto"/>
      </w:divBdr>
    </w:div>
    <w:div w:id="1045299304">
      <w:bodyDiv w:val="1"/>
      <w:marLeft w:val="0"/>
      <w:marRight w:val="0"/>
      <w:marTop w:val="0"/>
      <w:marBottom w:val="0"/>
      <w:divBdr>
        <w:top w:val="none" w:sz="0" w:space="0" w:color="auto"/>
        <w:left w:val="none" w:sz="0" w:space="0" w:color="auto"/>
        <w:bottom w:val="none" w:sz="0" w:space="0" w:color="auto"/>
        <w:right w:val="none" w:sz="0" w:space="0" w:color="auto"/>
      </w:divBdr>
    </w:div>
    <w:div w:id="1130635799">
      <w:bodyDiv w:val="1"/>
      <w:marLeft w:val="0"/>
      <w:marRight w:val="0"/>
      <w:marTop w:val="0"/>
      <w:marBottom w:val="0"/>
      <w:divBdr>
        <w:top w:val="none" w:sz="0" w:space="0" w:color="auto"/>
        <w:left w:val="none" w:sz="0" w:space="0" w:color="auto"/>
        <w:bottom w:val="none" w:sz="0" w:space="0" w:color="auto"/>
        <w:right w:val="none" w:sz="0" w:space="0" w:color="auto"/>
      </w:divBdr>
    </w:div>
    <w:div w:id="1140073685">
      <w:bodyDiv w:val="1"/>
      <w:marLeft w:val="0"/>
      <w:marRight w:val="0"/>
      <w:marTop w:val="0"/>
      <w:marBottom w:val="0"/>
      <w:divBdr>
        <w:top w:val="none" w:sz="0" w:space="0" w:color="auto"/>
        <w:left w:val="none" w:sz="0" w:space="0" w:color="auto"/>
        <w:bottom w:val="none" w:sz="0" w:space="0" w:color="auto"/>
        <w:right w:val="none" w:sz="0" w:space="0" w:color="auto"/>
      </w:divBdr>
    </w:div>
    <w:div w:id="1249921756">
      <w:bodyDiv w:val="1"/>
      <w:marLeft w:val="0"/>
      <w:marRight w:val="0"/>
      <w:marTop w:val="0"/>
      <w:marBottom w:val="0"/>
      <w:divBdr>
        <w:top w:val="none" w:sz="0" w:space="0" w:color="auto"/>
        <w:left w:val="none" w:sz="0" w:space="0" w:color="auto"/>
        <w:bottom w:val="none" w:sz="0" w:space="0" w:color="auto"/>
        <w:right w:val="none" w:sz="0" w:space="0" w:color="auto"/>
      </w:divBdr>
    </w:div>
    <w:div w:id="1308441360">
      <w:bodyDiv w:val="1"/>
      <w:marLeft w:val="0"/>
      <w:marRight w:val="0"/>
      <w:marTop w:val="0"/>
      <w:marBottom w:val="0"/>
      <w:divBdr>
        <w:top w:val="none" w:sz="0" w:space="0" w:color="auto"/>
        <w:left w:val="none" w:sz="0" w:space="0" w:color="auto"/>
        <w:bottom w:val="none" w:sz="0" w:space="0" w:color="auto"/>
        <w:right w:val="none" w:sz="0" w:space="0" w:color="auto"/>
      </w:divBdr>
    </w:div>
    <w:div w:id="1347900351">
      <w:bodyDiv w:val="1"/>
      <w:marLeft w:val="0"/>
      <w:marRight w:val="0"/>
      <w:marTop w:val="0"/>
      <w:marBottom w:val="0"/>
      <w:divBdr>
        <w:top w:val="none" w:sz="0" w:space="0" w:color="auto"/>
        <w:left w:val="none" w:sz="0" w:space="0" w:color="auto"/>
        <w:bottom w:val="none" w:sz="0" w:space="0" w:color="auto"/>
        <w:right w:val="none" w:sz="0" w:space="0" w:color="auto"/>
      </w:divBdr>
    </w:div>
    <w:div w:id="1457525550">
      <w:bodyDiv w:val="1"/>
      <w:marLeft w:val="0"/>
      <w:marRight w:val="0"/>
      <w:marTop w:val="0"/>
      <w:marBottom w:val="0"/>
      <w:divBdr>
        <w:top w:val="none" w:sz="0" w:space="0" w:color="auto"/>
        <w:left w:val="none" w:sz="0" w:space="0" w:color="auto"/>
        <w:bottom w:val="none" w:sz="0" w:space="0" w:color="auto"/>
        <w:right w:val="none" w:sz="0" w:space="0" w:color="auto"/>
      </w:divBdr>
    </w:div>
    <w:div w:id="1585455594">
      <w:bodyDiv w:val="1"/>
      <w:marLeft w:val="0"/>
      <w:marRight w:val="0"/>
      <w:marTop w:val="0"/>
      <w:marBottom w:val="0"/>
      <w:divBdr>
        <w:top w:val="none" w:sz="0" w:space="0" w:color="auto"/>
        <w:left w:val="none" w:sz="0" w:space="0" w:color="auto"/>
        <w:bottom w:val="none" w:sz="0" w:space="0" w:color="auto"/>
        <w:right w:val="none" w:sz="0" w:space="0" w:color="auto"/>
      </w:divBdr>
    </w:div>
    <w:div w:id="1635018637">
      <w:bodyDiv w:val="1"/>
      <w:marLeft w:val="0"/>
      <w:marRight w:val="0"/>
      <w:marTop w:val="0"/>
      <w:marBottom w:val="0"/>
      <w:divBdr>
        <w:top w:val="none" w:sz="0" w:space="0" w:color="auto"/>
        <w:left w:val="none" w:sz="0" w:space="0" w:color="auto"/>
        <w:bottom w:val="none" w:sz="0" w:space="0" w:color="auto"/>
        <w:right w:val="none" w:sz="0" w:space="0" w:color="auto"/>
      </w:divBdr>
    </w:div>
    <w:div w:id="1662923173">
      <w:bodyDiv w:val="1"/>
      <w:marLeft w:val="0"/>
      <w:marRight w:val="0"/>
      <w:marTop w:val="0"/>
      <w:marBottom w:val="0"/>
      <w:divBdr>
        <w:top w:val="none" w:sz="0" w:space="0" w:color="auto"/>
        <w:left w:val="none" w:sz="0" w:space="0" w:color="auto"/>
        <w:bottom w:val="none" w:sz="0" w:space="0" w:color="auto"/>
        <w:right w:val="none" w:sz="0" w:space="0" w:color="auto"/>
      </w:divBdr>
    </w:div>
    <w:div w:id="1677229389">
      <w:bodyDiv w:val="1"/>
      <w:marLeft w:val="0"/>
      <w:marRight w:val="0"/>
      <w:marTop w:val="0"/>
      <w:marBottom w:val="0"/>
      <w:divBdr>
        <w:top w:val="none" w:sz="0" w:space="0" w:color="auto"/>
        <w:left w:val="none" w:sz="0" w:space="0" w:color="auto"/>
        <w:bottom w:val="none" w:sz="0" w:space="0" w:color="auto"/>
        <w:right w:val="none" w:sz="0" w:space="0" w:color="auto"/>
      </w:divBdr>
    </w:div>
    <w:div w:id="1713190114">
      <w:bodyDiv w:val="1"/>
      <w:marLeft w:val="0"/>
      <w:marRight w:val="0"/>
      <w:marTop w:val="0"/>
      <w:marBottom w:val="0"/>
      <w:divBdr>
        <w:top w:val="none" w:sz="0" w:space="0" w:color="auto"/>
        <w:left w:val="none" w:sz="0" w:space="0" w:color="auto"/>
        <w:bottom w:val="none" w:sz="0" w:space="0" w:color="auto"/>
        <w:right w:val="none" w:sz="0" w:space="0" w:color="auto"/>
      </w:divBdr>
    </w:div>
    <w:div w:id="1760757249">
      <w:bodyDiv w:val="1"/>
      <w:marLeft w:val="0"/>
      <w:marRight w:val="0"/>
      <w:marTop w:val="0"/>
      <w:marBottom w:val="0"/>
      <w:divBdr>
        <w:top w:val="none" w:sz="0" w:space="0" w:color="auto"/>
        <w:left w:val="none" w:sz="0" w:space="0" w:color="auto"/>
        <w:bottom w:val="none" w:sz="0" w:space="0" w:color="auto"/>
        <w:right w:val="none" w:sz="0" w:space="0" w:color="auto"/>
      </w:divBdr>
    </w:div>
    <w:div w:id="1822967926">
      <w:bodyDiv w:val="1"/>
      <w:marLeft w:val="0"/>
      <w:marRight w:val="0"/>
      <w:marTop w:val="0"/>
      <w:marBottom w:val="0"/>
      <w:divBdr>
        <w:top w:val="none" w:sz="0" w:space="0" w:color="auto"/>
        <w:left w:val="none" w:sz="0" w:space="0" w:color="auto"/>
        <w:bottom w:val="none" w:sz="0" w:space="0" w:color="auto"/>
        <w:right w:val="none" w:sz="0" w:space="0" w:color="auto"/>
      </w:divBdr>
    </w:div>
    <w:div w:id="1926649697">
      <w:bodyDiv w:val="1"/>
      <w:marLeft w:val="0"/>
      <w:marRight w:val="0"/>
      <w:marTop w:val="0"/>
      <w:marBottom w:val="0"/>
      <w:divBdr>
        <w:top w:val="none" w:sz="0" w:space="0" w:color="auto"/>
        <w:left w:val="none" w:sz="0" w:space="0" w:color="auto"/>
        <w:bottom w:val="none" w:sz="0" w:space="0" w:color="auto"/>
        <w:right w:val="none" w:sz="0" w:space="0" w:color="auto"/>
      </w:divBdr>
    </w:div>
    <w:div w:id="1962149678">
      <w:bodyDiv w:val="1"/>
      <w:marLeft w:val="0"/>
      <w:marRight w:val="0"/>
      <w:marTop w:val="0"/>
      <w:marBottom w:val="0"/>
      <w:divBdr>
        <w:top w:val="none" w:sz="0" w:space="0" w:color="auto"/>
        <w:left w:val="none" w:sz="0" w:space="0" w:color="auto"/>
        <w:bottom w:val="none" w:sz="0" w:space="0" w:color="auto"/>
        <w:right w:val="none" w:sz="0" w:space="0" w:color="auto"/>
      </w:divBdr>
    </w:div>
    <w:div w:id="211354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pubs.onlinelibrary.wiley.com/doi/pdf/10.1002/2014EO49000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2.cesm.ucar.edu/working_groups/CVC/cvdp//data-repository.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i.org/10.1175/BAMS-D-13-00255.1" TargetMode="External"/><Relationship Id="rId11" Type="http://schemas.openxmlformats.org/officeDocument/2006/relationships/image" Target="media/image3.png"/><Relationship Id="rId5" Type="http://schemas.openxmlformats.org/officeDocument/2006/relationships/hyperlink" Target="http://www.cesm.ucar.edu/projects/community-projects/LEN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Joseph Rosencrans</cp:lastModifiedBy>
  <cp:revision>1012</cp:revision>
  <dcterms:created xsi:type="dcterms:W3CDTF">2020-10-19T18:53:00Z</dcterms:created>
  <dcterms:modified xsi:type="dcterms:W3CDTF">2022-03-15T22:11:00Z</dcterms:modified>
</cp:coreProperties>
</file>