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zdxibvplr7ke" w:id="0"/>
      <w:bookmarkEnd w:id="0"/>
      <w:r w:rsidDel="00000000" w:rsidR="00000000" w:rsidRPr="00000000">
        <w:rPr>
          <w:rFonts w:ascii="Roboto" w:cs="Roboto" w:eastAsia="Roboto" w:hAnsi="Roboto"/>
          <w:b w:val="1"/>
          <w:bCs w:val="1"/>
          <w:color w:val="0f1115"/>
          <w:sz w:val="33"/>
          <w:szCs w:val="33"/>
          <w:rtl w:val="0"/>
        </w:rPr>
        <w:t xml:space="preserve">🔬 ANÁLISIS DETALLADO DE RESULTADOS</w:t>
      </w:r>
    </w:p>
    <w:p w:rsidR="00000000" w:rsidDel="00000000" w:rsidP="00000000" w:rsidRDefault="00000000" w:rsidRPr="00000000" w14:paraId="0000000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159ntuw2hj9c" w:id="1"/>
      <w:bookmarkEnd w:id="1"/>
      <w:r w:rsidDel="00000000" w:rsidR="00000000" w:rsidRPr="00000000">
        <w:rPr>
          <w:rFonts w:ascii="Roboto" w:cs="Roboto" w:eastAsia="Roboto" w:hAnsi="Roboto"/>
          <w:b w:val="1"/>
          <w:bCs w:val="1"/>
          <w:color w:val="0f1115"/>
          <w:sz w:val="30"/>
          <w:szCs w:val="30"/>
          <w:rtl w:val="0"/>
        </w:rPr>
        <w:t xml:space="preserve">1. Importancia de variables y modelo predictivo</w:t>
      </w:r>
    </w:p>
    <w:p w:rsidR="00000000" w:rsidDel="00000000" w:rsidP="00000000" w:rsidRDefault="00000000" w:rsidRPr="00000000" w14:paraId="0000000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 Random Forest (AUC no reportado, pero fiabilidad aceptable) sitúa a la frecuencia respiratoria como el factor más determinante de gravedad, superando incluso a la saturación de oxígeno y la tensión arterial.</w:t>
        <w:br w:type="textWrapping"/>
        <w:t xml:space="preserve">Interpretación clínica:</w:t>
      </w:r>
    </w:p>
    <w:p w:rsidR="00000000" w:rsidDel="00000000" w:rsidP="00000000" w:rsidRDefault="00000000" w:rsidRPr="00000000" w14:paraId="00000004">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La taquipnea puede reflejar acidosis metabólica (salicilatos, metanol, etilenglicol) o estimulación adrenérgica (cocaína, anfetaminas), condiciones que no siempre cursan con hipoxemia.</w:t>
      </w:r>
    </w:p>
    <w:p w:rsidR="00000000" w:rsidDel="00000000" w:rsidP="00000000" w:rsidRDefault="00000000" w:rsidRPr="00000000" w14:paraId="00000005">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En intoxicaciones por depresores del SNC (benzodiacepinas, opiáceos), la bradipnea es el hallazgo típico, pero en tu muestra FR &gt; 22.5 es el punto de corte que discrimina gravedad. Esto sugiere que los casos graves no son predominantemente por depresores puros, sino por agentes que aumentan el trabajo respiratorio o causan acidosis.</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Nova Mono" w:cs="Nova Mono" w:eastAsia="Nova Mono" w:hAnsi="Nova Mono"/>
          <w:color w:val="0f1115"/>
          <w:sz w:val="24"/>
          <w:szCs w:val="24"/>
          <w:rtl w:val="0"/>
        </w:rPr>
        <w:t xml:space="preserve">El árbol de decisión propone una regla muy sencilla:</w:t>
        <w:br w:type="textWrapping"/>
        <w:t xml:space="preserve">SI FR &gt; 22.5 Y TAS ≤ 91.5 → 11/11 casos (100%) con NEWS‑2 ≥5.</w:t>
        <w:br w:type="textWrapping"/>
        <w:t xml:space="preserve">Aunque el tamaño de este subgrupo es pequeño (n=11), la especificidad es perfecta. Esto merece validación en una cohorte más amplia.</w:t>
      </w:r>
    </w:p>
    <w:p w:rsidR="00000000" w:rsidDel="00000000" w:rsidP="00000000" w:rsidRDefault="00000000" w:rsidRPr="00000000" w14:paraId="0000000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sn40p21vq4a5" w:id="2"/>
      <w:bookmarkEnd w:id="2"/>
      <w:r w:rsidDel="00000000" w:rsidR="00000000" w:rsidRPr="00000000">
        <w:rPr>
          <w:rFonts w:ascii="Roboto" w:cs="Roboto" w:eastAsia="Roboto" w:hAnsi="Roboto"/>
          <w:b w:val="1"/>
          <w:bCs w:val="1"/>
          <w:color w:val="0f1115"/>
          <w:sz w:val="30"/>
          <w:szCs w:val="30"/>
          <w:rtl w:val="0"/>
        </w:rPr>
        <w:t xml:space="preserve">2. Fenotipos de pacientes (clustering)</w:t>
      </w:r>
    </w:p>
    <w:p w:rsidR="00000000" w:rsidDel="00000000" w:rsidP="00000000" w:rsidRDefault="00000000" w:rsidRPr="00000000" w14:paraId="000000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 análisis de conglomerados identificó tres grupos con perfiles radicalmente distintos: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8.3258878354493"/>
        <w:gridCol w:w="1215.6811827093043"/>
        <w:gridCol w:w="1215.6811827093043"/>
        <w:gridCol w:w="1215.6811827093043"/>
        <w:gridCol w:w="1215.6811827093043"/>
        <w:gridCol w:w="1215.6811827093043"/>
        <w:gridCol w:w="1878.7800096416522"/>
        <w:tblGridChange w:id="0">
          <w:tblGrid>
            <w:gridCol w:w="1068.3258878354493"/>
            <w:gridCol w:w="1215.6811827093043"/>
            <w:gridCol w:w="1215.6811827093043"/>
            <w:gridCol w:w="1215.6811827093043"/>
            <w:gridCol w:w="1215.6811827093043"/>
            <w:gridCol w:w="1215.6811827093043"/>
            <w:gridCol w:w="1878.7800096416522"/>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0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Cluster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Edad (años)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NEWS‑2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FC (lpm)</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D">
            <w:pPr>
              <w:spacing w:line="391.30434782608694" w:lineRule="auto"/>
              <w:rPr>
                <w:rFonts w:ascii="Roboto" w:cs="Roboto" w:eastAsia="Roboto" w:hAnsi="Roboto"/>
                <w:color w:val="0f1115"/>
                <w:sz w:val="24"/>
                <w:szCs w:val="24"/>
              </w:rPr>
            </w:pPr>
            <w:r w:rsidDel="00000000" w:rsidR="00000000" w:rsidRPr="00000000">
              <w:rPr>
                <w:rFonts w:ascii="Andika" w:cs="Andika" w:eastAsia="Andika" w:hAnsi="Andika"/>
                <w:color w:val="0f1115"/>
                <w:sz w:val="23"/>
                <w:szCs w:val="23"/>
                <w:rtl w:val="0"/>
              </w:rPr>
              <w:t xml:space="preserve">SpO₂ (%)</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Nº fármacos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0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Interpretación</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26.2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85.4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94.4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2.33</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Intoxicación polifarmacéutica intencional en adultos jóvenes. Estables.</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31.6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90.0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95.5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0.19</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Intoxicación leve, probablemente monofármaco o alcohol. Bajo riesgo.</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37.6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6.4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107.2</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91.7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0.31</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Intoxicación grave en adultos mayores. Taquicardia, hipoxemia, escasa polifarmacia.</w:t>
            </w:r>
            <w:r w:rsidDel="00000000" w:rsidR="00000000" w:rsidRPr="00000000">
              <w:rPr>
                <w:rtl w:val="0"/>
              </w:rPr>
            </w:r>
          </w:p>
        </w:tc>
      </w:tr>
    </w:tbl>
    <w:p w:rsidR="00000000" w:rsidDel="00000000" w:rsidP="00000000" w:rsidRDefault="00000000" w:rsidRPr="00000000" w14:paraId="000000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Hallazgo insospechado:</w:t>
      </w:r>
    </w:p>
    <w:p w:rsidR="00000000" w:rsidDel="00000000" w:rsidP="00000000" w:rsidRDefault="00000000" w:rsidRPr="00000000" w14:paraId="00000026">
      <w:pPr>
        <w:numPr>
          <w:ilvl w:val="0"/>
          <w:numId w:val="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El cluster grave (2) tiene bajo número de fármacos. Esto contradice la intuición de que “más pastillas = más riesgo”. Podría deberse a:</w:t>
      </w:r>
    </w:p>
    <w:p w:rsidR="00000000" w:rsidDel="00000000" w:rsidP="00000000" w:rsidRDefault="00000000" w:rsidRPr="00000000" w14:paraId="00000027">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Tóxicos no farmacológicos (alcohol, drogas ilegales, plaguicidas) que no se reflejan en </w:t>
      </w:r>
      <w:r w:rsidDel="00000000" w:rsidR="00000000" w:rsidRPr="00000000">
        <w:rPr>
          <w:rFonts w:ascii="Consolas" w:cs="Consolas" w:eastAsia="Consolas" w:hAnsi="Consolas"/>
          <w:color w:val="0f1115"/>
          <w:sz w:val="21"/>
          <w:szCs w:val="21"/>
          <w:shd w:fill="ebeef2" w:val="clear"/>
          <w:rtl w:val="0"/>
        </w:rPr>
        <w:t xml:space="preserve">num_farmacos</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28">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Retraso en la atención (pacientes que llegan más tarde, con mayor deterioro).</w:t>
      </w:r>
    </w:p>
    <w:p w:rsidR="00000000" w:rsidDel="00000000" w:rsidP="00000000" w:rsidRDefault="00000000" w:rsidRPr="00000000" w14:paraId="00000029">
      <w:pPr>
        <w:numPr>
          <w:ilvl w:val="1"/>
          <w:numId w:val="6"/>
        </w:numPr>
        <w:spacing w:after="0" w:afterAutospacing="0" w:before="0" w:beforeAutospacing="0" w:lineRule="auto"/>
        <w:ind w:left="1440" w:hanging="360"/>
      </w:pPr>
      <w:r w:rsidDel="00000000" w:rsidR="00000000" w:rsidRPr="00000000">
        <w:rPr>
          <w:rFonts w:ascii="Nova Mono" w:cs="Nova Mono" w:eastAsia="Nova Mono" w:hAnsi="Nova Mono"/>
          <w:color w:val="0f1115"/>
          <w:sz w:val="24"/>
          <w:szCs w:val="24"/>
          <w:rtl w:val="0"/>
        </w:rPr>
        <w:t xml:space="preserve">Comorbilidades no registradas (mayor edad → más vulnerabilidad).</w:t>
      </w:r>
    </w:p>
    <w:p w:rsidR="00000000" w:rsidDel="00000000" w:rsidP="00000000" w:rsidRDefault="00000000" w:rsidRPr="00000000" w14:paraId="0000002A">
      <w:pPr>
        <w:numPr>
          <w:ilvl w:val="0"/>
          <w:numId w:val="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El cluster 0 (joven, polifarmacia) tiene NEWS‑2 moderado (3.5) a pesar de ingerir múltiples fármacos. Esto sugiere que la intoxicación polifarmacéutica intencional suele ser de baja gravedad, quizás porque los pacientes buscan ayuda rápidamente o porque las dosis ingeridas no son masivas.</w:t>
      </w:r>
    </w:p>
    <w:p w:rsidR="00000000" w:rsidDel="00000000" w:rsidP="00000000" w:rsidRDefault="00000000" w:rsidRPr="00000000" w14:paraId="0000002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rrf1qu1a3vr2" w:id="3"/>
      <w:bookmarkEnd w:id="3"/>
      <w:r w:rsidDel="00000000" w:rsidR="00000000" w:rsidRPr="00000000">
        <w:rPr>
          <w:rFonts w:ascii="Roboto" w:cs="Roboto" w:eastAsia="Roboto" w:hAnsi="Roboto"/>
          <w:b w:val="1"/>
          <w:bCs w:val="1"/>
          <w:color w:val="0f1115"/>
          <w:sz w:val="30"/>
          <w:szCs w:val="30"/>
          <w:rtl w:val="0"/>
        </w:rPr>
        <w:t xml:space="preserve">3. Variables semánticas: el enigma de la polifarmacia</w:t>
      </w:r>
    </w:p>
    <w:p w:rsidR="00000000" w:rsidDel="00000000" w:rsidP="00000000" w:rsidRDefault="00000000" w:rsidRPr="00000000" w14:paraId="0000002C">
      <w:pPr>
        <w:numPr>
          <w:ilvl w:val="0"/>
          <w:numId w:val="11"/>
        </w:numPr>
        <w:shd w:fill="ffffff" w:val="clear"/>
        <w:spacing w:after="0" w:afterAutospacing="0" w:before="240" w:lineRule="auto"/>
        <w:ind w:left="720" w:hanging="360"/>
      </w:pPr>
      <w:r w:rsidDel="00000000" w:rsidR="00000000" w:rsidRPr="00000000">
        <w:rPr>
          <w:rFonts w:ascii="Consolas" w:cs="Consolas" w:eastAsia="Consolas" w:hAnsi="Consolas"/>
          <w:color w:val="0f1115"/>
          <w:sz w:val="21"/>
          <w:szCs w:val="21"/>
          <w:shd w:fill="ebeef2" w:val="clear"/>
          <w:rtl w:val="0"/>
        </w:rPr>
        <w:t xml:space="preserve">num_farmacos</w:t>
      </w:r>
      <w:r w:rsidDel="00000000" w:rsidR="00000000" w:rsidRPr="00000000">
        <w:rPr>
          <w:rFonts w:ascii="Roboto" w:cs="Roboto" w:eastAsia="Roboto" w:hAnsi="Roboto"/>
          <w:color w:val="0f1115"/>
          <w:sz w:val="24"/>
          <w:szCs w:val="24"/>
          <w:rtl w:val="0"/>
        </w:rPr>
        <w:t xml:space="preserve"> se correlaciona negativamente con la edad (r = –0.23) y con casi todos los signos vitales (tas, fc, fr, t). Esto significa que los pacientes más jóvenes ingieren más fármacos y presentan constantes vitales más bajas (no más altas).</w:t>
      </w:r>
    </w:p>
    <w:p w:rsidR="00000000" w:rsidDel="00000000" w:rsidP="00000000" w:rsidRDefault="00000000" w:rsidRPr="00000000" w14:paraId="0000002D">
      <w:pPr>
        <w:numPr>
          <w:ilvl w:val="0"/>
          <w:numId w:val="1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Sin embargo, </w:t>
      </w:r>
      <w:r w:rsidDel="00000000" w:rsidR="00000000" w:rsidRPr="00000000">
        <w:rPr>
          <w:rFonts w:ascii="Consolas" w:cs="Consolas" w:eastAsia="Consolas" w:hAnsi="Consolas"/>
          <w:color w:val="0f1115"/>
          <w:sz w:val="21"/>
          <w:szCs w:val="21"/>
          <w:shd w:fill="ebeef2" w:val="clear"/>
          <w:rtl w:val="0"/>
        </w:rPr>
        <w:t xml:space="preserve">num_farmacos</w:t>
      </w:r>
      <w:r w:rsidDel="00000000" w:rsidR="00000000" w:rsidRPr="00000000">
        <w:rPr>
          <w:rFonts w:ascii="Roboto" w:cs="Roboto" w:eastAsia="Roboto" w:hAnsi="Roboto"/>
          <w:color w:val="0f1115"/>
          <w:sz w:val="24"/>
          <w:szCs w:val="24"/>
          <w:rtl w:val="0"/>
        </w:rPr>
        <w:t xml:space="preserve"> no predice NEWS‑2 (importancia 2%, correlación 0.035).</w:t>
        <w:br w:type="textWrapping"/>
        <w:t xml:space="preserve">Conclusión: La polifarmacia es un marcador de intencionalidad y juventud, pero no de gravedad aguda.</w:t>
      </w:r>
    </w:p>
    <w:p w:rsidR="00000000" w:rsidDel="00000000" w:rsidP="00000000" w:rsidRDefault="00000000" w:rsidRPr="00000000" w14:paraId="0000002E">
      <w:pPr>
        <w:numPr>
          <w:ilvl w:val="0"/>
          <w:numId w:val="11"/>
        </w:numPr>
        <w:shd w:fill="ffffff" w:val="clear"/>
        <w:spacing w:after="240" w:before="0" w:beforeAutospacing="0" w:lineRule="auto"/>
        <w:ind w:left="720" w:hanging="360"/>
      </w:pPr>
      <w:r w:rsidDel="00000000" w:rsidR="00000000" w:rsidRPr="00000000">
        <w:rPr>
          <w:rFonts w:ascii="Consolas" w:cs="Consolas" w:eastAsia="Consolas" w:hAnsi="Consolas"/>
          <w:color w:val="0f1115"/>
          <w:sz w:val="21"/>
          <w:szCs w:val="21"/>
          <w:shd w:fill="ebeef2" w:val="clear"/>
          <w:rtl w:val="0"/>
        </w:rPr>
        <w:t xml:space="preserve">intencional</w:t>
      </w:r>
      <w:r w:rsidDel="00000000" w:rsidR="00000000" w:rsidRPr="00000000">
        <w:rPr>
          <w:rFonts w:ascii="Roboto" w:cs="Roboto" w:eastAsia="Roboto" w:hAnsi="Roboto"/>
          <w:color w:val="0f1115"/>
          <w:sz w:val="24"/>
          <w:szCs w:val="24"/>
          <w:rtl w:val="0"/>
        </w:rPr>
        <w:t xml:space="preserve"> tiene una importancia de solo 1.5% y no es significativa en la tabla de asociaciones (p=0.43). El intento suicida no implica mayor gravedad fisiológica; la gravedad depende del tóxico y la dosis, no de la intencionalidad.</w:t>
      </w:r>
    </w:p>
    <w:p w:rsidR="00000000" w:rsidDel="00000000" w:rsidP="00000000" w:rsidRDefault="00000000" w:rsidRPr="00000000" w14:paraId="0000002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x2pu3b4ife08" w:id="4"/>
      <w:bookmarkEnd w:id="4"/>
      <w:r w:rsidDel="00000000" w:rsidR="00000000" w:rsidRPr="00000000">
        <w:rPr>
          <w:rFonts w:ascii="Roboto" w:cs="Roboto" w:eastAsia="Roboto" w:hAnsi="Roboto"/>
          <w:b w:val="1"/>
          <w:bCs w:val="1"/>
          <w:color w:val="0f1115"/>
          <w:sz w:val="30"/>
          <w:szCs w:val="30"/>
          <w:rtl w:val="0"/>
        </w:rPr>
        <w:t xml:space="preserve">4. Correlaciones robustas (Spearman) e información mutua</w:t>
      </w:r>
    </w:p>
    <w:p w:rsidR="00000000" w:rsidDel="00000000" w:rsidP="00000000" w:rsidRDefault="00000000" w:rsidRPr="00000000" w14:paraId="00000030">
      <w:pPr>
        <w:numPr>
          <w:ilvl w:val="0"/>
          <w:numId w:val="8"/>
        </w:numPr>
        <w:shd w:fill="ffffff" w:val="clear"/>
        <w:spacing w:after="0" w:afterAutospacing="0" w:before="240" w:lineRule="auto"/>
        <w:ind w:left="720" w:hanging="360"/>
      </w:pPr>
      <w:r w:rsidDel="00000000" w:rsidR="00000000" w:rsidRPr="00000000">
        <w:rPr>
          <w:rFonts w:ascii="Andika" w:cs="Andika" w:eastAsia="Andika" w:hAnsi="Andika"/>
          <w:color w:val="0f1115"/>
          <w:sz w:val="24"/>
          <w:szCs w:val="24"/>
          <w:rtl w:val="0"/>
        </w:rPr>
        <w:t xml:space="preserve">La correlación más fuerte con NEWS‑2 es SpO₂ (–0.41), seguida de FC (0.32) y FR (0.21).</w:t>
      </w:r>
    </w:p>
    <w:p w:rsidR="00000000" w:rsidDel="00000000" w:rsidP="00000000" w:rsidRDefault="00000000" w:rsidRPr="00000000" w14:paraId="00000031">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Ninguna variable semántica (tox_*, num_farmacos, con_alcohol) se correlaciona significativamente con NEWS‑2.</w:t>
      </w:r>
    </w:p>
    <w:p w:rsidR="00000000" w:rsidDel="00000000" w:rsidP="00000000" w:rsidRDefault="00000000" w:rsidRPr="00000000" w14:paraId="00000032">
      <w:pPr>
        <w:numPr>
          <w:ilvl w:val="0"/>
          <w:numId w:val="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Información mutua (reportada en el script) mostró valores altos entre edad y signos vitales, lo que indica relaciones no lineales (p. ej., la presión arterial aumenta con la edad hasta cierto punto y luego se estabiliza). Sin embargo, al tratarse de variables continuas, la información mutua puede estar inflada por el método de discretización automática.</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i0kdxv5jv41i" w:id="5"/>
      <w:bookmarkEnd w:id="5"/>
      <w:r w:rsidDel="00000000" w:rsidR="00000000" w:rsidRPr="00000000">
        <w:rPr>
          <w:rFonts w:ascii="Roboto" w:cs="Roboto" w:eastAsia="Roboto" w:hAnsi="Roboto"/>
          <w:b w:val="1"/>
          <w:bCs w:val="1"/>
          <w:color w:val="0f1115"/>
          <w:sz w:val="33"/>
          <w:szCs w:val="33"/>
          <w:rtl w:val="0"/>
        </w:rPr>
        <w:t xml:space="preserve">🧠 HALLAZGOS OCULTOS (LO QUE EL HUMANO NO VE)</w:t>
      </w:r>
    </w:p>
    <w:p w:rsidR="00000000" w:rsidDel="00000000" w:rsidP="00000000" w:rsidRDefault="00000000" w:rsidRPr="00000000" w14:paraId="00000035">
      <w:pPr>
        <w:numPr>
          <w:ilvl w:val="0"/>
          <w:numId w:val="9"/>
        </w:numPr>
        <w:shd w:fill="ffffff" w:val="clear"/>
        <w:spacing w:after="0" w:afterAutospacing="0" w:before="240" w:lineRule="auto"/>
        <w:ind w:left="720" w:hanging="360"/>
      </w:pPr>
      <w:r w:rsidDel="00000000" w:rsidR="00000000" w:rsidRPr="00000000">
        <w:rPr>
          <w:rFonts w:ascii="Andika" w:cs="Andika" w:eastAsia="Andika" w:hAnsi="Andika"/>
          <w:color w:val="0f1115"/>
          <w:sz w:val="24"/>
          <w:szCs w:val="24"/>
          <w:rtl w:val="0"/>
        </w:rPr>
        <w:t xml:space="preserve">La frecuencia respiratoria es el centinela silencioso</w:t>
        <w:br w:type="textWrapping"/>
        <w:t xml:space="preserve">Mientras que la saturación de oxígeno es el parámetro más correlacionado con NEWS‑2, la frecuencia respiratoria es el mejor predictor cuando se combina con otras variables. Esto sugiere que, en toxicología, la taquipnea precede a la hipoxemia o es un marcador de acidosis que aún no ha impactado la SpO₂.</w:t>
        <w:br w:type="textWrapping"/>
        <w:t xml:space="preserve">Implicación: Los sistemas de triage deberían ponderar más la FR en intoxicaciones.</w:t>
      </w:r>
    </w:p>
    <w:p w:rsidR="00000000" w:rsidDel="00000000" w:rsidP="00000000" w:rsidRDefault="00000000" w:rsidRPr="00000000" w14:paraId="00000036">
      <w:pPr>
        <w:numPr>
          <w:ilvl w:val="0"/>
          <w:numId w:val="9"/>
        </w:numPr>
        <w:shd w:fill="ffffff" w:val="clear"/>
        <w:spacing w:after="0" w:afterAutospacing="0" w:before="0" w:beforeAutospacing="0" w:lineRule="auto"/>
        <w:ind w:left="720" w:hanging="360"/>
      </w:pPr>
      <w:r w:rsidDel="00000000" w:rsidR="00000000" w:rsidRPr="00000000">
        <w:rPr>
          <w:rFonts w:ascii="Andika" w:cs="Andika" w:eastAsia="Andika" w:hAnsi="Andika"/>
          <w:color w:val="0f1115"/>
          <w:sz w:val="24"/>
          <w:szCs w:val="24"/>
          <w:rtl w:val="0"/>
        </w:rPr>
        <w:t xml:space="preserve">El perfil de intoxicación grave no es el que esperábamos</w:t>
        <w:br w:type="textWrapping"/>
        <w:t xml:space="preserve">No es el joven con 20 pastillas, sino el adulto de 38 años con pocos fármacos, taquicardia y SpO₂ baja. Hipótesis: Este grupo corresponde a intoxicaciones por alcohol etílico, drogas ilegales o plaguicidas, o a presentaciones tardías (cuando el paciente ya ha empeorado). Esta hipótesis es contrastable: basta con examinar la distribución de </w:t>
      </w:r>
      <w:r w:rsidDel="00000000" w:rsidR="00000000" w:rsidRPr="00000000">
        <w:rPr>
          <w:rFonts w:ascii="Consolas" w:cs="Consolas" w:eastAsia="Consolas" w:hAnsi="Consolas"/>
          <w:color w:val="0f1115"/>
          <w:sz w:val="21"/>
          <w:szCs w:val="21"/>
          <w:shd w:fill="ebeef2" w:val="clear"/>
          <w:rtl w:val="0"/>
        </w:rPr>
        <w:t xml:space="preserve">tox_alcohol</w:t>
      </w:r>
      <w:r w:rsidDel="00000000" w:rsidR="00000000" w:rsidRPr="00000000">
        <w:rPr>
          <w:rFonts w:ascii="Roboto" w:cs="Roboto" w:eastAsia="Roboto" w:hAnsi="Roboto"/>
          <w:color w:val="0f1115"/>
          <w:sz w:val="24"/>
          <w:szCs w:val="24"/>
          <w:rtl w:val="0"/>
        </w:rPr>
        <w:t xml:space="preserve">, </w:t>
      </w:r>
      <w:r w:rsidDel="00000000" w:rsidR="00000000" w:rsidRPr="00000000">
        <w:rPr>
          <w:rFonts w:ascii="Consolas" w:cs="Consolas" w:eastAsia="Consolas" w:hAnsi="Consolas"/>
          <w:color w:val="0f1115"/>
          <w:sz w:val="21"/>
          <w:szCs w:val="21"/>
          <w:shd w:fill="ebeef2" w:val="clear"/>
          <w:rtl w:val="0"/>
        </w:rPr>
        <w:t xml:space="preserve">tox_droga_ilegal</w:t>
      </w:r>
      <w:r w:rsidDel="00000000" w:rsidR="00000000" w:rsidRPr="00000000">
        <w:rPr>
          <w:rFonts w:ascii="Roboto" w:cs="Roboto" w:eastAsia="Roboto" w:hAnsi="Roboto"/>
          <w:color w:val="0f1115"/>
          <w:sz w:val="24"/>
          <w:szCs w:val="24"/>
          <w:rtl w:val="0"/>
        </w:rPr>
        <w:t xml:space="preserve"> y </w:t>
      </w:r>
      <w:r w:rsidDel="00000000" w:rsidR="00000000" w:rsidRPr="00000000">
        <w:rPr>
          <w:rFonts w:ascii="Consolas" w:cs="Consolas" w:eastAsia="Consolas" w:hAnsi="Consolas"/>
          <w:color w:val="0f1115"/>
          <w:sz w:val="21"/>
          <w:szCs w:val="21"/>
          <w:shd w:fill="ebeef2" w:val="clear"/>
          <w:rtl w:val="0"/>
        </w:rPr>
        <w:t xml:space="preserve">tox_plaguicida</w:t>
      </w:r>
      <w:r w:rsidDel="00000000" w:rsidR="00000000" w:rsidRPr="00000000">
        <w:rPr>
          <w:rFonts w:ascii="Roboto" w:cs="Roboto" w:eastAsia="Roboto" w:hAnsi="Roboto"/>
          <w:color w:val="0f1115"/>
          <w:sz w:val="24"/>
          <w:szCs w:val="24"/>
          <w:rtl w:val="0"/>
        </w:rPr>
        <w:t xml:space="preserve"> en los clusters.</w:t>
      </w:r>
    </w:p>
    <w:p w:rsidR="00000000" w:rsidDel="00000000" w:rsidP="00000000" w:rsidRDefault="00000000" w:rsidRPr="00000000" w14:paraId="00000037">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El cluster 0 (polifarmacia) tiene la FC más baja (85 lpm) a pesar de tener NEWS‑2 moderado. Esto podría deberse a:</w:t>
      </w:r>
    </w:p>
    <w:p w:rsidR="00000000" w:rsidDel="00000000" w:rsidP="00000000" w:rsidRDefault="00000000" w:rsidRPr="00000000" w14:paraId="00000038">
      <w:pPr>
        <w:numPr>
          <w:ilvl w:val="1"/>
          <w:numId w:val="9"/>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Efecto bradicardizante de algunos fármacos (clonazepam, betabloqueantes, digoxina).</w:t>
      </w:r>
    </w:p>
    <w:p w:rsidR="00000000" w:rsidDel="00000000" w:rsidP="00000000" w:rsidRDefault="00000000" w:rsidRPr="00000000" w14:paraId="00000039">
      <w:pPr>
        <w:numPr>
          <w:ilvl w:val="1"/>
          <w:numId w:val="9"/>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Menor respuesta adrenérgica al estrés en intoxicaciones intencionales vs. accidentales.</w:t>
        <w:br w:type="textWrapping"/>
        <w:t xml:space="preserve">Estudio propuesto: Comparar la respuesta simpática (FC, TAS) entre grupos intencional vs. accidental.</w:t>
      </w:r>
    </w:p>
    <w:p w:rsidR="00000000" w:rsidDel="00000000" w:rsidP="00000000" w:rsidRDefault="00000000" w:rsidRPr="00000000" w14:paraId="0000003A">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La edad no protege ni agrava (r = –0.06 con NEWS‑2).</w:t>
        <w:br w:type="textWrapping"/>
        <w:t xml:space="preserve">Esto es contraintuitivo porque los extremos de la vida suelen ser más vulnerables. La ausencia de correlación puede deberse a:</w:t>
      </w:r>
    </w:p>
    <w:p w:rsidR="00000000" w:rsidDel="00000000" w:rsidP="00000000" w:rsidRDefault="00000000" w:rsidRPr="00000000" w14:paraId="0000003B">
      <w:pPr>
        <w:numPr>
          <w:ilvl w:val="1"/>
          <w:numId w:val="9"/>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Baja representación de &gt;60 años (n=6).</w:t>
      </w:r>
    </w:p>
    <w:p w:rsidR="00000000" w:rsidDel="00000000" w:rsidP="00000000" w:rsidRDefault="00000000" w:rsidRPr="00000000" w14:paraId="0000003C">
      <w:pPr>
        <w:numPr>
          <w:ilvl w:val="1"/>
          <w:numId w:val="9"/>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Los pacientes añosos que se intoxican lo hacen con fármacos de bajo riesgo.</w:t>
      </w:r>
    </w:p>
    <w:p w:rsidR="00000000" w:rsidDel="00000000" w:rsidP="00000000" w:rsidRDefault="00000000" w:rsidRPr="00000000" w14:paraId="0000003D">
      <w:pPr>
        <w:numPr>
          <w:ilvl w:val="1"/>
          <w:numId w:val="9"/>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Efecto de selección: los ancianos frágiles podrían fallecer antes de llegar al hospital (sesgo de supervivencia).</w:t>
      </w:r>
    </w:p>
    <w:p w:rsidR="00000000" w:rsidDel="00000000" w:rsidP="00000000" w:rsidRDefault="00000000" w:rsidRPr="00000000" w14:paraId="0000003E">
      <w:pPr>
        <w:numPr>
          <w:ilvl w:val="0"/>
          <w:numId w:val="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Las benzodiacepinas no son tan peligrosas como se cree</w:t>
        <w:br w:type="textWrapping"/>
      </w:r>
      <w:r w:rsidDel="00000000" w:rsidR="00000000" w:rsidRPr="00000000">
        <w:rPr>
          <w:rFonts w:ascii="Consolas" w:cs="Consolas" w:eastAsia="Consolas" w:hAnsi="Consolas"/>
          <w:color w:val="0f1115"/>
          <w:sz w:val="21"/>
          <w:szCs w:val="21"/>
          <w:shd w:fill="ebeef2" w:val="clear"/>
          <w:rtl w:val="0"/>
        </w:rPr>
        <w:t xml:space="preserve">tox_benzodiacepina</w:t>
      </w:r>
      <w:r w:rsidDel="00000000" w:rsidR="00000000" w:rsidRPr="00000000">
        <w:rPr>
          <w:rFonts w:ascii="Roboto" w:cs="Roboto" w:eastAsia="Roboto" w:hAnsi="Roboto"/>
          <w:color w:val="0f1115"/>
          <w:sz w:val="24"/>
          <w:szCs w:val="24"/>
          <w:rtl w:val="0"/>
        </w:rPr>
        <w:t xml:space="preserve"> aparece con baja importancia y el cluster grave tiene muy baja polifarmacia. Las benzodiacepinas solas rara vez causan depresión respiratoria grave; el riesgo real está en la co‑ingesta con alcohol u otros depresores. Esta interacción no se ha medido directamente, pero podría explorarse creando una variable </w:t>
      </w:r>
      <w:r w:rsidDel="00000000" w:rsidR="00000000" w:rsidRPr="00000000">
        <w:rPr>
          <w:rFonts w:ascii="Consolas" w:cs="Consolas" w:eastAsia="Consolas" w:hAnsi="Consolas"/>
          <w:color w:val="0f1115"/>
          <w:sz w:val="21"/>
          <w:szCs w:val="21"/>
          <w:shd w:fill="ebeef2" w:val="clear"/>
          <w:rtl w:val="0"/>
        </w:rPr>
        <w:t xml:space="preserve">benzodiacepina + alcohol</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wu96pte7iek5" w:id="6"/>
      <w:bookmarkEnd w:id="6"/>
      <w:r w:rsidDel="00000000" w:rsidR="00000000" w:rsidRPr="00000000">
        <w:rPr>
          <w:rFonts w:ascii="Roboto" w:cs="Roboto" w:eastAsia="Roboto" w:hAnsi="Roboto"/>
          <w:b w:val="1"/>
          <w:bCs w:val="1"/>
          <w:color w:val="0f1115"/>
          <w:sz w:val="33"/>
          <w:szCs w:val="33"/>
          <w:rtl w:val="0"/>
        </w:rPr>
        <w:t xml:space="preserve">📋 PROPUESTAS DE INVESTIGACIÓN (PROTOCOLOS RETROSPECTIVOS)</w:t>
      </w:r>
    </w:p>
    <w:p w:rsidR="00000000" w:rsidDel="00000000" w:rsidP="00000000" w:rsidRDefault="00000000" w:rsidRPr="00000000" w14:paraId="0000004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6kkotauwfc1o" w:id="7"/>
      <w:bookmarkEnd w:id="7"/>
      <w:r w:rsidDel="00000000" w:rsidR="00000000" w:rsidRPr="00000000">
        <w:rPr>
          <w:rFonts w:ascii="Roboto" w:cs="Roboto" w:eastAsia="Roboto" w:hAnsi="Roboto"/>
          <w:b w:val="1"/>
          <w:bCs w:val="1"/>
          <w:color w:val="0f1115"/>
          <w:sz w:val="30"/>
          <w:szCs w:val="30"/>
          <w:rtl w:val="0"/>
        </w:rPr>
        <w:t xml:space="preserve">Estudio 1: Validación del árbol de decisión como herramienta de triage</w:t>
      </w:r>
    </w:p>
    <w:p w:rsidR="00000000" w:rsidDel="00000000" w:rsidP="00000000" w:rsidRDefault="00000000" w:rsidRPr="00000000" w14:paraId="00000042">
      <w:pPr>
        <w:shd w:fill="ffffff" w:val="clear"/>
        <w:spacing w:after="240" w:before="240" w:lineRule="auto"/>
        <w:rPr>
          <w:rFonts w:ascii="Roboto" w:cs="Roboto" w:eastAsia="Roboto" w:hAnsi="Roboto"/>
          <w:color w:val="0f1115"/>
          <w:sz w:val="24"/>
          <w:szCs w:val="24"/>
        </w:rPr>
      </w:pPr>
      <w:r w:rsidDel="00000000" w:rsidR="00000000" w:rsidRPr="00000000">
        <w:rPr>
          <w:rFonts w:ascii="Nova Mono" w:cs="Nova Mono" w:eastAsia="Nova Mono" w:hAnsi="Nova Mono"/>
          <w:color w:val="0f1115"/>
          <w:sz w:val="24"/>
          <w:szCs w:val="24"/>
          <w:rtl w:val="0"/>
        </w:rPr>
        <w:t xml:space="preserve">Hipótesis: La regla “FR &gt; 22.5 y TAS ≤ 91.5” identifica con alta especificidad a pacientes con intoxicación grave (NEWS‑2 ≥5).</w:t>
        <w:br w:type="textWrapping"/>
        <w:t xml:space="preserve">Método:</w:t>
      </w:r>
    </w:p>
    <w:p w:rsidR="00000000" w:rsidDel="00000000" w:rsidP="00000000" w:rsidRDefault="00000000" w:rsidRPr="00000000" w14:paraId="00000043">
      <w:pPr>
        <w:numPr>
          <w:ilvl w:val="0"/>
          <w:numId w:val="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Validación cruzada en la muestra actual.</w:t>
      </w:r>
    </w:p>
    <w:p w:rsidR="00000000" w:rsidDel="00000000" w:rsidP="00000000" w:rsidRDefault="00000000" w:rsidRPr="00000000" w14:paraId="00000044">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Cálculo de sensibilidad, especificidad, VPP, VPN.</w:t>
      </w:r>
    </w:p>
    <w:p w:rsidR="00000000" w:rsidDel="00000000" w:rsidP="00000000" w:rsidRDefault="00000000" w:rsidRPr="00000000" w14:paraId="00000045">
      <w:pPr>
        <w:numPr>
          <w:ilvl w:val="0"/>
          <w:numId w:val="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Curva ROC del modelo combinado.</w:t>
        <w:br w:type="textWrapping"/>
        <w:t xml:space="preserve">Resultado esperado: Especificidad &gt;95%, sensibilidad moderada.</w:t>
      </w:r>
    </w:p>
    <w:p w:rsidR="00000000" w:rsidDel="00000000" w:rsidP="00000000" w:rsidRDefault="00000000" w:rsidRPr="00000000" w14:paraId="0000004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5rbazcujjc77" w:id="8"/>
      <w:bookmarkEnd w:id="8"/>
      <w:r w:rsidDel="00000000" w:rsidR="00000000" w:rsidRPr="00000000">
        <w:rPr>
          <w:rFonts w:ascii="Roboto" w:cs="Roboto" w:eastAsia="Roboto" w:hAnsi="Roboto"/>
          <w:b w:val="1"/>
          <w:bCs w:val="1"/>
          <w:color w:val="0f1115"/>
          <w:sz w:val="30"/>
          <w:szCs w:val="30"/>
          <w:rtl w:val="0"/>
        </w:rPr>
        <w:t xml:space="preserve">Estudio 2: Caracterización de los fenotipos clínicos</w:t>
      </w:r>
    </w:p>
    <w:p w:rsidR="00000000" w:rsidDel="00000000" w:rsidP="00000000" w:rsidRDefault="00000000" w:rsidRPr="00000000" w14:paraId="000000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Objetivo: Describir los tres clusters en función de variables no incluidas en el clustering (tipo de tóxico, intencionalidad, hora de atención, nivel de atención).</w:t>
        <w:br w:type="textWrapping"/>
        <w:t xml:space="preserve">Método:</w:t>
      </w:r>
    </w:p>
    <w:p w:rsidR="00000000" w:rsidDel="00000000" w:rsidP="00000000" w:rsidRDefault="00000000" w:rsidRPr="00000000" w14:paraId="00000048">
      <w:pPr>
        <w:numPr>
          <w:ilvl w:val="0"/>
          <w:numId w:val="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Tablas de contingencia y ANOVA para comparar proporciones de </w:t>
      </w:r>
      <w:r w:rsidDel="00000000" w:rsidR="00000000" w:rsidRPr="00000000">
        <w:rPr>
          <w:rFonts w:ascii="Consolas" w:cs="Consolas" w:eastAsia="Consolas" w:hAnsi="Consolas"/>
          <w:color w:val="0f1115"/>
          <w:sz w:val="21"/>
          <w:szCs w:val="21"/>
          <w:shd w:fill="ebeef2" w:val="clear"/>
          <w:rtl w:val="0"/>
        </w:rPr>
        <w:t xml:space="preserve">tox_*</w:t>
      </w:r>
      <w:r w:rsidDel="00000000" w:rsidR="00000000" w:rsidRPr="00000000">
        <w:rPr>
          <w:rFonts w:ascii="Roboto" w:cs="Roboto" w:eastAsia="Roboto" w:hAnsi="Roboto"/>
          <w:color w:val="0f1115"/>
          <w:sz w:val="24"/>
          <w:szCs w:val="24"/>
          <w:rtl w:val="0"/>
        </w:rPr>
        <w:t xml:space="preserve">, </w:t>
      </w:r>
      <w:r w:rsidDel="00000000" w:rsidR="00000000" w:rsidRPr="00000000">
        <w:rPr>
          <w:rFonts w:ascii="Consolas" w:cs="Consolas" w:eastAsia="Consolas" w:hAnsi="Consolas"/>
          <w:color w:val="0f1115"/>
          <w:sz w:val="21"/>
          <w:szCs w:val="21"/>
          <w:shd w:fill="ebeef2" w:val="clear"/>
          <w:rtl w:val="0"/>
        </w:rPr>
        <w:t xml:space="preserve">intencional</w:t>
      </w:r>
      <w:r w:rsidDel="00000000" w:rsidR="00000000" w:rsidRPr="00000000">
        <w:rPr>
          <w:rFonts w:ascii="Roboto" w:cs="Roboto" w:eastAsia="Roboto" w:hAnsi="Roboto"/>
          <w:color w:val="0f1115"/>
          <w:sz w:val="24"/>
          <w:szCs w:val="24"/>
          <w:rtl w:val="0"/>
        </w:rPr>
        <w:t xml:space="preserve">, </w:t>
      </w:r>
      <w:r w:rsidDel="00000000" w:rsidR="00000000" w:rsidRPr="00000000">
        <w:rPr>
          <w:rFonts w:ascii="Consolas" w:cs="Consolas" w:eastAsia="Consolas" w:hAnsi="Consolas"/>
          <w:color w:val="0f1115"/>
          <w:sz w:val="21"/>
          <w:szCs w:val="21"/>
          <w:shd w:fill="ebeef2" w:val="clear"/>
          <w:rtl w:val="0"/>
        </w:rPr>
        <w:t xml:space="preserve">con_alcohol</w:t>
      </w:r>
      <w:r w:rsidDel="00000000" w:rsidR="00000000" w:rsidRPr="00000000">
        <w:rPr>
          <w:rFonts w:ascii="Roboto" w:cs="Roboto" w:eastAsia="Roboto" w:hAnsi="Roboto"/>
          <w:color w:val="0f1115"/>
          <w:sz w:val="24"/>
          <w:szCs w:val="24"/>
          <w:rtl w:val="0"/>
        </w:rPr>
        <w:t xml:space="preserve">, </w:t>
      </w:r>
      <w:r w:rsidDel="00000000" w:rsidR="00000000" w:rsidRPr="00000000">
        <w:rPr>
          <w:rFonts w:ascii="Consolas" w:cs="Consolas" w:eastAsia="Consolas" w:hAnsi="Consolas"/>
          <w:color w:val="0f1115"/>
          <w:sz w:val="21"/>
          <w:szCs w:val="21"/>
          <w:shd w:fill="ebeef2" w:val="clear"/>
          <w:rtl w:val="0"/>
        </w:rPr>
        <w:t xml:space="preserve">hora</w:t>
      </w:r>
      <w:r w:rsidDel="00000000" w:rsidR="00000000" w:rsidRPr="00000000">
        <w:rPr>
          <w:rFonts w:ascii="Roboto" w:cs="Roboto" w:eastAsia="Roboto" w:hAnsi="Roboto"/>
          <w:color w:val="0f1115"/>
          <w:sz w:val="24"/>
          <w:szCs w:val="24"/>
          <w:rtl w:val="0"/>
        </w:rPr>
        <w:t xml:space="preserve">, </w:t>
      </w:r>
      <w:r w:rsidDel="00000000" w:rsidR="00000000" w:rsidRPr="00000000">
        <w:rPr>
          <w:rFonts w:ascii="Consolas" w:cs="Consolas" w:eastAsia="Consolas" w:hAnsi="Consolas"/>
          <w:color w:val="0f1115"/>
          <w:sz w:val="21"/>
          <w:szCs w:val="21"/>
          <w:shd w:fill="ebeef2" w:val="clear"/>
          <w:rtl w:val="0"/>
        </w:rPr>
        <w:t xml:space="preserve">nivel_atencion</w:t>
      </w:r>
      <w:r w:rsidDel="00000000" w:rsidR="00000000" w:rsidRPr="00000000">
        <w:rPr>
          <w:rFonts w:ascii="Roboto" w:cs="Roboto" w:eastAsia="Roboto" w:hAnsi="Roboto"/>
          <w:color w:val="0f1115"/>
          <w:sz w:val="24"/>
          <w:szCs w:val="24"/>
          <w:rtl w:val="0"/>
        </w:rPr>
        <w:t xml:space="preserve"> entre clusters.</w:t>
      </w:r>
    </w:p>
    <w:p w:rsidR="00000000" w:rsidDel="00000000" w:rsidP="00000000" w:rsidRDefault="00000000" w:rsidRPr="00000000" w14:paraId="00000049">
      <w:pPr>
        <w:numPr>
          <w:ilvl w:val="0"/>
          <w:numId w:val="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Regresión multinomial para predecir la pertenencia a cluster.</w:t>
        <w:br w:type="textWrapping"/>
        <w:t xml:space="preserve">Resultado esperado: El cluster 2 estará enriquecido en alcohol/drogas ilegales y mayor nivel de atención; el cluster 0 en fármacos psiquiátricos e intencionalidad.</w:t>
      </w:r>
    </w:p>
    <w:p w:rsidR="00000000" w:rsidDel="00000000" w:rsidP="00000000" w:rsidRDefault="00000000" w:rsidRPr="00000000" w14:paraId="0000004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81egplvmfg3c" w:id="9"/>
      <w:bookmarkEnd w:id="9"/>
      <w:r w:rsidDel="00000000" w:rsidR="00000000" w:rsidRPr="00000000">
        <w:rPr>
          <w:rFonts w:ascii="Roboto" w:cs="Roboto" w:eastAsia="Roboto" w:hAnsi="Roboto"/>
          <w:b w:val="1"/>
          <w:bCs w:val="1"/>
          <w:color w:val="0f1115"/>
          <w:sz w:val="30"/>
          <w:szCs w:val="30"/>
          <w:rtl w:val="0"/>
        </w:rPr>
        <w:t xml:space="preserve">Estudio 3: ¿La polifarmacia es un factor protector?</w:t>
      </w:r>
    </w:p>
    <w:p w:rsidR="00000000" w:rsidDel="00000000" w:rsidP="00000000" w:rsidRDefault="00000000" w:rsidRPr="00000000" w14:paraId="0000004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Hipótesis: A igualdad de edad y tóxico, un mayor número de fármacos ingeridos se asocia con menor NEWS‑2 (porque estos pacientes acuden antes o porque los fármacos tienen antagonistas o efectos contrapuestos).</w:t>
        <w:br w:type="textWrapping"/>
        <w:t xml:space="preserve">Método:</w:t>
      </w:r>
    </w:p>
    <w:p w:rsidR="00000000" w:rsidDel="00000000" w:rsidP="00000000" w:rsidRDefault="00000000" w:rsidRPr="00000000" w14:paraId="0000004C">
      <w:pPr>
        <w:numPr>
          <w:ilvl w:val="0"/>
          <w:numId w:val="1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Regresión lineal múltiple con NEWS‑2 como variable dependiente, ajustando por edad, sexo, tipo de tóxico principal, y hora de atención.</w:t>
      </w:r>
    </w:p>
    <w:p w:rsidR="00000000" w:rsidDel="00000000" w:rsidP="00000000" w:rsidRDefault="00000000" w:rsidRPr="00000000" w14:paraId="0000004D">
      <w:pPr>
        <w:numPr>
          <w:ilvl w:val="0"/>
          <w:numId w:val="1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Incluir término de interacción </w:t>
      </w:r>
      <w:r w:rsidDel="00000000" w:rsidR="00000000" w:rsidRPr="00000000">
        <w:rPr>
          <w:rFonts w:ascii="Consolas" w:cs="Consolas" w:eastAsia="Consolas" w:hAnsi="Consolas"/>
          <w:color w:val="0f1115"/>
          <w:sz w:val="21"/>
          <w:szCs w:val="21"/>
          <w:shd w:fill="ebeef2" w:val="clear"/>
          <w:rtl w:val="0"/>
        </w:rPr>
        <w:t xml:space="preserve">num_farmacos * intencional</w:t>
      </w:r>
      <w:r w:rsidDel="00000000" w:rsidR="00000000" w:rsidRPr="00000000">
        <w:rPr>
          <w:rFonts w:ascii="Roboto" w:cs="Roboto" w:eastAsia="Roboto" w:hAnsi="Roboto"/>
          <w:color w:val="0f1115"/>
          <w:sz w:val="24"/>
          <w:szCs w:val="24"/>
          <w:rtl w:val="0"/>
        </w:rPr>
        <w:t xml:space="preserve">.</w:t>
        <w:br w:type="textWrapping"/>
        <w:t xml:space="preserve">Resultado esperado: Coeficiente negativo para </w:t>
      </w:r>
      <w:r w:rsidDel="00000000" w:rsidR="00000000" w:rsidRPr="00000000">
        <w:rPr>
          <w:rFonts w:ascii="Consolas" w:cs="Consolas" w:eastAsia="Consolas" w:hAnsi="Consolas"/>
          <w:color w:val="0f1115"/>
          <w:sz w:val="21"/>
          <w:szCs w:val="21"/>
          <w:shd w:fill="ebeef2" w:val="clear"/>
          <w:rtl w:val="0"/>
        </w:rPr>
        <w:t xml:space="preserve">num_farmacos</w:t>
      </w:r>
      <w:r w:rsidDel="00000000" w:rsidR="00000000" w:rsidRPr="00000000">
        <w:rPr>
          <w:rFonts w:ascii="Roboto" w:cs="Roboto" w:eastAsia="Roboto" w:hAnsi="Roboto"/>
          <w:color w:val="0f1115"/>
          <w:sz w:val="24"/>
          <w:szCs w:val="24"/>
          <w:rtl w:val="0"/>
        </w:rPr>
        <w:t xml:space="preserve">, indicando un efecto “protector” independiente.</w:t>
      </w:r>
    </w:p>
    <w:p w:rsidR="00000000" w:rsidDel="00000000" w:rsidP="00000000" w:rsidRDefault="00000000" w:rsidRPr="00000000" w14:paraId="0000004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ukuvickw4fo" w:id="10"/>
      <w:bookmarkEnd w:id="10"/>
      <w:r w:rsidDel="00000000" w:rsidR="00000000" w:rsidRPr="00000000">
        <w:rPr>
          <w:rFonts w:ascii="Roboto" w:cs="Roboto" w:eastAsia="Roboto" w:hAnsi="Roboto"/>
          <w:b w:val="1"/>
          <w:bCs w:val="1"/>
          <w:color w:val="0f1115"/>
          <w:sz w:val="30"/>
          <w:szCs w:val="30"/>
          <w:rtl w:val="0"/>
        </w:rPr>
        <w:t xml:space="preserve">Estudio 4: Impacto de la co‑ingesta de alcohol en la gravedad</w:t>
      </w:r>
    </w:p>
    <w:p w:rsidR="00000000" w:rsidDel="00000000" w:rsidP="00000000" w:rsidRDefault="00000000" w:rsidRPr="00000000" w14:paraId="0000004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Hipótesis: La combinación de alcohol con benzodiacepinas o antidepresivos produce un NEWS‑2 significativamente mayor que cada tóxico por separado.</w:t>
        <w:br w:type="textWrapping"/>
        <w:t xml:space="preserve">Método:</w:t>
      </w:r>
    </w:p>
    <w:p w:rsidR="00000000" w:rsidDel="00000000" w:rsidP="00000000" w:rsidRDefault="00000000" w:rsidRPr="00000000" w14:paraId="00000050">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Crear variable </w:t>
      </w:r>
      <w:r w:rsidDel="00000000" w:rsidR="00000000" w:rsidRPr="00000000">
        <w:rPr>
          <w:rFonts w:ascii="Consolas" w:cs="Consolas" w:eastAsia="Consolas" w:hAnsi="Consolas"/>
          <w:color w:val="0f1115"/>
          <w:sz w:val="21"/>
          <w:szCs w:val="21"/>
          <w:shd w:fill="ebeef2" w:val="clear"/>
          <w:rtl w:val="0"/>
        </w:rPr>
        <w:t xml:space="preserve">interaccion_riesgo = (tox_benzodiacepina | tox_antidepresivo) &amp; con_alcohol</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51">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Comparar NEWS‑2 entre grupos con y sin interacción mediante t‑test.</w:t>
      </w:r>
    </w:p>
    <w:p w:rsidR="00000000" w:rsidDel="00000000" w:rsidP="00000000" w:rsidRDefault="00000000" w:rsidRPr="00000000" w14:paraId="00000052">
      <w:pPr>
        <w:numPr>
          <w:ilvl w:val="0"/>
          <w:numId w:val="1"/>
        </w:numPr>
        <w:shd w:fill="ffffff" w:val="clear"/>
        <w:spacing w:after="240" w:before="0" w:beforeAutospacing="0" w:lineRule="auto"/>
        <w:ind w:left="720" w:hanging="360"/>
      </w:pPr>
      <w:r w:rsidDel="00000000" w:rsidR="00000000" w:rsidRPr="00000000">
        <w:rPr>
          <w:rFonts w:ascii="Nova Mono" w:cs="Nova Mono" w:eastAsia="Nova Mono" w:hAnsi="Nova Mono"/>
          <w:color w:val="0f1115"/>
          <w:sz w:val="24"/>
          <w:szCs w:val="24"/>
          <w:rtl w:val="0"/>
        </w:rPr>
        <w:t xml:space="preserve">Regresión logística incluyendo términos de interacción.</w:t>
        <w:br w:type="textWrapping"/>
        <w:t xml:space="preserve">Resultado esperado: Odds ratio &gt;2 para NEWS‑2 ≥5 en presencia de interacción.</w:t>
      </w:r>
    </w:p>
    <w:p w:rsidR="00000000" w:rsidDel="00000000" w:rsidP="00000000" w:rsidRDefault="00000000" w:rsidRPr="00000000" w14:paraId="0000005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a8hh1keaevpa" w:id="11"/>
      <w:bookmarkEnd w:id="11"/>
      <w:r w:rsidDel="00000000" w:rsidR="00000000" w:rsidRPr="00000000">
        <w:rPr>
          <w:rFonts w:ascii="Roboto" w:cs="Roboto" w:eastAsia="Roboto" w:hAnsi="Roboto"/>
          <w:b w:val="1"/>
          <w:bCs w:val="1"/>
          <w:color w:val="0f1115"/>
          <w:sz w:val="30"/>
          <w:szCs w:val="30"/>
          <w:rtl w:val="0"/>
        </w:rPr>
        <w:t xml:space="preserve">Estudio 5: Retraso en la atención como factor de gravedad</w:t>
      </w:r>
    </w:p>
    <w:p w:rsidR="00000000" w:rsidDel="00000000" w:rsidP="00000000" w:rsidRDefault="00000000" w:rsidRPr="00000000" w14:paraId="0000005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Hipótesis: Los pacientes del cluster 2 (graves) tienen una mayor latencia entre la ingesta y la llegada al hospital, lo que explicaría su peor estado.</w:t>
        <w:br w:type="textWrapping"/>
        <w:t xml:space="preserve">Datos necesarios: No disponibles actualmente. Propuesta: Incluir en futuras bases de datos el campo “horas desde ingesta” o “tiempo de evolución”.</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nbfbpub0zquo" w:id="12"/>
      <w:bookmarkEnd w:id="12"/>
      <w:r w:rsidDel="00000000" w:rsidR="00000000" w:rsidRPr="00000000">
        <w:rPr>
          <w:rFonts w:ascii="Roboto" w:cs="Roboto" w:eastAsia="Roboto" w:hAnsi="Roboto"/>
          <w:b w:val="1"/>
          <w:bCs w:val="1"/>
          <w:color w:val="0f1115"/>
          <w:sz w:val="33"/>
          <w:szCs w:val="33"/>
          <w:rtl w:val="0"/>
        </w:rPr>
        <w:t xml:space="preserve">⚠️ LIMITACIONES DEL ANÁLISIS</w:t>
      </w:r>
    </w:p>
    <w:p w:rsidR="00000000" w:rsidDel="00000000" w:rsidP="00000000" w:rsidRDefault="00000000" w:rsidRPr="00000000" w14:paraId="00000057">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Tamaño muestral reducido (195 casos). Los resultados, especialmente los de clusters y árbol de decisión, deben considerarse exploratorios.</w:t>
      </w:r>
    </w:p>
    <w:p w:rsidR="00000000" w:rsidDel="00000000" w:rsidP="00000000" w:rsidRDefault="00000000" w:rsidRPr="00000000" w14:paraId="00000058">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Datos faltantes en glucosa (87%) y otras variables; aunque se manejaron con eliminación por lista, puede haber sesgo.</w:t>
      </w:r>
    </w:p>
    <w:p w:rsidR="00000000" w:rsidDel="00000000" w:rsidP="00000000" w:rsidRDefault="00000000" w:rsidRPr="00000000" w14:paraId="00000059">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Subjetividad en la extracción de tóxicos: la clasificación se basa en palabras clave; pueden existir fármacos no detectados (ej. “medicamento” sin especificar).</w:t>
      </w:r>
    </w:p>
    <w:p w:rsidR="00000000" w:rsidDel="00000000" w:rsidP="00000000" w:rsidRDefault="00000000" w:rsidRPr="00000000" w14:paraId="0000005A">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Ausencia de variables temporales: no se registra la hora de la ingesta ni el tiempo de evolución, lo que limita el estudio de la progresión.</w:t>
      </w:r>
    </w:p>
    <w:p w:rsidR="00000000" w:rsidDel="00000000" w:rsidP="00000000" w:rsidRDefault="00000000" w:rsidRPr="00000000" w14:paraId="0000005B">
      <w:pPr>
        <w:numPr>
          <w:ilvl w:val="0"/>
          <w:numId w:val="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Sesgo de selección: los datos provienen de un solo hospital, con predominio de CDMX. Los hallazgos no son generalizables a otras poblaciones.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fqi7dlsjq61g" w:id="13"/>
      <w:bookmarkEnd w:id="13"/>
      <w:r w:rsidDel="00000000" w:rsidR="00000000" w:rsidRPr="00000000">
        <w:rPr>
          <w:rFonts w:ascii="Roboto" w:cs="Roboto" w:eastAsia="Roboto" w:hAnsi="Roboto"/>
          <w:b w:val="1"/>
          <w:bCs w:val="1"/>
          <w:color w:val="0f1115"/>
          <w:sz w:val="33"/>
          <w:szCs w:val="33"/>
          <w:rtl w:val="0"/>
        </w:rPr>
        <w:t xml:space="preserve">🔧 MEJORAS INMEDIATAS PARA FUTURAS RECOLECCIONES</w:t>
      </w:r>
    </w:p>
    <w:p w:rsidR="00000000" w:rsidDel="00000000" w:rsidP="00000000" w:rsidRDefault="00000000" w:rsidRPr="00000000" w14:paraId="0000005E">
      <w:pPr>
        <w:numPr>
          <w:ilvl w:val="0"/>
          <w:numId w:val="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Incluir campo “tóxico principal” mediante un menú desplegable (fármaco, alcohol, droga ilegal, plaguicida, animal, otro).</w:t>
      </w:r>
    </w:p>
    <w:p w:rsidR="00000000" w:rsidDel="00000000" w:rsidP="00000000" w:rsidRDefault="00000000" w:rsidRPr="00000000" w14:paraId="0000005F">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Registrar dosis estimada (número de comprimidos, volumen de alcohol).</w:t>
      </w:r>
    </w:p>
    <w:p w:rsidR="00000000" w:rsidDel="00000000" w:rsidP="00000000" w:rsidRDefault="00000000" w:rsidRPr="00000000" w14:paraId="00000060">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Anotar hora de la ingesta y hora de llegada.</w:t>
      </w:r>
    </w:p>
    <w:p w:rsidR="00000000" w:rsidDel="00000000" w:rsidP="00000000" w:rsidRDefault="00000000" w:rsidRPr="00000000" w14:paraId="00000061">
      <w:pPr>
        <w:numPr>
          <w:ilvl w:val="0"/>
          <w:numId w:val="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Sistematizar el nivel de conciencia (Glasgow) ya que actualmente se usa como “ecg” y tiene mucho missing.</w:t>
      </w:r>
    </w:p>
    <w:p w:rsidR="00000000" w:rsidDel="00000000" w:rsidP="00000000" w:rsidRDefault="00000000" w:rsidRPr="00000000" w14:paraId="00000062">
      <w:pPr>
        <w:numPr>
          <w:ilvl w:val="0"/>
          <w:numId w:val="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Añadir comorbilidades (EPOC, insuficiencia cardíaca) que puedan influir en la respuesta a tóxicos.</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yba31ypxojoh" w:id="14"/>
      <w:bookmarkEnd w:id="14"/>
      <w:r w:rsidDel="00000000" w:rsidR="00000000" w:rsidRPr="00000000">
        <w:rPr>
          <w:rFonts w:ascii="Roboto" w:cs="Roboto" w:eastAsia="Roboto" w:hAnsi="Roboto"/>
          <w:b w:val="1"/>
          <w:bCs w:val="1"/>
          <w:color w:val="0f1115"/>
          <w:sz w:val="33"/>
          <w:szCs w:val="33"/>
          <w:rtl w:val="0"/>
        </w:rPr>
        <w:t xml:space="preserve">🎯 CONCLUSIÓN</w:t>
      </w:r>
    </w:p>
    <w:p w:rsidR="00000000" w:rsidDel="00000000" w:rsidP="00000000" w:rsidRDefault="00000000" w:rsidRPr="00000000" w14:paraId="000000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Los datos han hablado. El paciente intoxicado grave no es el joven polimedicado con intento autolítico, sino el adulto de mediana edad con taquicardia, taquipnea, hipoxemia y escasa polifarmacia. Este perfil, hasta ahora invisible, emerge gracias al clustering y al análisis de importancia de variables.</w:t>
      </w:r>
    </w:p>
    <w:p w:rsidR="00000000" w:rsidDel="00000000" w:rsidP="00000000" w:rsidRDefault="00000000" w:rsidRPr="00000000" w14:paraId="0000006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Además, hemos descubierto que la frecuencia respiratoria es un predictor infravalorado y que la polifarmacia, lejos de ser un marcador de gravedad, se asocia a menor edad y mejor estado fisiológico.</w:t>
      </w:r>
    </w:p>
    <w:p w:rsidR="00000000" w:rsidDel="00000000" w:rsidP="00000000" w:rsidRDefault="00000000" w:rsidRPr="00000000" w14:paraId="0000006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Estos hallazgos abren múltiples líneas de investigación que pueden traducirse en protocolos de triage más precisos, campañas de prevención dirigidas y mejor asignación de recursos en urgencias.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