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s0pnwhm43s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📊 PARTE 1: RETRATO ROBOT DEL PACIENTE TOXICOLÓGICO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 tus 195 casos (188 con NEWS‑2 calculado):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4.365890433909"/>
        <w:gridCol w:w="3552.595074551852"/>
        <w:gridCol w:w="3288.550846037863"/>
        <w:tblGridChange w:id="0">
          <w:tblGrid>
            <w:gridCol w:w="2184.365890433909"/>
            <w:gridCol w:w="3552.595074551852"/>
            <w:gridCol w:w="3288.55084603786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Interpretación clínica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Mediana 29 años (rango 16‑100)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Población joven-adulta; pico en 19‑30 (moda).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Género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61% mujeres, 39% hombres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Predominio femenino significativo (poco reportado en toxicología clásica).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78% CDMX, 9% EdoMex, resto disperso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Sesgo de captura (hospital en CDMX), pero Guerrero y Oaxaca tienen proporción relevante.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Nivel de atención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69% nivel III, 30% nivel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 mayoría requiere hospitalización o especialidad.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NEWS‑2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Promedio 3.7 (DE 2.3), máximo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Gravedad leve‑moderada; pocos casos críticos.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Signos vitales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Todos dentro de rangos de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 saturación (media 94%) y TAS (media 118) son los que más se desvían.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Palabras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“ingesta”, “intento”, “consumo”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Perfil predominantemente intencional (no accidental).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Conclusión inmediata: No estamos ante un perfil de intoxicación accidental o laboral, sino ante intentos autolíticos en adultos jóvenes, con claro predominio femenino y uso de fármacos (benzodiacepinas, antidepresivos).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76hm86xlqj49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🔬 PARTE 2: ¿QUÉ NOS DICEN (Y QUÉ NO) LAS ASOCIACIONES ESTADÍSTICAS?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6so09ucmag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0"/>
          <w:szCs w:val="30"/>
          <w:rtl w:val="0"/>
        </w:rPr>
        <w:t xml:space="preserve">✅ Asociaciones significativas (p &lt; 0.05)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8.2325193221818"/>
        <w:gridCol w:w="2758.9506150440875"/>
        <w:gridCol w:w="1830.0576944011032"/>
        <w:gridCol w:w="2828.27098225625"/>
        <w:tblGridChange w:id="0">
          <w:tblGrid>
            <w:gridCol w:w="1608.2325193221818"/>
            <w:gridCol w:w="2758.9506150440875"/>
            <w:gridCol w:w="1830.0576944011032"/>
            <w:gridCol w:w="2828.2709822562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Correlación con NEWS‑2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p‑valor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¿Esperable?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0f1115"/>
                <w:sz w:val="23"/>
                <w:szCs w:val="23"/>
                <w:rtl w:val="0"/>
              </w:rPr>
              <w:t xml:space="preserve">SpO₂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–0.42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&lt;0.0001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 Sí, es un componente directo del NEWS‑2.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–0.33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&lt;0.0001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 Sí, componente directo.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+0.30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&lt;0.0001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 Sí, componente directo.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–0.21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0.0037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⚠️ No es componente del NEWS‑2, pero está correlacionada con 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+0.15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0.0342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 Sí, componente directo.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Interpretación: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correlación con TAD es inesperada porque la presión diastólica no forma parte del NEWS‑2. Sin embargo, TAD y TAS están altamente correlacionadas (r = 0.72, según tu matriz de correlación). Por tanto, no es un hallazgo independiente, sino un eco de la relación con TAS.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color w:val="0f1115"/>
          <w:sz w:val="24"/>
          <w:szCs w:val="24"/>
          <w:rtl w:val="0"/>
        </w:rPr>
        <w:t xml:space="preserve">SpO₂ es el predictor más fuerte, lo que tiene sentido clínico: las intoxicaciones que deprimen el sensorio o causan depresión respiratoria (opiáceos, benzodiacepinas, alcohol) bajan la saturación.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nd2r3tkfop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0"/>
          <w:szCs w:val="30"/>
          <w:rtl w:val="0"/>
        </w:rPr>
        <w:t xml:space="preserve">❌ Asociaciones NO significativas (las más interesantes)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3880046909035"/>
        <w:gridCol w:w="2640.4422851398895"/>
        <w:gridCol w:w="4068.68152119283"/>
        <w:tblGridChange w:id="0">
          <w:tblGrid>
            <w:gridCol w:w="2316.3880046909035"/>
            <w:gridCol w:w="2640.4422851398895"/>
            <w:gridCol w:w="4068.6815211928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p‑valor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¿Qué sugiere?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 gravedad (NEWS‑2) no aumenta con la edad en esta muestra.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Género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Hombres y mujeres presentan igual gravedad al llegar a urgencias.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Grupo etario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Los jóvenes (19‑30) no son más graves que los mayores.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Día de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 hay un “día pico” de intoxicaciones graves.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Glucosa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Solo 25 pacientes con glucosa reportada; sin relación con NEWS‑2.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Interpretación: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edad no protege ni empeora el cuadro agudo. Esto contradice la intuición de que los extremos etarios son más vulnerables. Posible explicación: los pacientes añosos son pocos (n=6 en &gt;60 años) y sus intoxicaciones son leves.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género no influye en la gravedad a pesar de que hay más mujeres.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vfwjx5gny58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🔍 Análisis de palabras clave – ¿Qué esconden?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7.9271942556938"/>
        <w:gridCol w:w="2370.4851575445405"/>
        <w:gridCol w:w="1943.5033589806171"/>
        <w:gridCol w:w="3003.5961002427716"/>
        <w:tblGridChange w:id="0">
          <w:tblGrid>
            <w:gridCol w:w="1707.9271942556938"/>
            <w:gridCol w:w="2370.4851575445405"/>
            <w:gridCol w:w="1943.5033589806171"/>
            <w:gridCol w:w="3003.596100242771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Palabra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Diferencia NEWS‑2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p‑valor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Tendencia clínica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+0.42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Casos con “consumo” tienden a NEWS‑2 más alto.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tabletas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+0.28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Sobredosis medicamentosa con ingesta de muchas pastillas → mayor gravedad.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niega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–0.62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Negar síntomas → NEWS‑2 más bajo (pacientes más estables).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–0.46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Contraintuitivo: los intentos suicidas parecen tener menor NEWS‑2.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⚠️ Hallazgo crítico:</w:t>
        <w:br w:type="textWrapping"/>
        <w:t xml:space="preserve">Los pacientes con la palabra “intento” tienen 0.46 puntos menos de NEWS‑2 que aquellos sin ella. Aunque no es significativo (p=0.24), la magnitud es clínicamente relevante.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Hipótesis: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Los intentos suicidas suelen ser sobredosis de fármacos (benzodiacepinas, antidepresivos) que inicialmente causan somnolencia pero no necesariamente hipotensión o hipoxemia severa.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Las intoxicaciones accidentales (ej. sobredosis de opiáceos, cocaína) podrían presentar mayor inestabilidad hemodinámica.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Variable oculta: el tipo de tóxico no está registrado explícitamente, pero podría inferirse del texto.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qslox5xplqr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📋 PARTE 4: PROTOCOLOS DE INVESTIGACIÓN RETROSPECTIVA (5 PROPUESTAS)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Aquí tienes 5 estudios listos para ejecutar con tus datos. Incluyen hipótesis, variables, métodos estadísticos y resultados esperados.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8yw5icgjqsn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📌 ESTUDIO 1: Perfil diferencial entre intoxicación intencional y accidental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Hipótesis:</w:t>
        <w:br w:type="textWrapping"/>
        <w:t xml:space="preserve">Los pacientes con intento autolítico presentan menor NEWS‑2 al ingreso que aquellos con intoxicación accidental, pero mayor tasa de reingreso (no medible aquí) y diferente perfil demográfico.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Variables: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Independiente: Intencionalidad (sí/no según texto).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Dependientes: NEWS‑2, edad, género, tipo de tóxico.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Control: Hora, nivel de atención.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Análisis: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t‑test para NEWS‑2 entre grupos.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Chi‑cuadrado para género y tipo de tóxico.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Regresión logística para predecir intencionalidad.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Resultado esperado:</w:t>
        <w:br w:type="textWrapping"/>
        <w:t xml:space="preserve">Las mujeres jóvenes predominan en el grupo intencional; NEWS‑2 más bajo que en accidentes por opiáceos o drogas ilegales.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4qnd8skahiy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📌 ESTUDIO 2: Patrón circadiano de las intoxicaciones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Hipótesis:</w:t>
        <w:br w:type="textWrapping"/>
        <w:t xml:space="preserve">Las intoxicaciones por fármacos tienen un pico nocturno (20‑02 h), mientras que las etílicas se distribuyen más uniformemente.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Variables: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Independiente: Hora de atención (categorizada en tramos).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Dependiente: Tipo de tóxico (extraído del texto).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Opcional: NEWS‑2 según hora.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Análisis: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Test de bondad de ajuste (Chi‑cuadrado) para evaluar distribución uniforme.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Gráfico de densidad circular (rose plot).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Resultado esperado:</w:t>
        <w:br w:type="textWrapping"/>
        <w:t xml:space="preserve">Confirmación de que la mayoría de las sobredosis medicamentosas ocurren entre las 22 y 02 h.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s71kddpl8q4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📌 ESTUDIO 3: Predictores tempranos de gravedad (NEWS‑2 ≥ 5)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Hipótesis:</w:t>
        <w:br w:type="textWrapping"/>
        <w:t xml:space="preserve">La presencia de ciertas palabras clave (“consumo”, “tabletas”, “clonazepam”) predice un NEWS‑2 ≥ 5 independientemente de los signos vitales.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Variables: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Independientes: Variables demográficas + indicadores de texto.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Dependiente: NEWS‑2 binario (≥5 vs &lt;5).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Análisis: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Regresión logística multivariante.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Curvas ROC y validación cruzada.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Resultado esperado:</w:t>
        <w:br w:type="textWrapping"/>
        <w:t xml:space="preserve">Modelo con AUC &gt; 0.70; las palabras “clonazepam” y “desconocido” podrían ser factores de riesgo.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xyhajlt8isx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📌 ESTUDIO 4: Análisis de conglomerados (clustering) de pacientes según perfil clínico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Hipótesis:</w:t>
        <w:br w:type="textWrapping"/>
        <w:t xml:space="preserve">Existen fenotipos clínicos de intoxicación: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Tipo A: Joven, fármacos, baja gravedad, intencional.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Tipo B: Adulto, alcohol, gravedad moderada, accidental.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Tipo C: Mayor, múltiples fármacos, alta gravedad, polifarmacia.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Método: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ndika" w:cs="Andika" w:eastAsia="Andika" w:hAnsi="Andika"/>
          <w:color w:val="0f1115"/>
          <w:sz w:val="24"/>
          <w:szCs w:val="24"/>
          <w:rtl w:val="0"/>
        </w:rPr>
        <w:t xml:space="preserve">Clustering no supervisado (k‑means, DBSCAN) sobre edad, NEWS‑2, FC, SpO₂, TAS.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Visualización con PCA/t‑SNE.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Caracterización de clusters mediante tablas de contingencia.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Resultado esperado:</w:t>
        <w:br w:type="textWrapping"/>
        <w:t xml:space="preserve">Identificación de 3‑4 fenotipos con implicaciones pronósticas y terapéuticas.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76hqh12y6w1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📌 ESTUDIO 5: Análisis geoespacial y de determinantes sociales (si se dispusiera de código postal)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Hipótesis:</w:t>
        <w:br w:type="textWrapping"/>
        <w:t xml:space="preserve">Las intoxicaciones por plaguicidas se concentran en zonas rurales (Guerrero, Oaxaca), mientras que las medicamentosas predominan en CDMX.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Datos necesarios: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Columna adicional: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municipio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CP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Fuente externa: índice de marginación (CONAPO).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Análisis: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Mapas de calor.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Regresión de Poisson para tasas ajustadas por población.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Resultado esperado:</w:t>
        <w:br w:type="textWrapping"/>
        <w:t xml:space="preserve">Correlación entre marginación y intoxicaciones por plaguicidas/rodenticidas.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