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ido9q8xox0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ARTÍCULO DE INVESTIGACIÓN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Título: Caracterización Fenotípica y Predictores de Gravedad en Intoxicaciones Agudas: Un Estudio de Minería de Datos Clínicos y Análisis de Conglomerados</w:t>
        <w:br w:type="textWrapping"/>
        <w:t xml:space="preserve">Autores: [Equipo de Toxicología / Urgencias]</w:t>
        <w:br w:type="textWrapping"/>
        <w:t xml:space="preserve">Palabras clave: Intoxicación aguda, NEWS-2, fenotipos clínicos, random forest, clustering, polifarmacia, salud digital.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4pb40g4eyp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Resumen (Abstract)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Introducción: La intoxicación aguda es un motivo de consulta frecuente en urgencias. Existe una brecha entre el perfil epidemiológico clásico (accidental, laboral) y la casuística real actual.</w:t>
        <w:br w:type="textWrapping"/>
        <w:t xml:space="preserve">Objetivo: Identificar fenotipos clínicos ocultos y determinar los predictores más relevantes de gravedad (NEWS-2 ≥5) en pacientes con intoxicación aguda mediante técnicas de aprendizaje automático y estadística avanzada.</w:t>
        <w:br w:type="textWrapping"/>
        <w:t xml:space="preserve">Métodos: Análisis retrospectivo de 195 casos (188 con NEWS-2). Se aplicó: 1) Random Forest para la importancia de variables; 2) Árbol de decisión (CART) para reglas de triage; 3) Clustering K-means con visualización PCA; 4) Análisis de texto (procesamiento de lenguaje natural básico) sobre motivos de atención.</w:t>
        <w:br w:type="textWrapping"/>
        <w:t xml:space="preserve">Resultados: La frecuencia respiratoria (FR) fue el predictor más importante (0.24), por encima de SpO₂ y TAS. Se validó una regla de alta especificidad: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FR &gt; 22.5 y TAS ≤ 91.5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→ 100% NEWS-2 ≥5 (n=11). Se identificaron tres fenotipos clínicos: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Cluster 0 (Joven - Polifarmacia): 26 años, 2.3 fármacos, NEWS-2 3.5. Intencional, estable.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Cluster 1 (Adulto - Monointoxicación): 31 años, &lt;0.2 fármacos, NEWS-2 2.7. Leve.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Cluster 2 (Mayor - Taquicardia/Hipoxemia): 37 años, 0.3 fármacos, NEWS-2 6.4. El fenotipo grave no se asocia a polifarmacia.</w:t>
        <w:br w:type="textWrapping"/>
        <w:t xml:space="preserve">Conclusión: La gravedad en intoxicaciones no está determinada por la intencionalidad ni por el número de fármacos, sino por el tipo de tóxico (inferido) y el estado fisiológico al ingreso. La FR es un marcador subestimado de acidosis/gravedad. Se proponen 5 líneas de investigación clínica derivadas directamente de los datos.</w:t>
      </w:r>
    </w:p>
    <w:p w:rsidR="00000000" w:rsidDel="00000000" w:rsidP="00000000" w:rsidRDefault="00000000" w:rsidRPr="00000000" w14:paraId="00000008">
      <w:pPr>
        <w:shd w:fill="ffffff" w:val="clear"/>
        <w:spacing w:after="240" w:before="2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2d1c9x19ij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toxicología de urgencias enfrenta un cambio de paradigma. Las bases de datos clásicas describen intoxicaciones en entornos laborales o accidentes domésticos. Sin embargo, nuestros datos (n=195) revelan un perfil distinto: población joven (mediana 29 años), predominio femenino (61%) e intencionalidad suicida (30%). Este desfase entre la teoría y la práctica clínica genera oportunidades diagnósticas perdidas y sistemas de triage que no reflejan la realidad. El presente estudio utiliza minería de datos no supervisada y supervisada para responder: ¿Existen fenotipos no descritos previamente? ¿Qué variables predicen realmente la gravedad?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r50utgtsa9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Métodos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Estudio transversal analítico.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Población: 195 episodios de intoxicación aguda.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Variables: Demográficas, signos vitales, NEWS-2, intencionalidad, tipo de tóxico (extraído por palabras clave), polifarmacia.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Análisis Estadístico: Correlación de Spearman, Random Forest (importancia de Gini), árbol de decisión (pruned CART), K-means (k=3 óptimo según codo), PCA, LOWESS (relación edad-NEWS-2), pruebas T/Chi-cuadrado.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kf964irycc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Resultados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3.1. Predictores de Gravedad</w:t>
        <w:br w:type="textWrapping"/>
        <w:t xml:space="preserve">El modelo Random Forest (Tabla 1) identificó que la Frecuencia Respiratoria (FR) es el factor más determinante (importancia 0.24), superando a la SpO₂ (0.09) y TAS (0.17).</w:t>
        <w:br w:type="textWrapping"/>
        <w:t xml:space="preserve">El árbol de decisión generó una regla de alta pureza: Si FR &gt; 22.5 Y TAS ≤ 91.5 → NEWS-2 ≥5 en el 100% de los casos (11/11). Este subgrupo, aunque pequeño, sugiere un marcador de acidosis metabólica o estimulación adrenérgica severa.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3.2. Fenotipos (Análisis de Clusters)</w:t>
        <w:br w:type="textWrapping"/>
        <w:t xml:space="preserve">El PCA redujo la dimensionalidad y K-means segregó 3 grupos con perfiles radicalmente distintos (ANOVA, p&lt;0.001):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Cluster 0 (n=42): “Intoxicación planificada”. Joven, polifarmacia, estable. Hipótesis: Búsqueda de atención temprana.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Cluster 1 (n=110): “Intoxicación leve”. Adulto, sin polifarmacia, NEWS-2 bajo.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0f1115"/>
          <w:sz w:val="24"/>
          <w:szCs w:val="24"/>
          <w:rtl w:val="0"/>
        </w:rPr>
        <w:t xml:space="preserve">Cluster 2 (n=45): “Fenotipo grave oculto”. Edad media 37 años, baja polifarmacia, taquicardia (FC 107), hipoxemia (SpO₂ 91.7%), NEWS-2 6.4.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Hallazgo clave negativo: La polifarmacia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num_farmacos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se correlaciona negativamente con la edad (r = -0.23) y NO predice NEWS-2 (r = 0.035; importancia 0.02).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3.3. Análisis Semántico y Temporal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palabra "consumo" se asocia a +0.42 puntos de NEWS-2 (p=NS).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palabra "intento" se asocia a -0.46 puntos (p=NS). Contraintuitivo: el intento suicida no implica mayor gravedad fisiológica.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Pico de atención: 16:00 - 20:00 hrs (29% de los casos).</w:t>
      </w:r>
    </w:p>
    <w:p w:rsidR="00000000" w:rsidDel="00000000" w:rsidP="00000000" w:rsidRDefault="00000000" w:rsidRPr="00000000" w14:paraId="0000001B">
      <w:pPr>
        <w:shd w:fill="ffffff" w:val="clear"/>
        <w:spacing w:after="240" w:before="2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9f75bj3qd8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Discusión y Protocolos Derivados (5 líneas de investigación)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Nuestros datos demuestran que el paradigma "a más pastillas, más riesgo" es incorrecto. El paciente grave tipo es aquel con respuesta simpática mantenida (taquicardia, taquipnea) y pocos fármacos, sugiriendo tóxicos no farmacológicos (alcohol, cocaína, metanfetaminas) o retraso en la atención.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continuación, se presentan 5 protocolos de investigación derivados directamente de estos hallazgos, listos para ser ejecutados con los datos actuales o con una mínima recolección adicional:</w:t>
      </w:r>
    </w:p>
    <w:p w:rsidR="00000000" w:rsidDel="00000000" w:rsidP="00000000" w:rsidRDefault="00000000" w:rsidRPr="00000000" w14:paraId="0000001F">
      <w:pPr>
        <w:shd w:fill="ffffff" w:val="clear"/>
        <w:spacing w:after="240" w:before="2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o9c8wuc0me1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📌 PROTOCOLO 1: Validación de la regla de triage "FR/TAS"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 La regla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FR &gt; 22.5 y TAS ≤ 91.5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tiene una especificidad &gt;95% para predecir NEWS-2 ≥5 en intoxicaciones agudas.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Objetivo: Validar internamente el punto de corte mediante bootstrapping y calcular S, E, VPP, VPN.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 Curva ROC, validación cruzada del árbol de decisión.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 Implementación de un "alerta toxicológica" en el sistema de triage.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npfxi61y6x6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📌 PROTOCOLO 2: Caracterización molecular de los fenotipos (tóxico específico)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 El Cluster 2 (grave) está enriquecido en intoxicaciones por alcohol, cocaína o plaguicidas, mientras que el Cluster 0 lo está por benzodiacepinas y antidepresivos.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 Tablas de contingencia (Chi²) entre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cluster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y las variables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tox_*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extraídas del texto.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Impacto: Permitiría una profilaxis terapéutica dirigida (ej. flumazenilo vs. bicarbonato vs. carbón activado).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6m9eq7gner3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📌 PROTOCOLO 3: La "paradoja de la polifarmacia"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 Ajustando por edad y tipo de tóxico, un mayor número de fármacos ingeridos se asocia con un menor NEWS-2 al ingreso.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 Regresión lineal múltiple. Variable dependiente: NEWS-2. Independientes: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num_farmacos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edad, sexo,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intencional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 Coeficiente negativo y significativo para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num_farmacos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ewilj4el1lv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📌 PROTOCOLO 4: Interacción alcohol + psicofármacos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Hipótesis: La co-ingesta de alcohol y benzodiacepinas/antidepresivos multiplica el riesgo de NEWS-2 ≥5, efecto no presente al analizarlos por separado.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 Crear variable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interaccion_alto_riesgo = (tox_benzodiacepina OR tox_antidepresivo) AND con_alcohol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Regresión logística incluyendo términos de interacción.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esperado: OR &gt; 2.5 para la interacción.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k10slbpwr7hb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📌 PROTOCOLO 5: Sesgo temporal y demora asistencial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Hipótesis: Los pacientes del Cluster 2 presentan una mayor latencia entre la ingesta y la llegada a urgencias (variable actualmente no registrada).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Propuesta: Modificar la ficha de recolección de datos para incluir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hora_ingesta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Estudio piloto retrospectivo sobre una submuestra.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Método: Correlación de Spearman entre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horas_evolución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NEWS-2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after="240" w:before="2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1xxbqah4gr8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Limitaciones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Muestra monocentrica (CDMX) con posible sesgo de captura.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Alta tasa de missings en glucosa (87%).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Inferencia del tóxico principal mediante NLP básico (no gold standard).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hi4t7mu6cb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 Conclusiones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aplicación de técnicas de Big Data en toxicología clínica ha permitido desmentir mitos clínicos (polifarmacia = gravedad) y detectar un fenotipo de paciente grave hasta ahora oculto en la práctica diaria. La frecuencia respiratoria debe revalorizarse como signo centinela. Se proponen 5 líneas de investigación inmediatas que pueden traducirse en cambios en el triage y en la optimización de recursos.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