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b/>
          <w:i w:val="0"/>
          <w:u w:val="none"/>
        </w:rPr>
        <w:t>Annexure-1</w:t>
      </w:r>
    </w:p>
    <w:p>
      <w:pPr>
        <w:spacing w:after="80" w:before="0"/>
        <w:jc w:val="center"/>
      </w:pPr>
      <w:r>
        <w:rPr>
          <w:b/>
          <w:i w:val="0"/>
          <w:sz w:val="28"/>
          <w:u w:val="none"/>
        </w:rPr>
        <w:t>Feedback Notes on Monograde Education</w:t>
      </w:r>
    </w:p>
    <w:p>
      <w:pPr>
        <w:spacing w:after="80" w:before="0"/>
        <w:jc w:val="center"/>
      </w:pPr>
      <w:r>
        <w:rPr>
          <w:b/>
          <w:i w:val="0"/>
          <w:sz w:val="24"/>
          <w:u w:val="none"/>
        </w:rPr>
        <w:t>Single-Grade (Monograde) Classrooms in Government Primary Schools of Karnataka</w:t>
      </w:r>
    </w:p>
    <w:p>
      <w:pPr>
        <w:spacing w:after="40" w:before="0"/>
        <w:jc w:val="center"/>
      </w:pPr>
      <w:r>
        <w:rPr>
          <w:b w:val="0"/>
          <w:i w:val="0"/>
          <w:u w:val="none"/>
        </w:rPr>
        <w:t>Sixth National Conference of Chief Secretaries</w:t>
      </w:r>
    </w:p>
    <w:p>
      <w:pPr>
        <w:spacing w:after="40" w:before="0"/>
        <w:jc w:val="center"/>
      </w:pPr>
      <w:r>
        <w:rPr>
          <w:b w:val="0"/>
          <w:i/>
          <w:u w:val="none"/>
        </w:rPr>
        <w:t>Topic: Human Development: Ensure Quality Education</w:t>
      </w:r>
    </w:p>
    <w:p>
      <w:pPr>
        <w:spacing w:after="40" w:before="0"/>
        <w:jc w:val="center"/>
      </w:pPr>
      <w:r>
        <w:rPr>
          <w:b w:val="0"/>
          <w:i/>
          <w:u w:val="none"/>
        </w:rPr>
        <w:t>Theme: Quality Education and Creating Equal Opportunity for All: The Karnataka Approach, 2026-27</w:t>
      </w:r>
    </w:p>
    <w:p>
      <w:pPr>
        <w:spacing w:after="280" w:before="0"/>
        <w:jc w:val="center"/>
      </w:pPr>
      <w:r>
        <w:rPr>
          <w:b w:val="0"/>
          <w:i/>
          <w:u w:val="none"/>
        </w:rPr>
        <w:t>Department of State Educational Research and Training (DSERT), Bengaluru, Government of Karnataka</w:t>
      </w:r>
    </w:p>
    <w:p>
      <w:pPr>
        <w:spacing w:after="120" w:before="0"/>
      </w:pPr>
      <w:r>
        <w:rPr>
          <w:b/>
          <w:i w:val="0"/>
          <w:sz w:val="24"/>
          <w:u w:val="none"/>
        </w:rPr>
        <w:t>List of Feedback Notes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720"/>
        <w:gridCol w:w="5616"/>
        <w:gridCol w:w="2736"/>
      </w:tblGrid>
      <w:tr>
        <w:trPr>
          <w:cantSplit/>
          <w:tblHeader/>
        </w:trPr>
        <w:tc>
          <w:tcPr>
            <w:tcW w:type="dxa" w:w="720"/>
            <w:shd w:val="clear" w:color="auto" w:fill="D9D9D9"/>
          </w:tcPr>
          <w:p>
            <w:r/>
            <w:r>
              <w:rPr>
                <w:b/>
                <w:sz w:val="20"/>
              </w:rPr>
              <w:t>No.</w:t>
            </w:r>
          </w:p>
        </w:tc>
        <w:tc>
          <w:tcPr>
            <w:tcW w:type="dxa" w:w="5616"/>
            <w:shd w:val="clear" w:color="auto" w:fill="D9D9D9"/>
          </w:tcPr>
          <w:p>
            <w:r/>
            <w:r>
              <w:rPr>
                <w:b/>
                <w:sz w:val="20"/>
              </w:rPr>
              <w:t>Name of the topic</w:t>
            </w:r>
          </w:p>
        </w:tc>
        <w:tc>
          <w:tcPr>
            <w:tcW w:type="dxa" w:w="2736"/>
            <w:shd w:val="clear" w:color="auto" w:fill="D9D9D9"/>
          </w:tcPr>
          <w:p>
            <w:r/>
            <w:r>
              <w:rPr>
                <w:b/>
                <w:sz w:val="20"/>
              </w:rPr>
              <w:t>Current posting</w:t>
            </w:r>
          </w:p>
        </w:tc>
      </w:tr>
      <w:tr>
        <w:trPr>
          <w:cantSplit/>
        </w:trPr>
        <w:tc>
          <w:tcPr>
            <w:tcW w:type="dxa" w:w="720"/>
          </w:tcPr>
          <w:p>
            <w:pPr>
              <w:spacing w:after="0"/>
            </w:pPr>
            <w:r/>
            <w:r>
              <w:rPr>
                <w:sz w:val="20"/>
              </w:rPr>
              <w:t>1</w:t>
            </w:r>
          </w:p>
        </w:tc>
        <w:tc>
          <w:tcPr>
            <w:tcW w:type="dxa" w:w="5616"/>
          </w:tcPr>
          <w:p>
            <w:pPr>
              <w:spacing w:after="0"/>
            </w:pPr>
            <w:r/>
            <w:r>
              <w:rPr>
                <w:sz w:val="20"/>
              </w:rPr>
              <w:t>One Teacher for Each Class in Monograde Primary Schools</w:t>
            </w:r>
          </w:p>
        </w:tc>
        <w:tc>
          <w:tcPr>
            <w:tcW w:type="dxa" w:w="2736"/>
          </w:tcPr>
          <w:p>
            <w:pPr>
              <w:spacing w:after="0"/>
            </w:pPr>
            <w:r/>
            <w:r>
              <w:rPr>
                <w:sz w:val="20"/>
              </w:rPr>
              <w:t>DSERT, Bengaluru</w:t>
            </w:r>
          </w:p>
        </w:tc>
      </w:tr>
      <w:tr>
        <w:trPr>
          <w:cantSplit/>
        </w:trPr>
        <w:tc>
          <w:tcPr>
            <w:tcW w:type="dxa" w:w="720"/>
          </w:tcPr>
          <w:p>
            <w:pPr>
              <w:spacing w:after="0"/>
            </w:pPr>
            <w:r/>
            <w:r>
              <w:rPr>
                <w:sz w:val="20"/>
              </w:rPr>
              <w:t>2</w:t>
            </w:r>
          </w:p>
        </w:tc>
        <w:tc>
          <w:tcPr>
            <w:tcW w:type="dxa" w:w="5616"/>
          </w:tcPr>
          <w:p>
            <w:pPr>
              <w:spacing w:after="0"/>
            </w:pPr>
            <w:r/>
            <w:r>
              <w:rPr>
                <w:sz w:val="20"/>
              </w:rPr>
              <w:t>Classrooms, Furniture and Learning Materials for Monograde Classes</w:t>
            </w:r>
          </w:p>
        </w:tc>
        <w:tc>
          <w:tcPr>
            <w:tcW w:type="dxa" w:w="2736"/>
          </w:tcPr>
          <w:p>
            <w:pPr>
              <w:spacing w:after="0"/>
            </w:pPr>
            <w:r/>
            <w:r>
              <w:rPr>
                <w:sz w:val="20"/>
              </w:rPr>
              <w:t>DSERT, Bengaluru</w:t>
            </w:r>
          </w:p>
        </w:tc>
      </w:tr>
      <w:tr>
        <w:trPr>
          <w:cantSplit/>
        </w:trPr>
        <w:tc>
          <w:tcPr>
            <w:tcW w:type="dxa" w:w="720"/>
          </w:tcPr>
          <w:p>
            <w:pPr>
              <w:spacing w:after="0"/>
            </w:pPr>
            <w:r/>
            <w:r>
              <w:rPr>
                <w:sz w:val="20"/>
              </w:rPr>
              <w:t>3</w:t>
            </w:r>
          </w:p>
        </w:tc>
        <w:tc>
          <w:tcPr>
            <w:tcW w:type="dxa" w:w="5616"/>
          </w:tcPr>
          <w:p>
            <w:pPr>
              <w:spacing w:after="0"/>
            </w:pPr>
            <w:r/>
            <w:r>
              <w:rPr>
                <w:sz w:val="20"/>
              </w:rPr>
              <w:t>Teacher Preparation for Monograde Teaching</w:t>
            </w:r>
          </w:p>
        </w:tc>
        <w:tc>
          <w:tcPr>
            <w:tcW w:type="dxa" w:w="2736"/>
          </w:tcPr>
          <w:p>
            <w:pPr>
              <w:spacing w:after="0"/>
            </w:pPr>
            <w:r/>
            <w:r>
              <w:rPr>
                <w:sz w:val="20"/>
              </w:rPr>
              <w:t>DSERT, Bengaluru</w:t>
            </w:r>
          </w:p>
        </w:tc>
      </w:tr>
      <w:tr>
        <w:trPr>
          <w:cantSplit/>
        </w:trPr>
        <w:tc>
          <w:tcPr>
            <w:tcW w:type="dxa" w:w="720"/>
          </w:tcPr>
          <w:p>
            <w:pPr>
              <w:spacing w:after="0"/>
            </w:pPr>
            <w:r/>
            <w:r>
              <w:rPr>
                <w:sz w:val="20"/>
              </w:rPr>
              <w:t>4</w:t>
            </w:r>
          </w:p>
        </w:tc>
        <w:tc>
          <w:tcPr>
            <w:tcW w:type="dxa" w:w="5616"/>
          </w:tcPr>
          <w:p>
            <w:pPr>
              <w:spacing w:after="0"/>
            </w:pPr>
            <w:r/>
            <w:r>
              <w:rPr>
                <w:sz w:val="20"/>
              </w:rPr>
              <w:t>Small Schools and Single-Teacher Schools in the Monograde System</w:t>
            </w:r>
          </w:p>
        </w:tc>
        <w:tc>
          <w:tcPr>
            <w:tcW w:type="dxa" w:w="2736"/>
          </w:tcPr>
          <w:p>
            <w:pPr>
              <w:spacing w:after="0"/>
            </w:pPr>
            <w:r/>
            <w:r>
              <w:rPr>
                <w:sz w:val="20"/>
              </w:rPr>
              <w:t>DSERT, Bengaluru</w:t>
            </w:r>
          </w:p>
        </w:tc>
      </w:tr>
      <w:tr>
        <w:trPr>
          <w:cantSplit/>
        </w:trPr>
        <w:tc>
          <w:tcPr>
            <w:tcW w:type="dxa" w:w="720"/>
          </w:tcPr>
          <w:p>
            <w:pPr>
              <w:spacing w:after="0"/>
            </w:pPr>
            <w:r/>
            <w:r>
              <w:rPr>
                <w:sz w:val="20"/>
              </w:rPr>
              <w:t>5</w:t>
            </w:r>
          </w:p>
        </w:tc>
        <w:tc>
          <w:tcPr>
            <w:tcW w:type="dxa" w:w="5616"/>
          </w:tcPr>
          <w:p>
            <w:pPr>
              <w:spacing w:after="0"/>
            </w:pPr>
            <w:r/>
            <w:r>
              <w:rPr>
                <w:sz w:val="20"/>
              </w:rPr>
              <w:t>Monitoring Foundational Literacy and Numeracy during the Transition</w:t>
            </w:r>
          </w:p>
        </w:tc>
        <w:tc>
          <w:tcPr>
            <w:tcW w:type="dxa" w:w="2736"/>
          </w:tcPr>
          <w:p>
            <w:pPr>
              <w:spacing w:after="0"/>
            </w:pPr>
            <w:r/>
            <w:r>
              <w:rPr>
                <w:sz w:val="20"/>
              </w:rPr>
              <w:t>DSERT, Bengaluru</w:t>
            </w:r>
          </w:p>
        </w:tc>
      </w:tr>
      <w:tr>
        <w:trPr>
          <w:cantSplit/>
        </w:trPr>
        <w:tc>
          <w:tcPr>
            <w:tcW w:type="dxa" w:w="720"/>
          </w:tcPr>
          <w:p>
            <w:pPr>
              <w:spacing w:after="0"/>
            </w:pPr>
            <w:r/>
            <w:r>
              <w:rPr>
                <w:sz w:val="20"/>
              </w:rPr>
              <w:t>6</w:t>
            </w:r>
          </w:p>
        </w:tc>
        <w:tc>
          <w:tcPr>
            <w:tcW w:type="dxa" w:w="5616"/>
          </w:tcPr>
          <w:p>
            <w:pPr>
              <w:spacing w:after="0"/>
            </w:pPr>
            <w:r/>
            <w:r>
              <w:rPr>
                <w:sz w:val="20"/>
              </w:rPr>
              <w:t>Monograde Education: Classroom Visits by BRPs, CRPs and DIET Faculty; Feedback to Teachers; Data and Reporting Requirements; Escalation and Resolution of Problems</w:t>
            </w:r>
          </w:p>
        </w:tc>
        <w:tc>
          <w:tcPr>
            <w:tcW w:type="dxa" w:w="2736"/>
          </w:tcPr>
          <w:p>
            <w:pPr>
              <w:spacing w:after="0"/>
            </w:pPr>
            <w:r/>
            <w:r>
              <w:rPr>
                <w:sz w:val="20"/>
              </w:rPr>
              <w:t>DIET, Tumakuru</w:t>
            </w:r>
          </w:p>
        </w:tc>
      </w:tr>
      <w:tr>
        <w:trPr>
          <w:cantSplit/>
        </w:trPr>
        <w:tc>
          <w:tcPr>
            <w:tcW w:type="dxa" w:w="720"/>
          </w:tcPr>
          <w:p>
            <w:pPr>
              <w:spacing w:after="0"/>
            </w:pPr>
            <w:r/>
            <w:r>
              <w:rPr>
                <w:sz w:val="20"/>
              </w:rPr>
              <w:t>7</w:t>
            </w:r>
          </w:p>
        </w:tc>
        <w:tc>
          <w:tcPr>
            <w:tcW w:type="dxa" w:w="5616"/>
          </w:tcPr>
          <w:p>
            <w:pPr>
              <w:spacing w:after="0"/>
            </w:pPr>
            <w:r/>
            <w:r>
              <w:rPr>
                <w:sz w:val="20"/>
              </w:rPr>
              <w:t>Research on the Monograde Transition</w:t>
            </w:r>
          </w:p>
        </w:tc>
        <w:tc>
          <w:tcPr>
            <w:tcW w:type="dxa" w:w="2736"/>
          </w:tcPr>
          <w:p>
            <w:pPr>
              <w:spacing w:after="0"/>
            </w:pPr>
            <w:r/>
            <w:r>
              <w:rPr>
                <w:sz w:val="20"/>
              </w:rPr>
              <w:t>DSERT, Bengaluru</w:t>
            </w:r>
          </w:p>
        </w:tc>
      </w:tr>
    </w:tbl>
    <w:p>
      <w:pPr>
        <w:pageBreakBefore/>
        <w:spacing w:after="120" w:before="0"/>
        <w:jc w:val="right"/>
      </w:pPr>
      <w:r>
        <w:rPr>
          <w:b/>
          <w:i w:val="0"/>
          <w:u w:val="none"/>
        </w:rPr>
        <w:t>Annexure-1</w:t>
      </w:r>
    </w:p>
    <w:p>
      <w:pPr>
        <w:spacing w:after="40" w:before="0"/>
        <w:jc w:val="center"/>
      </w:pPr>
      <w:r>
        <w:rPr>
          <w:b/>
          <w:i w:val="0"/>
          <w:sz w:val="28"/>
          <w:u w:val="none"/>
        </w:rPr>
        <w:t>Feedback Note 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One Teacher for Each Class in Monograde Primary Schools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Monograde teaching requires a separate teacher for each class. Under the multigrade system, one teacher could manage Classes 1 to 3 together. With the shift to single-grade classrooms, schools need more teachers for the same number of children. Many Government schools already face teacher shortages because of vacant posts, retirements and transfers, and depend on guest teachers.</w:t>
            </w:r>
          </w:p>
          <w:p>
            <w:pPr>
              <w:spacing w:after="60"/>
              <w:jc w:val="both"/>
            </w:pPr>
            <w:r>
              <w:rPr>
                <w:b w:val="0"/>
              </w:rPr>
              <w:t>DIET research shows the effect of teacher shortage. DIET Tumakuru found that guest teachers were appointed mainly against regular vacancies, and that late appointment and frequent replacement affected syllabus completion and results. DIET Chamarajanagar (50 schools, 100 teachers and 300 Grade 3 students) found teacher shortage, multigrade teaching and non-academic work to be the main obstacles to foundational literacy and numeracy (FLN). Without enough teachers, a monograde classroom may again become a combined class.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Provide at least one teacher for each class from Class 1 to Class 5.</w:t>
            </w:r>
          </w:p>
          <w:p>
            <w:pPr>
              <w:spacing w:after="60"/>
              <w:ind w:left="360" w:hanging="259"/>
              <w:jc w:val="both"/>
            </w:pPr>
            <w:r>
              <w:rPr>
                <w:b w:val="0"/>
              </w:rPr>
              <w:t xml:space="preserve">•  </w:t>
            </w:r>
            <w:r>
              <w:rPr>
                <w:b w:val="0"/>
              </w:rPr>
              <w:t>Deploy teachers on the basis of grade-wise enrolment rather than total school enrolment.</w:t>
            </w:r>
          </w:p>
          <w:p>
            <w:pPr>
              <w:spacing w:after="60"/>
              <w:ind w:left="360" w:hanging="259"/>
              <w:jc w:val="both"/>
            </w:pPr>
            <w:r>
              <w:rPr>
                <w:b w:val="0"/>
              </w:rPr>
              <w:t xml:space="preserve">•  </w:t>
            </w:r>
            <w:r>
              <w:rPr>
                <w:b w:val="0"/>
              </w:rPr>
              <w:t>Give priority to filling vacant posts in primary schools undergoing the transition.</w:t>
            </w:r>
          </w:p>
          <w:p>
            <w:pPr>
              <w:spacing w:after="60"/>
              <w:ind w:left="360" w:hanging="259"/>
              <w:jc w:val="both"/>
            </w:pPr>
            <w:r>
              <w:rPr>
                <w:b w:val="0"/>
              </w:rPr>
              <w:t xml:space="preserve">•  </w:t>
            </w:r>
            <w:r>
              <w:rPr>
                <w:b w:val="0"/>
              </w:rPr>
              <w:t>Rationalise teachers within clusters and blocks to reduce surplus in some schools and shortage in others.</w:t>
            </w:r>
          </w:p>
          <w:p>
            <w:pPr>
              <w:spacing w:after="60"/>
              <w:ind w:left="360" w:hanging="259"/>
              <w:jc w:val="both"/>
            </w:pPr>
            <w:r>
              <w:rPr>
                <w:b w:val="0"/>
              </w:rPr>
              <w:t xml:space="preserve">•  </w:t>
            </w:r>
            <w:r>
              <w:rPr>
                <w:b w:val="0"/>
              </w:rPr>
              <w:t>Complete guest-teacher appointments before the academic year begins and retain them for the full year.</w:t>
            </w:r>
          </w:p>
          <w:p>
            <w:pPr>
              <w:spacing w:after="60"/>
              <w:ind w:left="360" w:hanging="259"/>
              <w:jc w:val="both"/>
            </w:pPr>
            <w:r>
              <w:rPr>
                <w:b w:val="0"/>
              </w:rPr>
              <w:t xml:space="preserve">•  </w:t>
            </w:r>
            <w:r>
              <w:rPr>
                <w:b w:val="0"/>
              </w:rPr>
              <w:t>Reduce non-academic work of primary teachers so that they can concentrate on their class.</w:t>
            </w:r>
          </w:p>
          <w:p>
            <w:pPr>
              <w:spacing w:after="60"/>
              <w:ind w:left="360" w:hanging="259"/>
              <w:jc w:val="both"/>
            </w:pPr>
            <w:r>
              <w:rPr>
                <w:b w:val="0"/>
              </w:rPr>
              <w:t xml:space="preserve">•  </w:t>
            </w:r>
            <w:r>
              <w:rPr>
                <w:b w:val="0"/>
              </w:rPr>
              <w:t>Monitor teacher availability by class at block, district and State levels at the start of every year.</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Tumakuru's study of guest teachers and SSLC results shows that timely and stable staffing makes a clear difference. Schools where guest teachers were appointed at the beginning of the academic year achieved better results than schools where appointments were delayed. Guest teachers who conducted regular remedial classes, unit tests and model examinations, with close monitoring by Head Teachers and Block Education Officers, achieved pass percentages comparable to regular teachers in several schools.</w:t>
            </w:r>
          </w:p>
          <w:p>
            <w:pPr>
              <w:spacing w:after="60"/>
              <w:jc w:val="both"/>
            </w:pPr>
            <w:r>
              <w:rPr>
                <w:b w:val="0"/>
              </w:rPr>
              <w:t>The same lesson applies to monograde primary classes: a teacher must be in place for every class from the first day of the year and must remain for the full year. This is a good example of using timely appointment, stability and academic monitoring together to address teacher shortages. It can be monitored through class-wise teacher availability, date of appointment and teacher continuity during the year.</w:t>
            </w:r>
          </w:p>
        </w:tc>
      </w:tr>
    </w:tbl>
    <w:p>
      <w:pPr>
        <w:spacing w:after="120" w:before="160"/>
      </w:pPr>
      <w:r>
        <w:rPr>
          <w:b/>
          <w:i w:val="0"/>
          <w:sz w:val="24"/>
          <w:u w:val="none"/>
        </w:rPr>
        <w:t>References</w:t>
      </w:r>
    </w:p>
    <w:p>
      <w:pPr>
        <w:spacing w:after="60" w:before="0"/>
        <w:ind w:left="576" w:hanging="576"/>
        <w:jc w:val="both"/>
      </w:pPr>
      <w:r>
        <w:rPr>
          <w:b w:val="0"/>
          <w:i w:val="0"/>
          <w:u w:val="none"/>
        </w:rPr>
        <w:t>DIET Tumakuru (2025-26), guest teachers and SSLC results; DIET Chamarajanagar (2025-26), FLN in Grade 3. DSERT Research Abstracts Compilation 2024-25 and 2025-26.</w:t>
      </w:r>
    </w:p>
    <w:p>
      <w:pPr>
        <w:pageBreakBefore/>
        <w:spacing w:after="120" w:before="0"/>
        <w:jc w:val="right"/>
      </w:pPr>
      <w:r>
        <w:rPr>
          <w:b/>
          <w:i w:val="0"/>
          <w:u w:val="none"/>
        </w:rPr>
        <w:t>Annexure-1</w:t>
      </w:r>
    </w:p>
    <w:p>
      <w:pPr>
        <w:spacing w:after="40" w:before="0"/>
        <w:jc w:val="center"/>
      </w:pPr>
      <w:r>
        <w:rPr>
          <w:b/>
          <w:i w:val="0"/>
          <w:sz w:val="28"/>
          <w:u w:val="none"/>
        </w:rPr>
        <w:t>Feedback Note 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Classrooms, Furniture and Learning Materials for Monograde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In the multigrade system, one room was used for Classes 1 to 3. Monograde teaching needs a separate, furnished room for each class. After schools moved to monograde bilingual classrooms from 1 June 2026, reports showed that many schools lacked desks, benches and even enough classrooms. Some children sat on the floor, and Head Teachers sought CSR funds and donations.</w:t>
            </w:r>
          </w:p>
          <w:p>
            <w:pPr>
              <w:spacing w:after="60"/>
              <w:jc w:val="both"/>
            </w:pPr>
            <w:r>
              <w:rPr>
                <w:b w:val="0"/>
              </w:rPr>
              <w:t>DIET research had already pointed to this need. In Bengaluru South, the study of 161 schools running English-medium sections found that each class of 30 children needs a separate room with benches, tables and basic facilities, and that 58 schools lacked the required physical structure. DIET Chitradurga reported inadequate classroom space, teaching-learning materials and libraries in newly started Karnataka Public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Prepare a school-wise list of additional rooms, desks and benches needed for monograde classes.</w:t>
            </w:r>
          </w:p>
          <w:p>
            <w:pPr>
              <w:spacing w:after="60"/>
              <w:ind w:left="360" w:hanging="259"/>
              <w:jc w:val="both"/>
            </w:pPr>
            <w:r>
              <w:rPr>
                <w:b w:val="0"/>
              </w:rPr>
              <w:t xml:space="preserve">•  </w:t>
            </w:r>
            <w:r>
              <w:rPr>
                <w:b w:val="0"/>
              </w:rPr>
              <w:t>Include classrooms and furniture for the transition in the Samagra Shiksha and State budgets so that schools do not depend only on donations.</w:t>
            </w:r>
          </w:p>
          <w:p>
            <w:pPr>
              <w:spacing w:after="60"/>
              <w:ind w:left="360" w:hanging="259"/>
              <w:jc w:val="both"/>
            </w:pPr>
            <w:r>
              <w:rPr>
                <w:b w:val="0"/>
              </w:rPr>
              <w:t xml:space="preserve">•  </w:t>
            </w:r>
            <w:r>
              <w:rPr>
                <w:b w:val="0"/>
              </w:rPr>
              <w:t>Use existing spare rooms in nearby schools and buildings wherever possible as a short-term measure.</w:t>
            </w:r>
          </w:p>
          <w:p>
            <w:pPr>
              <w:spacing w:after="60"/>
              <w:ind w:left="360" w:hanging="259"/>
              <w:jc w:val="both"/>
            </w:pPr>
            <w:r>
              <w:rPr>
                <w:b w:val="0"/>
              </w:rPr>
              <w:t xml:space="preserve">•  </w:t>
            </w:r>
            <w:r>
              <w:rPr>
                <w:b w:val="0"/>
              </w:rPr>
              <w:t>Encourage CSR, SDMCs, local bodies and donors to support furniture through a transparent district system.</w:t>
            </w:r>
          </w:p>
          <w:p>
            <w:pPr>
              <w:spacing w:after="60"/>
              <w:ind w:left="360" w:hanging="259"/>
              <w:jc w:val="both"/>
            </w:pPr>
            <w:r>
              <w:rPr>
                <w:b w:val="0"/>
              </w:rPr>
              <w:t xml:space="preserve">•  </w:t>
            </w:r>
            <w:r>
              <w:rPr>
                <w:b w:val="0"/>
              </w:rPr>
              <w:t>Provide grade-specific teaching-learning materials, reading corners and Learning Corners in every class.</w:t>
            </w:r>
          </w:p>
          <w:p>
            <w:pPr>
              <w:spacing w:after="60"/>
              <w:ind w:left="360" w:hanging="259"/>
              <w:jc w:val="both"/>
            </w:pPr>
            <w:r>
              <w:rPr>
                <w:b w:val="0"/>
              </w:rPr>
              <w:t xml:space="preserve">•  </w:t>
            </w:r>
            <w:r>
              <w:rPr>
                <w:b w:val="0"/>
              </w:rPr>
              <w:t>Monitor the availability of rooms and furniture for each class through SATS and school visits.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The Bengaluru South study of English-medium sections in 161 schools shows the benefits of providing one class, one room and one teacher. Although 58 schools still lacked full infrastructure, admissions increased in all 161 schools, SDMC members took keen interest, and children who had completed LKG and UKG in private schools sought admission to Class 1 in these Government schools. DIET Chamarajanagar found Learning Corners in effective use in ninety-two per cent of schools.</w:t>
            </w:r>
          </w:p>
          <w:p>
            <w:pPr>
              <w:spacing w:after="60"/>
              <w:jc w:val="both"/>
            </w:pPr>
            <w:r>
              <w:rPr>
                <w:b w:val="0"/>
              </w:rPr>
              <w:t>This shows that when separate, well-equipped classrooms are provided, parents' confidence in Government schools grows. This is a good example of linking infrastructure to quality and enrolment. It can be monitored through rooms per class, furniture per child and the availability of learning materials in each class.</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English-medium schools in Bengaluru South; DIET Chitradurga (2024-25), KPS evaluation; DIET Chamarajanagar (2025-26); Times of India, via Spill (8 June 2026).</w:t>
      </w:r>
    </w:p>
    <w:p>
      <w:pPr>
        <w:pageBreakBefore/>
        <w:spacing w:after="120" w:before="0"/>
        <w:jc w:val="right"/>
      </w:pPr>
      <w:r>
        <w:rPr>
          <w:b/>
          <w:i w:val="0"/>
          <w:u w:val="none"/>
        </w:rPr>
        <w:t>Annexure-1</w:t>
      </w:r>
    </w:p>
    <w:p>
      <w:pPr>
        <w:spacing w:after="40" w:before="0"/>
        <w:jc w:val="center"/>
      </w:pPr>
      <w:r>
        <w:rPr>
          <w:b/>
          <w:i w:val="0"/>
          <w:sz w:val="28"/>
          <w:u w:val="none"/>
        </w:rPr>
        <w:t>Feedback Note 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 Preparation for Monograde Teaching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For nearly two decades, primary teachers were trained to teach Classes 1 to 3 together using group-based, multi-level methods. Monograde teaching needs different skills: grade-specific lesson planning, greater subject depth, whole-class and group teaching within one grade, and differentiated support for children at different levels in the same class.</w:t>
            </w:r>
          </w:p>
          <w:p>
            <w:pPr>
              <w:spacing w:after="60"/>
              <w:jc w:val="both"/>
            </w:pPr>
            <w:r>
              <w:rPr>
                <w:b w:val="0"/>
              </w:rPr>
              <w:t>DIET studies show that training is the key to good implementation. DIET Chamarajanagar found that trained teachers used activity-based methods and continuous assessment more confidently, but some teachers saw academic monitoring as inspection. The 2026-27 DIET Chitradurga study on the challenges faced by teachers in monograde classes of Classes 1 to 5 shows that this is already a concern in the field.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Develop DIET training modules on grade-specific lesson planning and competency-based teaching for Classes 1 to 5.</w:t>
            </w:r>
          </w:p>
          <w:p>
            <w:pPr>
              <w:spacing w:after="60"/>
              <w:ind w:left="360" w:hanging="259"/>
              <w:jc w:val="both"/>
            </w:pPr>
            <w:r>
              <w:rPr>
                <w:b w:val="0"/>
              </w:rPr>
              <w:t xml:space="preserve">•  </w:t>
            </w:r>
            <w:r>
              <w:rPr>
                <w:b w:val="0"/>
              </w:rPr>
              <w:t>Train teachers in differentiated instruction and remedial grouping within one grade.</w:t>
            </w:r>
          </w:p>
          <w:p>
            <w:pPr>
              <w:spacing w:after="60"/>
              <w:ind w:left="360" w:hanging="259"/>
              <w:jc w:val="both"/>
            </w:pPr>
            <w:r>
              <w:rPr>
                <w:b w:val="0"/>
              </w:rPr>
              <w:t xml:space="preserve">•  </w:t>
            </w:r>
            <w:r>
              <w:rPr>
                <w:b w:val="0"/>
              </w:rPr>
              <w:t>Train all primary teachers, including newly appointed and guest teachers, before and during the transition.</w:t>
            </w:r>
          </w:p>
          <w:p>
            <w:pPr>
              <w:spacing w:after="60"/>
              <w:ind w:left="360" w:hanging="259"/>
              <w:jc w:val="both"/>
            </w:pPr>
            <w:r>
              <w:rPr>
                <w:b w:val="0"/>
              </w:rPr>
              <w:t xml:space="preserve">•  </w:t>
            </w:r>
            <w:r>
              <w:rPr>
                <w:b w:val="0"/>
              </w:rPr>
              <w:t>Provide practice-based refresher training, workshops and experience-sharing meetings at cluster level.</w:t>
            </w:r>
          </w:p>
          <w:p>
            <w:pPr>
              <w:spacing w:after="60"/>
              <w:ind w:left="360" w:hanging="259"/>
              <w:jc w:val="both"/>
            </w:pPr>
            <w:r>
              <w:rPr>
                <w:b w:val="0"/>
              </w:rPr>
              <w:t xml:space="preserve">•  </w:t>
            </w:r>
            <w:r>
              <w:rPr>
                <w:b w:val="0"/>
              </w:rPr>
              <w:t>Use DIKSHA and other digital resources for short, self-paced teacher learning modules.</w:t>
            </w:r>
          </w:p>
          <w:p>
            <w:pPr>
              <w:spacing w:after="60"/>
              <w:ind w:left="360" w:hanging="259"/>
              <w:jc w:val="both"/>
            </w:pPr>
            <w:r>
              <w:rPr>
                <w:b w:val="0"/>
              </w:rPr>
              <w:t xml:space="preserve">•  </w:t>
            </w:r>
            <w:r>
              <w:rPr>
                <w:b w:val="0"/>
              </w:rPr>
              <w:t>Make CRP and BRP visits supportive and mentoring-oriented rather than inspection-oriented.</w:t>
            </w:r>
          </w:p>
          <w:p>
            <w:pPr>
              <w:spacing w:after="60"/>
              <w:ind w:left="360" w:hanging="259"/>
              <w:jc w:val="both"/>
            </w:pPr>
            <w:r>
              <w:rPr>
                <w:b w:val="0"/>
              </w:rPr>
              <w:t xml:space="preserve">•  </w:t>
            </w:r>
            <w:r>
              <w:rPr>
                <w:b w:val="0"/>
              </w:rPr>
              <w:t>Continue training support for teachers in small schools that must manage more than one class for some time.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found that ninety-six per cent of head teachers and ninety-seven per cent of teachers had received FLN training, and that trained teachers followed activity-based, child-centred methods and continuous assessment more confidently. Learning Corners were used effectively in ninety-two per cent of schools, and varied teaching methods in ninety-four per cent. Good practices included supportive academic monitoring by head teachers, CRPs and BRPs.</w:t>
            </w:r>
          </w:p>
          <w:p>
            <w:pPr>
              <w:spacing w:after="60"/>
              <w:jc w:val="both"/>
            </w:pPr>
            <w:r>
              <w:rPr>
                <w:b w:val="0"/>
              </w:rPr>
              <w:t>This shows that large-scale teacher training through DIETs and cluster structures can reach almost every teacher. The same system can be used to prepare teachers for monograde classrooms. This is a good example of using the existing DIET-BRC-CRC network for timely capacity building. It can be monitored through training coverage, classroom observation of grade-specific teaching and teachers' feedback.</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DSERT Research Studies Tracker 2026-27 (DIET Chitradurga study).</w:t>
      </w:r>
    </w:p>
    <w:p>
      <w:pPr>
        <w:pageBreakBefore/>
        <w:spacing w:after="120" w:before="0"/>
        <w:jc w:val="right"/>
      </w:pPr>
      <w:r>
        <w:rPr>
          <w:b/>
          <w:i w:val="0"/>
          <w:u w:val="none"/>
        </w:rPr>
        <w:t>Annexure-1</w:t>
      </w:r>
    </w:p>
    <w:p>
      <w:pPr>
        <w:spacing w:after="40" w:before="0"/>
        <w:jc w:val="center"/>
      </w:pPr>
      <w:r>
        <w:rPr>
          <w:b/>
          <w:i w:val="0"/>
          <w:sz w:val="28"/>
          <w:u w:val="none"/>
        </w:rPr>
        <w:t>Feedback Note 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Small Schools and Single-Teacher Schools in the Monograde System</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Many Government primary schools have very low enrolment and only one or two teachers. One Indian review estimates that about 10.2 per cent of schools have a single teacher. In such schools it may not be possible to provide one teacher and one room for each class immediately.</w:t>
            </w:r>
          </w:p>
          <w:p>
            <w:pPr>
              <w:spacing w:after="60"/>
              <w:jc w:val="both"/>
            </w:pPr>
            <w:r>
              <w:rPr>
                <w:b w:val="0"/>
              </w:rPr>
              <w:t>The international literature shows that teacher training and policy are usually designed for monograde schools, while teachers in small schools receive little support. If small schools are left out of transition planning, children in remote and rural areas may receive poorer teaching. Where small schools are merged or consolidated, distance, transport and safety of young children must also be considered.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Identify small and single-teacher schools separately in the transition plan.</w:t>
            </w:r>
          </w:p>
          <w:p>
            <w:pPr>
              <w:spacing w:after="60"/>
              <w:ind w:left="360" w:hanging="259"/>
              <w:jc w:val="both"/>
            </w:pPr>
            <w:r>
              <w:rPr>
                <w:b w:val="0"/>
              </w:rPr>
              <w:t xml:space="preserve">•  </w:t>
            </w:r>
            <w:r>
              <w:rPr>
                <w:b w:val="0"/>
              </w:rPr>
              <w:t>Give priority to these schools for additional teachers through rationalisation and recruitment.</w:t>
            </w:r>
          </w:p>
          <w:p>
            <w:pPr>
              <w:spacing w:after="60"/>
              <w:ind w:left="360" w:hanging="259"/>
              <w:jc w:val="both"/>
            </w:pPr>
            <w:r>
              <w:rPr>
                <w:b w:val="0"/>
              </w:rPr>
              <w:t xml:space="preserve">•  </w:t>
            </w:r>
            <w:r>
              <w:rPr>
                <w:b w:val="0"/>
              </w:rPr>
              <w:t>Where a teacher must handle more than one class for some time, provide training and materials for managing combined classes.</w:t>
            </w:r>
          </w:p>
          <w:p>
            <w:pPr>
              <w:spacing w:after="60"/>
              <w:ind w:left="360" w:hanging="259"/>
              <w:jc w:val="both"/>
            </w:pPr>
            <w:r>
              <w:rPr>
                <w:b w:val="0"/>
              </w:rPr>
              <w:t xml:space="preserve">•  </w:t>
            </w:r>
            <w:r>
              <w:rPr>
                <w:b w:val="0"/>
              </w:rPr>
              <w:t>Use clusters for sharing teachers, resources and digital content among nearby small schools.</w:t>
            </w:r>
          </w:p>
          <w:p>
            <w:pPr>
              <w:spacing w:after="60"/>
              <w:ind w:left="360" w:hanging="259"/>
              <w:jc w:val="both"/>
            </w:pPr>
            <w:r>
              <w:rPr>
                <w:b w:val="0"/>
              </w:rPr>
              <w:t xml:space="preserve">•  </w:t>
            </w:r>
            <w:r>
              <w:rPr>
                <w:b w:val="0"/>
              </w:rPr>
              <w:t>Where schools are consolidated, provide safe and free transport and keep the lowest classes close to home.</w:t>
            </w:r>
          </w:p>
          <w:p>
            <w:pPr>
              <w:spacing w:after="60"/>
              <w:ind w:left="360" w:hanging="259"/>
              <w:jc w:val="both"/>
            </w:pPr>
            <w:r>
              <w:rPr>
                <w:b w:val="0"/>
              </w:rPr>
              <w:t xml:space="preserve">•  </w:t>
            </w:r>
            <w:r>
              <w:rPr>
                <w:b w:val="0"/>
              </w:rPr>
              <w:t>Consult parents and SDMCs before any change in school arrangements.</w:t>
            </w:r>
          </w:p>
          <w:p>
            <w:pPr>
              <w:spacing w:after="60"/>
              <w:ind w:left="360" w:hanging="259"/>
              <w:jc w:val="both"/>
            </w:pPr>
            <w:r>
              <w:rPr>
                <w:b w:val="0"/>
              </w:rPr>
              <w:t xml:space="preserve">•  </w:t>
            </w:r>
            <w:r>
              <w:rPr>
                <w:b w:val="0"/>
              </w:rPr>
              <w:t>Track enrolment, attendance and dropout of children in small and consolidated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The Government has decided to provide free transport facilities to Karnataka Public Schools, and some KPS have already arranged transport with the support of SDMCs, local communities and CSR contributions. DIET research also shows that schools with active SDMCs and community support had better attendance and learning (DIET Chamarajanagar).</w:t>
            </w:r>
          </w:p>
          <w:p>
            <w:pPr>
              <w:spacing w:after="60"/>
              <w:jc w:val="both"/>
            </w:pPr>
            <w:r>
              <w:rPr>
                <w:b w:val="0"/>
              </w:rPr>
              <w:t>These measures help children from small villages reach better-equipped schools without extra cost to parents, while community participation builds trust in the change. This is a good example of combining planning, transport and community support for small schools. It can be monitored through the number of small schools covered, teacher availability, transport use and attendance.</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Little, A.W. (Ed.) (2006), Education for All and Multigrade Teaching, Springer; Suzuki (2003), Institute of Education, University of London.</w:t>
      </w:r>
    </w:p>
    <w:p>
      <w:pPr>
        <w:pageBreakBefore/>
        <w:spacing w:after="120" w:before="0"/>
        <w:jc w:val="right"/>
      </w:pPr>
      <w:r>
        <w:rPr>
          <w:b/>
          <w:i w:val="0"/>
          <w:u w:val="none"/>
        </w:rPr>
        <w:t>Annexure-1</w:t>
      </w:r>
    </w:p>
    <w:p>
      <w:pPr>
        <w:spacing w:after="40" w:before="0"/>
        <w:jc w:val="center"/>
      </w:pPr>
      <w:r>
        <w:rPr>
          <w:b/>
          <w:i w:val="0"/>
          <w:sz w:val="28"/>
          <w:u w:val="none"/>
        </w:rPr>
        <w:t>Feedback Note 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Monitoring Foundational Literacy and Numeracy during the Transition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The main purpose of the shift to monograde classrooms is to improve children's learning. However, there is no baseline yet to show children's FLN levels before the change, and no common system to track whether learning improves after it. Officials cited the Performance Grading Index to show that outcomes had not improved under the earlier system, but district-level evidence on Classes 1 to 3 is limited.</w:t>
            </w:r>
          </w:p>
          <w:p>
            <w:pPr>
              <w:spacing w:after="60"/>
              <w:jc w:val="both"/>
            </w:pPr>
            <w:r>
              <w:rPr>
                <w:b w:val="0"/>
              </w:rPr>
              <w:t>DIET studies show where children struggle. DIET Chamarajanagar found continuing difficulty in multiplication and division among slow learners in Grade 3. DIET Ramanagara reported challenges of irregular attendance, limited materials and lack of time for remedial teaching.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Conduct a baseline assessment of FLN in Classes 1 to 3 at the start of 2026-27.</w:t>
            </w:r>
          </w:p>
          <w:p>
            <w:pPr>
              <w:spacing w:after="60"/>
              <w:ind w:left="360" w:hanging="259"/>
              <w:jc w:val="both"/>
            </w:pPr>
            <w:r>
              <w:rPr>
                <w:b w:val="0"/>
              </w:rPr>
              <w:t xml:space="preserve">•  </w:t>
            </w:r>
            <w:r>
              <w:rPr>
                <w:b w:val="0"/>
              </w:rPr>
              <w:t>Repeat assessments at mid-year and end-year to measure progress after the transition.</w:t>
            </w:r>
          </w:p>
          <w:p>
            <w:pPr>
              <w:spacing w:after="60"/>
              <w:ind w:left="360" w:hanging="259"/>
              <w:jc w:val="both"/>
            </w:pPr>
            <w:r>
              <w:rPr>
                <w:b w:val="0"/>
              </w:rPr>
              <w:t xml:space="preserve">•  </w:t>
            </w:r>
            <w:r>
              <w:rPr>
                <w:b w:val="0"/>
              </w:rPr>
              <w:t>Assign one teacher responsibility for each FLN class.</w:t>
            </w:r>
          </w:p>
          <w:p>
            <w:pPr>
              <w:spacing w:after="60"/>
              <w:ind w:left="360" w:hanging="259"/>
              <w:jc w:val="both"/>
            </w:pPr>
            <w:r>
              <w:rPr>
                <w:b w:val="0"/>
              </w:rPr>
              <w:t xml:space="preserve">•  </w:t>
            </w:r>
            <w:r>
              <w:rPr>
                <w:b w:val="0"/>
              </w:rPr>
              <w:t>Group children by learning level and provide remedial support within each class.</w:t>
            </w:r>
          </w:p>
          <w:p>
            <w:pPr>
              <w:spacing w:after="60"/>
              <w:ind w:left="360" w:hanging="259"/>
              <w:jc w:val="both"/>
            </w:pPr>
            <w:r>
              <w:rPr>
                <w:b w:val="0"/>
              </w:rPr>
              <w:t xml:space="preserve">•  </w:t>
            </w:r>
            <w:r>
              <w:rPr>
                <w:b w:val="0"/>
              </w:rPr>
              <w:t>Run bridge courses at the start of the year and review progress every three months.</w:t>
            </w:r>
          </w:p>
          <w:p>
            <w:pPr>
              <w:spacing w:after="60"/>
              <w:ind w:left="360" w:hanging="259"/>
              <w:jc w:val="both"/>
            </w:pPr>
            <w:r>
              <w:rPr>
                <w:b w:val="0"/>
              </w:rPr>
              <w:t xml:space="preserve">•  </w:t>
            </w:r>
            <w:r>
              <w:rPr>
                <w:b w:val="0"/>
              </w:rPr>
              <w:t>Use SATS to record class-wise FLN results and share them with schools and SDMCs.</w:t>
            </w:r>
          </w:p>
          <w:p>
            <w:pPr>
              <w:spacing w:after="60"/>
              <w:ind w:left="360" w:hanging="259"/>
              <w:jc w:val="both"/>
            </w:pPr>
            <w:r>
              <w:rPr>
                <w:b w:val="0"/>
              </w:rPr>
              <w:t xml:space="preserve">•  </w:t>
            </w:r>
            <w:r>
              <w:rPr>
                <w:b w:val="0"/>
              </w:rPr>
              <w:t>Compare outcomes of schools that moved early with those yet to move.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Ramanagara's study found that FLN implementation improved reading fluency, number recognition, arithmetic skills, classroom participation and learner confidence, and reduced learning gaps. It recommended assigning one teacher to each FLN class, grouping children by learning level and giving special support to children with learning difficulties. DIET Tumakuru recommended a baseline test at the start of the year, grouping by level, remedial teaching and review every three months.</w:t>
            </w:r>
          </w:p>
          <w:p>
            <w:pPr>
              <w:spacing w:after="60"/>
              <w:jc w:val="both"/>
            </w:pPr>
            <w:r>
              <w:rPr>
                <w:b w:val="0"/>
              </w:rPr>
              <w:t>These recommendations fit the monograde system well, where each teacher is responsible for one class. This is a good example of using research findings to design classroom-level monitoring. It can be monitored through class-wise FLN scores, the number of children reaching grade-level competencies and remedial coverage.</w:t>
            </w:r>
          </w:p>
        </w:tc>
      </w:tr>
    </w:tbl>
    <w:p>
      <w:pPr>
        <w:spacing w:after="120" w:before="160"/>
      </w:pPr>
      <w:r>
        <w:rPr>
          <w:b/>
          <w:i w:val="0"/>
          <w:sz w:val="24"/>
          <w:u w:val="none"/>
        </w:rPr>
        <w:t>References</w:t>
      </w:r>
    </w:p>
    <w:p>
      <w:pPr>
        <w:spacing w:after="60" w:before="0"/>
        <w:ind w:left="576" w:hanging="576"/>
        <w:jc w:val="both"/>
      </w:pPr>
      <w:r>
        <w:rPr>
          <w:b w:val="0"/>
          <w:i w:val="0"/>
          <w:u w:val="none"/>
        </w:rPr>
        <w:t>DIET Ramanagara (2025-26), FLN strategies; DIET Tumakuru (2025-26), FLN deficiencies in Classes 6 and 7; DIET Chamarajanagar (2025-26); Deccan Herald (4 November 2025).</w:t>
      </w:r>
    </w:p>
    <w:p>
      <w:pPr>
        <w:pageBreakBefore/>
        <w:spacing w:after="120" w:before="0"/>
        <w:jc w:val="right"/>
      </w:pPr>
      <w:r>
        <w:rPr>
          <w:b/>
          <w:i w:val="0"/>
          <w:u w:val="none"/>
        </w:rPr>
        <w:t>Annexure-1</w:t>
      </w:r>
    </w:p>
    <w:p>
      <w:pPr>
        <w:spacing w:after="40" w:before="0"/>
        <w:jc w:val="center"/>
      </w:pPr>
      <w:r>
        <w:rPr>
          <w:b/>
          <w:i w:val="0"/>
          <w:sz w:val="28"/>
          <w:u w:val="none"/>
        </w:rPr>
        <w:t>Feedback Note 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Smt. Padmaja B.N.</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Tumakuru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Monograde Education: Classroom Visits by BRPs, CRPs and DIET Faculty; Feedback to Teachers; Data and Reporting Requirements; Escalation and Resolution of Problems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Classroom visits by Block Resource Persons (BRPs), Cluster Resource Persons (CRPs) and DIET faculty are important for supporting teachers in monograde classrooms. However, there are no clear guidelines for these visits, feedback mechanisms are weak and follow-up is limited. Visits often do not consider the specific needs of the school.</w:t>
            </w:r>
          </w:p>
          <w:p>
            <w:pPr>
              <w:spacing w:after="60"/>
              <w:jc w:val="both"/>
            </w:pPr>
            <w:r>
              <w:rPr>
                <w:b w:val="0"/>
              </w:rPr>
              <w:t>BRPs and CRPs are assigned administrative reporting, meetings, surveys, data entry and other departmental work, which reduces the time available for classroom visits and mentoring. Weak coordination among BRPs, CRPs, DIET faculty, Block Education Officers and Head Teachers may lead to repeated visits to some schools and gaps in others. DIET faculty also have competing responsibilities in training, administration and research.</w:t>
            </w:r>
          </w:p>
          <w:p>
            <w:pPr>
              <w:spacing w:after="60"/>
              <w:jc w:val="both"/>
            </w:pPr>
            <w:r>
              <w:rPr>
                <w:b w:val="0"/>
              </w:rPr>
              <w:t>Teachers may see classroom visits as fault-finding rather than as opportunities for professional growth. Observations may not adequately examine student participation, foundational literacy and numeracy, learning difficulties, inclusion or assessment practices.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Issue clear guidelines on the frequency, duration, objectives and expected outcomes of visits by BRPs, CRPs and DIET faculty.</w:t>
            </w:r>
          </w:p>
          <w:p>
            <w:pPr>
              <w:spacing w:after="60"/>
              <w:ind w:left="360" w:hanging="259"/>
              <w:jc w:val="both"/>
            </w:pPr>
            <w:r>
              <w:rPr>
                <w:b w:val="0"/>
              </w:rPr>
              <w:t xml:space="preserve">•  </w:t>
            </w:r>
            <w:r>
              <w:rPr>
                <w:b w:val="0"/>
              </w:rPr>
              <w:t>Prioritise schools and teachers needing more support on the basis of learning outcomes, previous observation reports and identified gaps.</w:t>
            </w:r>
          </w:p>
          <w:p>
            <w:pPr>
              <w:spacing w:after="60"/>
              <w:ind w:left="360" w:hanging="259"/>
              <w:jc w:val="both"/>
            </w:pPr>
            <w:r>
              <w:rPr>
                <w:b w:val="0"/>
              </w:rPr>
              <w:t xml:space="preserve">•  </w:t>
            </w:r>
            <w:r>
              <w:rPr>
                <w:b w:val="0"/>
              </w:rPr>
              <w:t>Develop a common classroom observation checklist covering lesson planning, student participation, teaching-learning materials, assessment and competency-based learning.</w:t>
            </w:r>
          </w:p>
          <w:p>
            <w:pPr>
              <w:spacing w:after="60"/>
              <w:ind w:left="360" w:hanging="259"/>
              <w:jc w:val="both"/>
            </w:pPr>
            <w:r>
              <w:rPr>
                <w:b w:val="0"/>
              </w:rPr>
              <w:t xml:space="preserve">•  </w:t>
            </w:r>
            <w:r>
              <w:rPr>
                <w:b w:val="0"/>
              </w:rPr>
              <w:t>Review progress on earlier recommendations at each visit rather than treating every visit as a separate inspection.</w:t>
            </w:r>
          </w:p>
          <w:p>
            <w:pPr>
              <w:spacing w:after="60"/>
              <w:ind w:left="360" w:hanging="259"/>
              <w:jc w:val="both"/>
            </w:pPr>
            <w:r>
              <w:rPr>
                <w:b w:val="0"/>
              </w:rPr>
              <w:t xml:space="preserve">•  </w:t>
            </w:r>
            <w:r>
              <w:rPr>
                <w:b w:val="0"/>
              </w:rPr>
              <w:t>Provide BRPs and CRPs with a mobile application with digital checklists, visit schedules, feedback forms, action points and follow-up reminders, with offline data entry.</w:t>
            </w:r>
          </w:p>
          <w:p>
            <w:pPr>
              <w:spacing w:after="60"/>
              <w:ind w:left="360" w:hanging="259"/>
              <w:jc w:val="both"/>
            </w:pPr>
            <w:r>
              <w:rPr>
                <w:b w:val="0"/>
              </w:rPr>
              <w:t xml:space="preserve">•  </w:t>
            </w:r>
            <w:r>
              <w:rPr>
                <w:b w:val="0"/>
              </w:rPr>
              <w:t>Integrate visit records, feedback, teacher support needs and follow-up actions in one system to avoid duplicate data entry.</w:t>
            </w:r>
          </w:p>
          <w:p>
            <w:pPr>
              <w:spacing w:after="60"/>
              <w:ind w:left="360" w:hanging="259"/>
              <w:jc w:val="both"/>
            </w:pPr>
            <w:r>
              <w:rPr>
                <w:b w:val="0"/>
              </w:rPr>
              <w:t xml:space="preserve">•  </w:t>
            </w:r>
            <w:r>
              <w:rPr>
                <w:b w:val="0"/>
              </w:rPr>
              <w:t>Use common indicators and templates across schools, clusters and blocks.</w:t>
            </w:r>
          </w:p>
          <w:p>
            <w:pPr>
              <w:spacing w:after="60"/>
              <w:ind w:left="360" w:hanging="259"/>
              <w:jc w:val="both"/>
            </w:pPr>
            <w:r>
              <w:rPr>
                <w:b w:val="0"/>
              </w:rPr>
              <w:t xml:space="preserve">•  </w:t>
            </w:r>
            <w:r>
              <w:rPr>
                <w:b w:val="0"/>
              </w:rPr>
              <w:t>Verify visit reports periodically against school records, student work and follow-up evidence.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In DIET Tumakuru, special importance is given to classroom observation and feedback to teachers, using the Google Form issued by DSERT. Key observations are recorded and follow-up actions are agreed with the teacher before the visit ends. A common classroom observation checklist aligned with learning outcomes and classroom practices is used.</w:t>
            </w:r>
          </w:p>
          <w:p>
            <w:pPr>
              <w:spacing w:after="60"/>
              <w:jc w:val="both"/>
            </w:pPr>
            <w:r>
              <w:rPr>
                <w:b w:val="0"/>
              </w:rPr>
              <w:t>During visits, faculty demonstrate alternative teaching strategies, the use of teaching-learning materials and formative assessment techniques. DIET faculty provide subject-specific guidance and mentor BRPs and CRPs in classroom observation. Common issues are discussed in monthly block- and district-level academic review meetings, and unresolved issues are referred to the appropriate block or district authority and reviewed until closure. This is a good example of a supportive, data-based and accountable system of classroom visits. It can be monitored through visit records, follow-up actions completed and issues resolved.</w:t>
            </w:r>
          </w:p>
        </w:tc>
      </w:tr>
    </w:tbl>
    <w:p>
      <w:pPr>
        <w:spacing w:after="120" w:before="160"/>
      </w:pPr>
      <w:r>
        <w:rPr>
          <w:b/>
          <w:i w:val="0"/>
          <w:sz w:val="24"/>
          <w:u w:val="none"/>
        </w:rPr>
        <w:t>References</w:t>
      </w:r>
    </w:p>
    <w:p>
      <w:pPr>
        <w:spacing w:after="60" w:before="0"/>
        <w:ind w:left="576" w:hanging="576"/>
        <w:jc w:val="both"/>
      </w:pPr>
      <w:r>
        <w:rPr>
          <w:b w:val="0"/>
          <w:i w:val="0"/>
          <w:u w:val="none"/>
        </w:rPr>
        <w:t>DIET Tumakuru classroom observation practice; DSERT classroom observation Google Form.</w:t>
      </w:r>
    </w:p>
    <w:p>
      <w:pPr>
        <w:pageBreakBefore/>
        <w:spacing w:after="120" w:before="0"/>
        <w:jc w:val="right"/>
      </w:pPr>
      <w:r>
        <w:rPr>
          <w:b/>
          <w:i w:val="0"/>
          <w:u w:val="none"/>
        </w:rPr>
        <w:t>Annexure-1</w:t>
      </w:r>
    </w:p>
    <w:p>
      <w:pPr>
        <w:spacing w:after="40" w:before="0"/>
        <w:jc w:val="center"/>
      </w:pPr>
      <w:r>
        <w:rPr>
          <w:b/>
          <w:i w:val="0"/>
          <w:sz w:val="28"/>
          <w:u w:val="none"/>
        </w:rPr>
        <w:t>Feedback Note 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Dr. Padmashree R.P.</w:t>
            </w:r>
          </w:p>
        </w:tc>
      </w:tr>
      <w:tr>
        <w:tc>
          <w:tcPr>
            <w:tcW w:type="dxa" w:w="3312"/>
            <w:shd w:val="clear" w:color="auto" w:fill="F2F2F2"/>
          </w:tcPr>
          <w:p>
            <w:pPr>
              <w:spacing w:after="0"/>
            </w:pPr>
            <w:r/>
            <w:r>
              <w:rPr>
                <w:b/>
              </w:rPr>
              <w:t>Designation</w:t>
            </w:r>
          </w:p>
        </w:tc>
        <w:tc>
          <w:tcPr>
            <w:tcW w:type="dxa" w:w="5760"/>
          </w:tcPr>
          <w:p>
            <w:pPr>
              <w:spacing w:after="0"/>
            </w:pPr>
            <w:r/>
            <w:r>
              <w:t>Senior Assistant Director, Teacher Education and Research Wing</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DSERT, Bengaluru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Research on the Monograde Transition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The shift from multigrade to monograde classrooms is one of the largest changes in primary education in Karnataka in recent years. Yet the evidence base is thin. Earlier DIET studies of primary classroom practice were mostly perception and implementation studies without comparison groups to measure learning.</w:t>
            </w:r>
          </w:p>
          <w:p>
            <w:pPr>
              <w:spacing w:after="60"/>
              <w:jc w:val="both"/>
            </w:pPr>
            <w:r>
              <w:rPr>
                <w:b w:val="0"/>
              </w:rPr>
              <w:t>None of the 234 studies in the DSERT Research Abstracts Compilation 2024-25 and 2025-26 examines the transition itself. Questions such as teacher readiness, the teacher-class ratio in small schools, infrastructure gaps, FLN outcomes before and after the change, and how single-teacher schools manage monograde teaching remain unanswered.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Include the monograde transition as a priority area in the State Research Programme.</w:t>
            </w:r>
          </w:p>
          <w:p>
            <w:pPr>
              <w:spacing w:after="60"/>
              <w:ind w:left="360" w:hanging="259"/>
              <w:jc w:val="both"/>
            </w:pPr>
            <w:r>
              <w:rPr>
                <w:b w:val="0"/>
              </w:rPr>
              <w:t xml:space="preserve">•  </w:t>
            </w:r>
            <w:r>
              <w:rPr>
                <w:b w:val="0"/>
              </w:rPr>
              <w:t>Conduct a taluk-level baseline study in 2026-27 while the transition is in progress.</w:t>
            </w:r>
          </w:p>
          <w:p>
            <w:pPr>
              <w:spacing w:after="60"/>
              <w:ind w:left="360" w:hanging="259"/>
              <w:jc w:val="both"/>
            </w:pPr>
            <w:r>
              <w:rPr>
                <w:b w:val="0"/>
              </w:rPr>
              <w:t xml:space="preserve">•  </w:t>
            </w:r>
            <w:r>
              <w:rPr>
                <w:b w:val="0"/>
              </w:rPr>
              <w:t>Compare learning outcomes of children before and after the change, using comparison groups.</w:t>
            </w:r>
          </w:p>
          <w:p>
            <w:pPr>
              <w:spacing w:after="60"/>
              <w:ind w:left="360" w:hanging="259"/>
              <w:jc w:val="both"/>
            </w:pPr>
            <w:r>
              <w:rPr>
                <w:b w:val="0"/>
              </w:rPr>
              <w:t xml:space="preserve">•  </w:t>
            </w:r>
            <w:r>
              <w:rPr>
                <w:b w:val="0"/>
              </w:rPr>
              <w:t>Study teacher readiness, workload and training needs in monograde classes.</w:t>
            </w:r>
          </w:p>
          <w:p>
            <w:pPr>
              <w:spacing w:after="60"/>
              <w:ind w:left="360" w:hanging="259"/>
              <w:jc w:val="both"/>
            </w:pPr>
            <w:r>
              <w:rPr>
                <w:b w:val="0"/>
              </w:rPr>
              <w:t xml:space="preserve">•  </w:t>
            </w:r>
            <w:r>
              <w:rPr>
                <w:b w:val="0"/>
              </w:rPr>
              <w:t>Study how small and single-teacher schools are managing the change.</w:t>
            </w:r>
          </w:p>
          <w:p>
            <w:pPr>
              <w:spacing w:after="60"/>
              <w:ind w:left="360" w:hanging="259"/>
              <w:jc w:val="both"/>
            </w:pPr>
            <w:r>
              <w:rPr>
                <w:b w:val="0"/>
              </w:rPr>
              <w:t xml:space="preserve">•  </w:t>
            </w:r>
            <w:r>
              <w:rPr>
                <w:b w:val="0"/>
              </w:rPr>
              <w:t>Record infrastructure gaps and how schools are solving them.</w:t>
            </w:r>
          </w:p>
          <w:p>
            <w:pPr>
              <w:spacing w:after="60"/>
              <w:ind w:left="360" w:hanging="259"/>
              <w:jc w:val="both"/>
            </w:pPr>
            <w:r>
              <w:rPr>
                <w:b w:val="0"/>
              </w:rPr>
              <w:t xml:space="preserve">•  </w:t>
            </w:r>
            <w:r>
              <w:rPr>
                <w:b w:val="0"/>
              </w:rPr>
              <w:t>Share findings through policy briefs, the State research symposium and district plans.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The DSERT Research Studies Tracker 2026-27 (as on 13 October 2026) already includes studies that will inform the transition. DIET Chitradurga is studying the challenges faced by teachers in monograde classes of Classes 1 to 5. DIET Mandya is studying the FLN achievement of children completing the foundational stage. DIET Gadag, DIET Tumakuru, DIET Bagalkote and DIET Shivamogga are studying Karnataka Public Schools, their conversion, institutional performance and leadership.</w:t>
            </w:r>
          </w:p>
          <w:p>
            <w:pPr>
              <w:spacing w:after="60"/>
              <w:jc w:val="both"/>
            </w:pPr>
            <w:r>
              <w:rPr>
                <w:b w:val="0"/>
              </w:rPr>
              <w:t>Each DIET is supported with up to Rs 10 lakh for research under Samagra Shiksha, with quarterly reports and final reports due in March 2027. This is a good example of building research into the implementation of a major reform. It can be monitored through the State Research Studies Tracker and the use of findings in district and State plans.</w:t>
            </w:r>
          </w:p>
        </w:tc>
      </w:tr>
    </w:tbl>
    <w:p>
      <w:pPr>
        <w:spacing w:after="120" w:before="160"/>
      </w:pPr>
      <w:r>
        <w:rPr>
          <w:b/>
          <w:i w:val="0"/>
          <w:sz w:val="24"/>
          <w:u w:val="none"/>
        </w:rPr>
        <w:t>References</w:t>
      </w:r>
    </w:p>
    <w:p>
      <w:pPr>
        <w:spacing w:after="60" w:before="0"/>
        <w:ind w:left="576" w:hanging="576"/>
        <w:jc w:val="both"/>
      </w:pPr>
      <w:r>
        <w:rPr>
          <w:b w:val="0"/>
          <w:i w:val="0"/>
          <w:u w:val="none"/>
        </w:rPr>
        <w:t>DSERT Research Studies Tracker 2026-27; DSERT Research Abstracts Compilation 2024-25 and 2025-26.</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60"/>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