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Sixth National Conference of Chief Secretaries</w:t>
      </w:r>
    </w:p>
    <w:p>
      <w:pPr>
        <w:pStyle w:val="BodyText"/>
      </w:pPr>
      <w:r>
        <w:rPr>
          <w:bCs/>
          <w:b/>
        </w:rPr>
        <w:t xml:space="preserve">Background Note</w:t>
      </w:r>
    </w:p>
    <w:p>
      <w:pPr>
        <w:pStyle w:val="BodyText"/>
      </w:pPr>
      <w:r>
        <w:rPr>
          <w:bCs/>
          <w:b/>
        </w:rPr>
        <w:t xml:space="preserve">Quality Education and Creating Equal Opportunity for All: The Karnataka Approach, 2026-27</w:t>
      </w:r>
    </w:p>
    <w:p>
      <w:pPr>
        <w:pStyle w:val="BodyText"/>
      </w:pPr>
      <w:r>
        <w:rPr>
          <w:bCs/>
          <w:b/>
        </w:rPr>
        <w:t xml:space="preserve">What Two Years of District and State Research Tell Us</w:t>
      </w:r>
    </w:p>
    <w:p>
      <w:pPr>
        <w:pStyle w:val="BodyText"/>
      </w:pPr>
      <w:r>
        <w:t xml:space="preserve">Department of State Educational Research and Training (DSERT), Karnataka, with the District Institutes of Education and Training (DIETs)</w:t>
      </w:r>
    </w:p>
    <w:p>
      <w:pPr>
        <w:pStyle w:val="BodyText"/>
      </w:pPr>
      <w:r>
        <w:rPr>
          <w:iCs/>
          <w:i/>
        </w:rPr>
        <w:t xml:space="preserve">Data as of 14 October 2026</w:t>
      </w:r>
    </w:p>
    <w:p>
      <w:pPr>
        <w:pStyle w:val="BodyText"/>
      </w:pPr>
      <w:r>
        <w:rPr>
          <w:bCs/>
          <w:b/>
        </w:rPr>
        <w:t xml:space="preserve">Foreword</w:t>
      </w:r>
    </w:p>
    <w:p>
      <w:pPr>
        <w:pStyle w:val="BodyText"/>
      </w:pPr>
      <w:r>
        <w:rPr>
          <w:iCs/>
          <w:i/>
        </w:rPr>
        <w:t xml:space="preserve">[To be signed by the nodal Secretary, Government of India]</w:t>
      </w:r>
    </w:p>
    <w:p>
      <w:pPr>
        <w:pStyle w:val="BodyText"/>
      </w:pPr>
      <w:r>
        <w:t xml:space="preserve">Every child has the right to a good school, whatever the family’s income, language, gender or ability. Quality and equal opportunity cannot be judged from what is supplied to schools; they must be judged from what happens to children in classrooms. This note brings together the findings of one hundred and eighty-eight research studies completed by the Department of State Educational Research and Training (DSERT), Karnataka, and its District Institutes of Education and Training (DIETs) in 2024-25 and 2025-26, along with the plan of 329 studies under way for 2026-27. It sets out what this evidence says about the quality of learning in Karnataka’s schools, about the children who are still left behind, and about how research can guide the State’s approach to equal opportunity in 2026-27 and beyond.</w:t>
      </w:r>
    </w:p>
    <w:p>
      <w:pPr>
        <w:pStyle w:val="BodyText"/>
      </w:pPr>
      <w:r>
        <w:rPr>
          <w:iCs/>
          <w:i/>
        </w:rPr>
        <w:t xml:space="preserve">[Name, Designation, Ministry/Department, Government of India] [Date]</w:t>
      </w:r>
    </w:p>
    <w:p>
      <w:pPr>
        <w:pStyle w:val="BodyText"/>
      </w:pPr>
      <w:r>
        <w:rPr>
          <w:bCs/>
          <w:b/>
        </w:rPr>
        <w:t xml:space="preserve">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Abbreviation</w:t>
            </w:r>
          </w:p>
        </w:tc>
        <w:tc>
          <w:tcPr/>
          <w:p>
            <w:pPr>
              <w:pStyle w:val="Compact"/>
              <w:jc w:val="left"/>
            </w:pPr>
            <w:r>
              <w:rPr>
                <w:bCs/>
                <w:b/>
              </w:rPr>
              <w:t xml:space="preserve">Expansion</w:t>
            </w:r>
          </w:p>
        </w:tc>
      </w:tr>
      <w:tr>
        <w:tc>
          <w:tcPr/>
          <w:p>
            <w:pPr>
              <w:pStyle w:val="Compact"/>
              <w:jc w:val="left"/>
            </w:pPr>
            <w:r>
              <w:t xml:space="preserve">ATL</w:t>
            </w:r>
          </w:p>
        </w:tc>
        <w:tc>
          <w:tcPr/>
          <w:p>
            <w:pPr>
              <w:pStyle w:val="Compact"/>
              <w:jc w:val="left"/>
            </w:pPr>
            <w:r>
              <w:t xml:space="preserve">Atal Tinkering Lab</w:t>
            </w:r>
          </w:p>
        </w:tc>
      </w:tr>
      <w:tr>
        <w:tc>
          <w:tcPr/>
          <w:p>
            <w:pPr>
              <w:pStyle w:val="Compact"/>
              <w:jc w:val="left"/>
            </w:pPr>
            <w:r>
              <w:t xml:space="preserve">CRC</w:t>
            </w:r>
          </w:p>
        </w:tc>
        <w:tc>
          <w:tcPr/>
          <w:p>
            <w:pPr>
              <w:pStyle w:val="Compact"/>
              <w:jc w:val="left"/>
            </w:pPr>
            <w:r>
              <w:t xml:space="preserve">Cluster Resource Centre</w:t>
            </w:r>
          </w:p>
        </w:tc>
      </w:tr>
      <w:tr>
        <w:tc>
          <w:tcPr/>
          <w:p>
            <w:pPr>
              <w:pStyle w:val="Compact"/>
              <w:jc w:val="left"/>
            </w:pPr>
            <w:r>
              <w:t xml:space="preserve">CWSN</w:t>
            </w:r>
          </w:p>
        </w:tc>
        <w:tc>
          <w:tcPr/>
          <w:p>
            <w:pPr>
              <w:pStyle w:val="Compact"/>
              <w:jc w:val="left"/>
            </w:pPr>
            <w:r>
              <w:t xml:space="preserve">Children with Special Needs</w:t>
            </w:r>
          </w:p>
        </w:tc>
      </w:tr>
      <w:tr>
        <w:tc>
          <w:tcPr/>
          <w:p>
            <w:pPr>
              <w:pStyle w:val="Compact"/>
              <w:jc w:val="left"/>
            </w:pPr>
            <w:r>
              <w:t xml:space="preserve">DIET</w:t>
            </w:r>
          </w:p>
        </w:tc>
        <w:tc>
          <w:tcPr/>
          <w:p>
            <w:pPr>
              <w:pStyle w:val="Compact"/>
              <w:jc w:val="left"/>
            </w:pPr>
            <w:r>
              <w:t xml:space="preserve">District Institute of Education and Training</w:t>
            </w:r>
          </w:p>
        </w:tc>
      </w:tr>
      <w:tr>
        <w:tc>
          <w:tcPr/>
          <w:p>
            <w:pPr>
              <w:pStyle w:val="Compact"/>
              <w:jc w:val="left"/>
            </w:pPr>
            <w:r>
              <w:t xml:space="preserve">DIKSHA</w:t>
            </w:r>
          </w:p>
        </w:tc>
        <w:tc>
          <w:tcPr/>
          <w:p>
            <w:pPr>
              <w:pStyle w:val="Compact"/>
              <w:jc w:val="left"/>
            </w:pPr>
            <w:r>
              <w:t xml:space="preserve">Digital Infrastructure for Knowledge Sharing</w:t>
            </w:r>
          </w:p>
        </w:tc>
      </w:tr>
      <w:tr>
        <w:tc>
          <w:tcPr/>
          <w:p>
            <w:pPr>
              <w:pStyle w:val="Compact"/>
              <w:jc w:val="left"/>
            </w:pPr>
            <w:r>
              <w:t xml:space="preserve">DSERT</w:t>
            </w:r>
          </w:p>
        </w:tc>
        <w:tc>
          <w:tcPr/>
          <w:p>
            <w:pPr>
              <w:pStyle w:val="Compact"/>
              <w:jc w:val="left"/>
            </w:pPr>
            <w:r>
              <w:t xml:space="preserve">Department of State Educational Research and Training</w:t>
            </w:r>
          </w:p>
        </w:tc>
      </w:tr>
      <w:tr>
        <w:tc>
          <w:tcPr/>
          <w:p>
            <w:pPr>
              <w:pStyle w:val="Compact"/>
              <w:jc w:val="left"/>
            </w:pPr>
            <w:r>
              <w:t xml:space="preserve">ECCE</w:t>
            </w:r>
          </w:p>
        </w:tc>
        <w:tc>
          <w:tcPr/>
          <w:p>
            <w:pPr>
              <w:pStyle w:val="Compact"/>
              <w:jc w:val="left"/>
            </w:pPr>
            <w:r>
              <w:t xml:space="preserve">Early Childhood Care and Education</w:t>
            </w:r>
          </w:p>
        </w:tc>
      </w:tr>
      <w:tr>
        <w:tc>
          <w:tcPr/>
          <w:p>
            <w:pPr>
              <w:pStyle w:val="Compact"/>
              <w:jc w:val="left"/>
            </w:pPr>
            <w:r>
              <w:t xml:space="preserve">EMTIP</w:t>
            </w:r>
          </w:p>
        </w:tc>
        <w:tc>
          <w:tcPr/>
          <w:p>
            <w:pPr>
              <w:pStyle w:val="Compact"/>
              <w:jc w:val="left"/>
            </w:pPr>
            <w:r>
              <w:t xml:space="preserve">English Medium Teachers Induction Programme</w:t>
            </w:r>
          </w:p>
        </w:tc>
      </w:tr>
      <w:tr>
        <w:tc>
          <w:tcPr/>
          <w:p>
            <w:pPr>
              <w:pStyle w:val="Compact"/>
              <w:jc w:val="left"/>
            </w:pPr>
            <w:r>
              <w:t xml:space="preserve">FLN</w:t>
            </w:r>
          </w:p>
        </w:tc>
        <w:tc>
          <w:tcPr/>
          <w:p>
            <w:pPr>
              <w:pStyle w:val="Compact"/>
              <w:jc w:val="left"/>
            </w:pPr>
            <w:r>
              <w:t xml:space="preserve">Foundational Literacy and Numeracy</w:t>
            </w:r>
          </w:p>
        </w:tc>
      </w:tr>
      <w:tr>
        <w:tc>
          <w:tcPr/>
          <w:p>
            <w:pPr>
              <w:pStyle w:val="Compact"/>
              <w:jc w:val="left"/>
            </w:pPr>
            <w:r>
              <w:t xml:space="preserve">GKA</w:t>
            </w:r>
          </w:p>
        </w:tc>
        <w:tc>
          <w:tcPr/>
          <w:p>
            <w:pPr>
              <w:pStyle w:val="Compact"/>
              <w:jc w:val="left"/>
            </w:pPr>
            <w:r>
              <w:t xml:space="preserve">Ganitha Kalika Andolana (mathematics learning movement)</w:t>
            </w:r>
          </w:p>
        </w:tc>
      </w:tr>
      <w:tr>
        <w:tc>
          <w:tcPr/>
          <w:p>
            <w:pPr>
              <w:pStyle w:val="Compact"/>
              <w:jc w:val="left"/>
            </w:pPr>
            <w:r>
              <w:t xml:space="preserve">ICT</w:t>
            </w:r>
          </w:p>
        </w:tc>
        <w:tc>
          <w:tcPr/>
          <w:p>
            <w:pPr>
              <w:pStyle w:val="Compact"/>
              <w:jc w:val="left"/>
            </w:pPr>
            <w:r>
              <w:t xml:space="preserve">Information and Communication Technology</w:t>
            </w:r>
          </w:p>
        </w:tc>
      </w:tr>
      <w:tr>
        <w:tc>
          <w:tcPr/>
          <w:p>
            <w:pPr>
              <w:pStyle w:val="Compact"/>
              <w:jc w:val="left"/>
            </w:pPr>
            <w:r>
              <w:t xml:space="preserve">KPS</w:t>
            </w:r>
          </w:p>
        </w:tc>
        <w:tc>
          <w:tcPr/>
          <w:p>
            <w:pPr>
              <w:pStyle w:val="Compact"/>
              <w:jc w:val="left"/>
            </w:pPr>
            <w:r>
              <w:t xml:space="preserve">Karnataka Public Schools</w:t>
            </w:r>
          </w:p>
        </w:tc>
      </w:tr>
      <w:tr>
        <w:tc>
          <w:tcPr/>
          <w:p>
            <w:pPr>
              <w:pStyle w:val="Compact"/>
              <w:jc w:val="left"/>
            </w:pPr>
            <w:r>
              <w:t xml:space="preserve">LBA</w:t>
            </w:r>
          </w:p>
        </w:tc>
        <w:tc>
          <w:tcPr/>
          <w:p>
            <w:pPr>
              <w:pStyle w:val="Compact"/>
              <w:jc w:val="left"/>
            </w:pPr>
            <w:r>
              <w:t xml:space="preserve">Lesson Based Assessment</w:t>
            </w:r>
          </w:p>
        </w:tc>
      </w:tr>
      <w:tr>
        <w:tc>
          <w:tcPr/>
          <w:p>
            <w:pPr>
              <w:pStyle w:val="Compact"/>
              <w:jc w:val="left"/>
            </w:pPr>
            <w:r>
              <w:t xml:space="preserve">NEP</w:t>
            </w:r>
          </w:p>
        </w:tc>
        <w:tc>
          <w:tcPr/>
          <w:p>
            <w:pPr>
              <w:pStyle w:val="Compact"/>
              <w:jc w:val="left"/>
            </w:pPr>
            <w:r>
              <w:t xml:space="preserve">National Education Policy</w:t>
            </w:r>
          </w:p>
        </w:tc>
      </w:tr>
      <w:tr>
        <w:tc>
          <w:tcPr/>
          <w:p>
            <w:pPr>
              <w:pStyle w:val="Compact"/>
              <w:jc w:val="left"/>
            </w:pPr>
            <w:r>
              <w:t xml:space="preserve">NMMS</w:t>
            </w:r>
          </w:p>
        </w:tc>
        <w:tc>
          <w:tcPr/>
          <w:p>
            <w:pPr>
              <w:pStyle w:val="Compact"/>
              <w:jc w:val="left"/>
            </w:pPr>
            <w:r>
              <w:t xml:space="preserve">National Means-cum-Merit Scholarship</w:t>
            </w:r>
          </w:p>
        </w:tc>
      </w:tr>
      <w:tr>
        <w:tc>
          <w:tcPr/>
          <w:p>
            <w:pPr>
              <w:pStyle w:val="Compact"/>
              <w:jc w:val="left"/>
            </w:pPr>
            <w:r>
              <w:t xml:space="preserve">NSQF</w:t>
            </w:r>
          </w:p>
        </w:tc>
        <w:tc>
          <w:tcPr/>
          <w:p>
            <w:pPr>
              <w:pStyle w:val="Compact"/>
              <w:jc w:val="left"/>
            </w:pPr>
            <w:r>
              <w:t xml:space="preserve">National Skills Qualifications Framework</w:t>
            </w:r>
          </w:p>
        </w:tc>
      </w:tr>
      <w:tr>
        <w:tc>
          <w:tcPr/>
          <w:p>
            <w:pPr>
              <w:pStyle w:val="Compact"/>
              <w:jc w:val="left"/>
            </w:pPr>
            <w:r>
              <w:t xml:space="preserve">PARAKH</w:t>
            </w:r>
          </w:p>
        </w:tc>
        <w:tc>
          <w:tcPr/>
          <w:p>
            <w:pPr>
              <w:pStyle w:val="Compact"/>
              <w:jc w:val="left"/>
            </w:pPr>
            <w:r>
              <w:t xml:space="preserve">Performance Assessment, Review and Analysis of Knowledge for Holistic Development</w:t>
            </w:r>
          </w:p>
        </w:tc>
      </w:tr>
      <w:tr>
        <w:tc>
          <w:tcPr/>
          <w:p>
            <w:pPr>
              <w:pStyle w:val="Compact"/>
              <w:jc w:val="left"/>
            </w:pPr>
            <w:r>
              <w:t xml:space="preserve">SDMC</w:t>
            </w:r>
          </w:p>
        </w:tc>
        <w:tc>
          <w:tcPr/>
          <w:p>
            <w:pPr>
              <w:pStyle w:val="Compact"/>
              <w:jc w:val="left"/>
            </w:pPr>
            <w:r>
              <w:t xml:space="preserve">School Development and Monitoring Committee</w:t>
            </w:r>
          </w:p>
        </w:tc>
      </w:tr>
      <w:tr>
        <w:tc>
          <w:tcPr/>
          <w:p>
            <w:pPr>
              <w:pStyle w:val="Compact"/>
              <w:jc w:val="left"/>
            </w:pPr>
            <w:r>
              <w:t xml:space="preserve">SSLC</w:t>
            </w:r>
          </w:p>
        </w:tc>
        <w:tc>
          <w:tcPr/>
          <w:p>
            <w:pPr>
              <w:pStyle w:val="Compact"/>
              <w:jc w:val="left"/>
            </w:pPr>
            <w:r>
              <w:t xml:space="preserve">Secondary School Leaving Certificate</w:t>
            </w:r>
          </w:p>
        </w:tc>
      </w:tr>
      <w:tr>
        <w:tc>
          <w:tcPr/>
          <w:p>
            <w:pPr>
              <w:pStyle w:val="Compact"/>
              <w:jc w:val="left"/>
            </w:pPr>
            <w:r>
              <w:t xml:space="preserve">TALP</w:t>
            </w:r>
          </w:p>
        </w:tc>
        <w:tc>
          <w:tcPr/>
          <w:p>
            <w:pPr>
              <w:pStyle w:val="Compact"/>
              <w:jc w:val="left"/>
            </w:pPr>
            <w:r>
              <w:t xml:space="preserve">Technology Assisted Learning Programme</w:t>
            </w:r>
          </w:p>
        </w:tc>
      </w:tr>
    </w:tbl>
    <w:p>
      <w:pPr>
        <w:pStyle w:val="BodyText"/>
      </w:pPr>
      <w:r>
        <w:rPr>
          <w:bCs/>
          <w:b/>
        </w:rPr>
        <w:t xml:space="preserve">Synopsis</w:t>
      </w:r>
    </w:p>
    <w:p>
      <w:pPr>
        <w:pStyle w:val="BodyText"/>
      </w:pPr>
      <w:r>
        <w:t xml:space="preserve">Karnataka’s approach to quality education and equal opportunity in 2026-27 rests on five strategies: learning recovery and continuous assessment, bilingual education under the KPS programme, value and skill education, digital safety, and monograde teaching. This note shows what the State’s own research says about each of them.</w:t>
      </w:r>
    </w:p>
    <w:p>
      <w:pPr>
        <w:pStyle w:val="BodyText"/>
      </w:pPr>
      <w:r>
        <w:t xml:space="preserve">Over two years, DSERT and twenty DIETs completed one hundred and eighty-eight studies (one hundred in 2024-25 and eighty-eight in 2025-26): nine by DSERT, mostly statewide, and 179 by the DIETs. For 2026-27, twenty-seven of the thirty-five districts and units have so far submitted 329 studies in eighteen research areas.</w:t>
      </w:r>
    </w:p>
    <w:p>
      <w:pPr>
        <w:pStyle w:val="BodyText"/>
      </w:pPr>
      <w:r>
        <w:t xml:space="preserve">The evidence points to four messages:</w:t>
      </w:r>
    </w:p>
    <w:p>
      <w:pPr>
        <w:numPr>
          <w:ilvl w:val="0"/>
          <w:numId w:val="1001"/>
        </w:numPr>
        <w:pStyle w:val="Compact"/>
      </w:pPr>
      <w:r>
        <w:rPr>
          <w:bCs/>
          <w:b/>
        </w:rPr>
        <w:t xml:space="preserve">Quality: programmes work where they are used well.</w:t>
      </w:r>
      <w:r>
        <w:t xml:space="preserve"> </w:t>
      </w:r>
      <w:r>
        <w:t xml:space="preserve">Mathematics kits, English programmes and teacher training show clear gains (Studies 7, 18 and 28). But facilities are not used fully: only 40% of sampled schools in one district had fully functional science laboratories (Study 30), and gains in Grade 3 fade by Grades 6 and 9 (Study 120).</w:t>
      </w:r>
    </w:p>
    <w:p>
      <w:pPr>
        <w:numPr>
          <w:ilvl w:val="0"/>
          <w:numId w:val="1001"/>
        </w:numPr>
        <w:pStyle w:val="Compact"/>
      </w:pPr>
      <w:r>
        <w:rPr>
          <w:bCs/>
          <w:b/>
        </w:rPr>
        <w:t xml:space="preserve">Equal opportunity: some children are still left behind.</w:t>
      </w:r>
      <w:r>
        <w:t xml:space="preserve"> </w:t>
      </w:r>
      <w:r>
        <w:t xml:space="preserve">Tribal children taught in a language that is not their own (Study 125), children with special needs who learn at home (Study 41), girls in the higher grades (Study 52) and children from poor families (Study 10) need targeted support.</w:t>
      </w:r>
    </w:p>
    <w:p>
      <w:pPr>
        <w:numPr>
          <w:ilvl w:val="0"/>
          <w:numId w:val="1001"/>
        </w:numPr>
        <w:pStyle w:val="Compact"/>
      </w:pPr>
      <w:r>
        <w:rPr>
          <w:bCs/>
          <w:b/>
        </w:rPr>
        <w:t xml:space="preserve">Teachers and communities make the difference.</w:t>
      </w:r>
      <w:r>
        <w:t xml:space="preserve"> </w:t>
      </w:r>
      <w:r>
        <w:t xml:space="preserve">Teachers value training but need follow-up in the classroom (Studies 92 and 165), and schools with functioning committees do better (Study 20).</w:t>
      </w:r>
    </w:p>
    <w:p>
      <w:pPr>
        <w:numPr>
          <w:ilvl w:val="0"/>
          <w:numId w:val="1001"/>
        </w:numPr>
        <w:pStyle w:val="Compact"/>
      </w:pPr>
      <w:r>
        <w:rPr>
          <w:bCs/>
          <w:b/>
        </w:rPr>
        <w:t xml:space="preserve">Research must reach decisions.</w:t>
      </w:r>
      <w:r>
        <w:t xml:space="preserve"> </w:t>
      </w:r>
      <w:r>
        <w:t xml:space="preserve">Studies are small, titles are repeated across districts, and findings are not yet linked to action.</w:t>
      </w:r>
    </w:p>
    <w:p>
      <w:pPr>
        <w:pStyle w:val="FirstParagraph"/>
      </w:pPr>
      <w:r>
        <w:t xml:space="preserve">The note proposes that research become a standing function of school administration, so that each of the State’s equal-opportunity strategies is tested, corrected and strengthened by evidence.</w:t>
      </w:r>
    </w:p>
    <w:p>
      <w:pPr>
        <w:pStyle w:val="BodyText"/>
      </w:pPr>
      <w:r>
        <w:rPr>
          <w:bCs/>
          <w:b/>
        </w:rPr>
        <w:t xml:space="preserve">I. Introduction</w:t>
      </w:r>
    </w:p>
    <w:p>
      <w:pPr>
        <w:pStyle w:val="BodyText"/>
      </w:pPr>
      <w:r>
        <w:rPr>
          <w:bCs/>
          <w:b/>
        </w:rPr>
        <w:t xml:space="preserve">Why evidence matters for quality and equal opportunity.</w:t>
      </w:r>
      <w:r>
        <w:t xml:space="preserve"> </w:t>
      </w:r>
      <w:r>
        <w:t xml:space="preserve">School education programmes in Karnataka are large: textbooks, laboratories, digital equipment, training, nutrition, inclusive education and learning campaigns reach every district. Without local evidence, the State can count what it has supplied, but it cannot know whether every child is learning, or which children are being left out. Research done in the districts, close to schools, teachers and communities, can answer both questions. The National Education Policy 2020 calls for a culture of research and evidence-based decision-making in education.</w:t>
      </w:r>
    </w:p>
    <w:p>
      <w:pPr>
        <w:pStyle w:val="BodyText"/>
      </w:pPr>
      <w:r>
        <w:rPr>
          <w:bCs/>
          <w:b/>
        </w:rPr>
        <w:t xml:space="preserve">The Karnataka evidence base.</w:t>
      </w:r>
      <w:r>
        <w:t xml:space="preserve"> </w:t>
      </w:r>
      <w:r>
        <w:t xml:space="preserve">The research wing of DSERT has compiled the studies of 2024-25 and 2025-26 into a single compendium of 188 studies (Table 1).</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Item</w:t>
            </w:r>
          </w:p>
        </w:tc>
        <w:tc>
          <w:tcPr/>
          <w:p>
            <w:pPr>
              <w:pStyle w:val="Compact"/>
              <w:jc w:val="left"/>
            </w:pPr>
            <w:r>
              <w:rPr>
                <w:bCs/>
                <w:b/>
              </w:rPr>
              <w:t xml:space="preserve">2024-25</w:t>
            </w:r>
          </w:p>
        </w:tc>
        <w:tc>
          <w:tcPr/>
          <w:p>
            <w:pPr>
              <w:pStyle w:val="Compact"/>
              <w:jc w:val="left"/>
            </w:pPr>
            <w:r>
              <w:rPr>
                <w:bCs/>
                <w:b/>
              </w:rPr>
              <w:t xml:space="preserve">2025-26</w:t>
            </w:r>
          </w:p>
        </w:tc>
        <w:tc>
          <w:tcPr/>
          <w:p>
            <w:pPr>
              <w:pStyle w:val="Compact"/>
              <w:jc w:val="left"/>
            </w:pPr>
            <w:r>
              <w:rPr>
                <w:bCs/>
                <w:b/>
              </w:rPr>
              <w:t xml:space="preserve">Total</w:t>
            </w:r>
          </w:p>
        </w:tc>
      </w:tr>
      <w:tr>
        <w:tc>
          <w:tcPr/>
          <w:p>
            <w:pPr>
              <w:pStyle w:val="Compact"/>
              <w:jc w:val="left"/>
            </w:pPr>
            <w:r>
              <w:t xml:space="preserve">Studies completed</w:t>
            </w:r>
          </w:p>
        </w:tc>
        <w:tc>
          <w:tcPr/>
          <w:p>
            <w:pPr>
              <w:pStyle w:val="Compact"/>
              <w:jc w:val="left"/>
            </w:pPr>
            <w:r>
              <w:t xml:space="preserve">100</w:t>
            </w:r>
          </w:p>
        </w:tc>
        <w:tc>
          <w:tcPr/>
          <w:p>
            <w:pPr>
              <w:pStyle w:val="Compact"/>
              <w:jc w:val="left"/>
            </w:pPr>
            <w:r>
              <w:t xml:space="preserve">88</w:t>
            </w:r>
          </w:p>
        </w:tc>
        <w:tc>
          <w:tcPr/>
          <w:p>
            <w:pPr>
              <w:pStyle w:val="Compact"/>
              <w:jc w:val="left"/>
            </w:pPr>
            <w:r>
              <w:t xml:space="preserve">188</w:t>
            </w:r>
          </w:p>
        </w:tc>
      </w:tr>
      <w:tr>
        <w:tc>
          <w:tcPr/>
          <w:p>
            <w:pPr>
              <w:pStyle w:val="Compact"/>
              <w:jc w:val="left"/>
            </w:pPr>
            <w:r>
              <w:t xml:space="preserve">By DSERT (mostly statewide)</w:t>
            </w:r>
          </w:p>
        </w:tc>
        <w:tc>
          <w:tcPr/>
          <w:p>
            <w:pPr>
              <w:pStyle w:val="Compact"/>
              <w:jc w:val="left"/>
            </w:pPr>
            <w:r>
              <w:t xml:space="preserve">4</w:t>
            </w:r>
          </w:p>
        </w:tc>
        <w:tc>
          <w:tcPr/>
          <w:p>
            <w:pPr>
              <w:pStyle w:val="Compact"/>
              <w:jc w:val="left"/>
            </w:pPr>
            <w:r>
              <w:t xml:space="preserve">5</w:t>
            </w:r>
          </w:p>
        </w:tc>
        <w:tc>
          <w:tcPr/>
          <w:p>
            <w:pPr>
              <w:pStyle w:val="Compact"/>
              <w:jc w:val="left"/>
            </w:pPr>
            <w:r>
              <w:t xml:space="preserve">9</w:t>
            </w:r>
          </w:p>
        </w:tc>
      </w:tr>
      <w:tr>
        <w:tc>
          <w:tcPr/>
          <w:p>
            <w:pPr>
              <w:pStyle w:val="Compact"/>
              <w:jc w:val="left"/>
            </w:pPr>
            <w:r>
              <w:t xml:space="preserve">By DIETs</w:t>
            </w:r>
          </w:p>
        </w:tc>
        <w:tc>
          <w:tcPr/>
          <w:p>
            <w:pPr>
              <w:pStyle w:val="Compact"/>
              <w:jc w:val="left"/>
            </w:pPr>
            <w:r>
              <w:t xml:space="preserve">96</w:t>
            </w:r>
          </w:p>
        </w:tc>
        <w:tc>
          <w:tcPr/>
          <w:p>
            <w:pPr>
              <w:pStyle w:val="Compact"/>
              <w:jc w:val="left"/>
            </w:pPr>
            <w:r>
              <w:t xml:space="preserve">83</w:t>
            </w:r>
          </w:p>
        </w:tc>
        <w:tc>
          <w:tcPr/>
          <w:p>
            <w:pPr>
              <w:pStyle w:val="Compact"/>
              <w:jc w:val="left"/>
            </w:pPr>
            <w:r>
              <w:t xml:space="preserve">179</w:t>
            </w:r>
          </w:p>
        </w:tc>
      </w:tr>
    </w:tbl>
    <w:p>
      <w:pPr>
        <w:pStyle w:val="BodyText"/>
      </w:pPr>
      <w:r>
        <w:rPr>
          <w:iCs/>
          <w:i/>
        </w:rPr>
        <w:t xml:space="preserve">Table 1. Studies in the compendium. Source: Research Abstracts 2024-25 and 2025-26, DSERT (2026). Districts covered: twenty, plus statewide studies by DSERT.</w:t>
      </w:r>
    </w:p>
    <w:p>
      <w:pPr>
        <w:pStyle w:val="BodyText"/>
      </w:pPr>
      <w:r>
        <w:t xml:space="preserve">The largest contributions come from Uttara Kannada (twenty-three studies), Bagalkote (nineteen), Mandya (seventeen), Vijayapura (sixteen), Hassan (sixteen) and Bengaluru Rural (fourteen). The studies use sample surveys, questionnaires, interviews, classroom observation and, in a few cases, experimental comparison. Study 1, the statewide study on technology integration, sampled 377 schools in ten districts. Study 18, in Ballari, used an experimental and control design and found significant differences in post-test scores.</w:t>
      </w:r>
    </w:p>
    <w:p>
      <w:pPr>
        <w:pStyle w:val="BodyText"/>
      </w:pPr>
      <w:r>
        <w:t xml:space="preserve">The 188 studies fall into nine themes (Table 2).</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Theme</w:t>
            </w:r>
          </w:p>
        </w:tc>
        <w:tc>
          <w:tcPr/>
          <w:p>
            <w:pPr>
              <w:pStyle w:val="Compact"/>
              <w:jc w:val="left"/>
            </w:pPr>
            <w:r>
              <w:rPr>
                <w:bCs/>
                <w:b/>
              </w:rPr>
              <w:t xml:space="preserve">Studies</w:t>
            </w:r>
          </w:p>
        </w:tc>
        <w:tc>
          <w:tcPr/>
          <w:p>
            <w:pPr>
              <w:pStyle w:val="Compact"/>
              <w:jc w:val="left"/>
            </w:pPr>
            <w:r>
              <w:rPr>
                <w:bCs/>
                <w:b/>
              </w:rPr>
              <w:t xml:space="preserve">Share</w:t>
            </w:r>
          </w:p>
        </w:tc>
      </w:tr>
      <w:tr>
        <w:tc>
          <w:tcPr/>
          <w:p>
            <w:pPr>
              <w:pStyle w:val="Compact"/>
              <w:jc w:val="left"/>
            </w:pPr>
            <w:r>
              <w:t xml:space="preserve">Foundational learning, mathematics and language</w:t>
            </w:r>
          </w:p>
        </w:tc>
        <w:tc>
          <w:tcPr/>
          <w:p>
            <w:pPr>
              <w:pStyle w:val="Compact"/>
              <w:jc w:val="left"/>
            </w:pPr>
            <w:r>
              <w:t xml:space="preserve">55</w:t>
            </w:r>
          </w:p>
        </w:tc>
        <w:tc>
          <w:tcPr/>
          <w:p>
            <w:pPr>
              <w:pStyle w:val="Compact"/>
              <w:jc w:val="left"/>
            </w:pPr>
            <w:r>
              <w:t xml:space="preserve">29%</w:t>
            </w:r>
          </w:p>
        </w:tc>
      </w:tr>
      <w:tr>
        <w:tc>
          <w:tcPr/>
          <w:p>
            <w:pPr>
              <w:pStyle w:val="Compact"/>
              <w:jc w:val="left"/>
            </w:pPr>
            <w:r>
              <w:t xml:space="preserve">Digital learning and technology</w:t>
            </w:r>
          </w:p>
        </w:tc>
        <w:tc>
          <w:tcPr/>
          <w:p>
            <w:pPr>
              <w:pStyle w:val="Compact"/>
              <w:jc w:val="left"/>
            </w:pPr>
            <w:r>
              <w:t xml:space="preserve">25</w:t>
            </w:r>
          </w:p>
        </w:tc>
        <w:tc>
          <w:tcPr/>
          <w:p>
            <w:pPr>
              <w:pStyle w:val="Compact"/>
              <w:jc w:val="left"/>
            </w:pPr>
            <w:r>
              <w:t xml:space="preserve">13%</w:t>
            </w:r>
          </w:p>
        </w:tc>
      </w:tr>
      <w:tr>
        <w:tc>
          <w:tcPr/>
          <w:p>
            <w:pPr>
              <w:pStyle w:val="Compact"/>
              <w:jc w:val="left"/>
            </w:pPr>
            <w:r>
              <w:t xml:space="preserve">Health, wellbeing, sports and values</w:t>
            </w:r>
          </w:p>
        </w:tc>
        <w:tc>
          <w:tcPr/>
          <w:p>
            <w:pPr>
              <w:pStyle w:val="Compact"/>
              <w:jc w:val="left"/>
            </w:pPr>
            <w:r>
              <w:t xml:space="preserve">22</w:t>
            </w:r>
          </w:p>
        </w:tc>
        <w:tc>
          <w:tcPr/>
          <w:p>
            <w:pPr>
              <w:pStyle w:val="Compact"/>
              <w:jc w:val="left"/>
            </w:pPr>
            <w:r>
              <w:t xml:space="preserve">12%</w:t>
            </w:r>
          </w:p>
        </w:tc>
      </w:tr>
      <w:tr>
        <w:tc>
          <w:tcPr/>
          <w:p>
            <w:pPr>
              <w:pStyle w:val="Compact"/>
              <w:jc w:val="left"/>
            </w:pPr>
            <w:r>
              <w:t xml:space="preserve">School governance, community and supervision</w:t>
            </w:r>
          </w:p>
        </w:tc>
        <w:tc>
          <w:tcPr/>
          <w:p>
            <w:pPr>
              <w:pStyle w:val="Compact"/>
              <w:jc w:val="left"/>
            </w:pPr>
            <w:r>
              <w:t xml:space="preserve">17</w:t>
            </w:r>
          </w:p>
        </w:tc>
        <w:tc>
          <w:tcPr/>
          <w:p>
            <w:pPr>
              <w:pStyle w:val="Compact"/>
              <w:jc w:val="left"/>
            </w:pPr>
            <w:r>
              <w:t xml:space="preserve">9%</w:t>
            </w:r>
          </w:p>
        </w:tc>
      </w:tr>
      <w:tr>
        <w:tc>
          <w:tcPr/>
          <w:p>
            <w:pPr>
              <w:pStyle w:val="Compact"/>
              <w:jc w:val="left"/>
            </w:pPr>
            <w:r>
              <w:t xml:space="preserve">Science laboratories and experiential learning</w:t>
            </w:r>
          </w:p>
        </w:tc>
        <w:tc>
          <w:tcPr/>
          <w:p>
            <w:pPr>
              <w:pStyle w:val="Compact"/>
              <w:jc w:val="left"/>
            </w:pPr>
            <w:r>
              <w:t xml:space="preserve">17</w:t>
            </w:r>
          </w:p>
        </w:tc>
        <w:tc>
          <w:tcPr/>
          <w:p>
            <w:pPr>
              <w:pStyle w:val="Compact"/>
              <w:jc w:val="left"/>
            </w:pPr>
            <w:r>
              <w:t xml:space="preserve">9%</w:t>
            </w:r>
          </w:p>
        </w:tc>
      </w:tr>
      <w:tr>
        <w:tc>
          <w:tcPr/>
          <w:p>
            <w:pPr>
              <w:pStyle w:val="Compact"/>
              <w:jc w:val="left"/>
            </w:pPr>
            <w:r>
              <w:t xml:space="preserve">Inclusion, equity and access</w:t>
            </w:r>
          </w:p>
        </w:tc>
        <w:tc>
          <w:tcPr/>
          <w:p>
            <w:pPr>
              <w:pStyle w:val="Compact"/>
              <w:jc w:val="left"/>
            </w:pPr>
            <w:r>
              <w:t xml:space="preserve">17</w:t>
            </w:r>
          </w:p>
        </w:tc>
        <w:tc>
          <w:tcPr/>
          <w:p>
            <w:pPr>
              <w:pStyle w:val="Compact"/>
              <w:jc w:val="left"/>
            </w:pPr>
            <w:r>
              <w:t xml:space="preserve">9%</w:t>
            </w:r>
          </w:p>
        </w:tc>
      </w:tr>
      <w:tr>
        <w:tc>
          <w:tcPr/>
          <w:p>
            <w:pPr>
              <w:pStyle w:val="Compact"/>
              <w:jc w:val="left"/>
            </w:pPr>
            <w:r>
              <w:t xml:space="preserve">Early childhood, transitions and skills</w:t>
            </w:r>
          </w:p>
        </w:tc>
        <w:tc>
          <w:tcPr/>
          <w:p>
            <w:pPr>
              <w:pStyle w:val="Compact"/>
              <w:jc w:val="left"/>
            </w:pPr>
            <w:r>
              <w:t xml:space="preserve">13</w:t>
            </w:r>
          </w:p>
        </w:tc>
        <w:tc>
          <w:tcPr/>
          <w:p>
            <w:pPr>
              <w:pStyle w:val="Compact"/>
              <w:jc w:val="left"/>
            </w:pPr>
            <w:r>
              <w:t xml:space="preserve">7%</w:t>
            </w:r>
          </w:p>
        </w:tc>
      </w:tr>
      <w:tr>
        <w:tc>
          <w:tcPr/>
          <w:p>
            <w:pPr>
              <w:pStyle w:val="Compact"/>
              <w:jc w:val="left"/>
            </w:pPr>
            <w:r>
              <w:t xml:space="preserve">Assessment, results and monitoring</w:t>
            </w:r>
          </w:p>
        </w:tc>
        <w:tc>
          <w:tcPr/>
          <w:p>
            <w:pPr>
              <w:pStyle w:val="Compact"/>
              <w:jc w:val="left"/>
            </w:pPr>
            <w:r>
              <w:t xml:space="preserve">12</w:t>
            </w:r>
          </w:p>
        </w:tc>
        <w:tc>
          <w:tcPr/>
          <w:p>
            <w:pPr>
              <w:pStyle w:val="Compact"/>
              <w:jc w:val="left"/>
            </w:pPr>
            <w:r>
              <w:t xml:space="preserve">6%</w:t>
            </w:r>
          </w:p>
        </w:tc>
      </w:tr>
      <w:tr>
        <w:tc>
          <w:tcPr/>
          <w:p>
            <w:pPr>
              <w:pStyle w:val="Compact"/>
              <w:jc w:val="left"/>
            </w:pPr>
            <w:r>
              <w:t xml:space="preserve">Teacher development and training</w:t>
            </w:r>
          </w:p>
        </w:tc>
        <w:tc>
          <w:tcPr/>
          <w:p>
            <w:pPr>
              <w:pStyle w:val="Compact"/>
              <w:jc w:val="left"/>
            </w:pPr>
            <w:r>
              <w:t xml:space="preserve">10</w:t>
            </w:r>
          </w:p>
        </w:tc>
        <w:tc>
          <w:tcPr/>
          <w:p>
            <w:pPr>
              <w:pStyle w:val="Compact"/>
              <w:jc w:val="left"/>
            </w:pPr>
            <w:r>
              <w:t xml:space="preserve">5%</w:t>
            </w:r>
          </w:p>
        </w:tc>
      </w:tr>
      <w:tr>
        <w:tc>
          <w:tcPr/>
          <w:p>
            <w:pPr>
              <w:pStyle w:val="Compact"/>
              <w:jc w:val="left"/>
            </w:pPr>
            <w:r>
              <w:t xml:space="preserve">Total</w:t>
            </w:r>
          </w:p>
        </w:tc>
        <w:tc>
          <w:tcPr/>
          <w:p>
            <w:pPr>
              <w:pStyle w:val="Compact"/>
              <w:jc w:val="left"/>
            </w:pPr>
            <w:r>
              <w:t xml:space="preserve">188</w:t>
            </w:r>
          </w:p>
        </w:tc>
        <w:tc>
          <w:tcPr/>
          <w:p>
            <w:pPr>
              <w:pStyle w:val="Compact"/>
              <w:jc w:val="left"/>
            </w:pPr>
            <w:r>
              <w:t xml:space="preserve">100%</w:t>
            </w:r>
          </w:p>
        </w:tc>
      </w:tr>
    </w:tbl>
    <w:p>
      <w:pPr>
        <w:pStyle w:val="BodyText"/>
      </w:pPr>
      <w:r>
        <w:rPr>
          <w:iCs/>
          <w:i/>
        </w:rPr>
        <w:t xml:space="preserve">Table 2. Studies by theme. Each study is assigned to one theme on the basis of its title, though some studies cut across themes. Shares are rounded. Source: author’s analysis of the compendium.</w:t>
      </w:r>
    </w:p>
    <w:p>
      <w:pPr>
        <w:pStyle w:val="BodyText"/>
      </w:pPr>
      <w:r>
        <w:rPr>
          <w:bCs/>
          <w:b/>
        </w:rPr>
        <w:t xml:space="preserve">Why this matters now.</w:t>
      </w:r>
      <w:r>
        <w:t xml:space="preserve"> </w:t>
      </w:r>
      <w:r>
        <w:t xml:space="preserve">For 2026-27, the research wing’s tracker records 329 studies from twenty-seven of the thirty-five districts and units, in eighteen research areas. Each of the first ten studies in a district may receive up to Rs 1,00,000, within a budget of Rs 10,00,000 per DIET and Rs 3,10,00,000 for the State. The question before the Conference is how to make this effort change what happens for children, especially the children with the fewest alternatives.</w:t>
      </w:r>
    </w:p>
    <w:p>
      <w:pPr>
        <w:pStyle w:val="BodyText"/>
      </w:pPr>
      <w:r>
        <w:rPr>
          <w:bCs/>
          <w:b/>
        </w:rPr>
        <w:t xml:space="preserve">II. Current Situation: What the Evidence Shows</w:t>
      </w:r>
    </w:p>
    <w:p>
      <w:pPr>
        <w:pStyle w:val="BodyText"/>
      </w:pPr>
      <w:r>
        <w:rPr>
          <w:bCs/>
          <w:b/>
        </w:rPr>
        <w:t xml:space="preserve">A. Quality of teaching and learning</w:t>
      </w:r>
    </w:p>
    <w:p>
      <w:pPr>
        <w:pStyle w:val="BodyText"/>
      </w:pPr>
      <w:r>
        <w:rPr>
          <w:iCs/>
          <w:i/>
          <w:bCs/>
          <w:b/>
        </w:rPr>
        <w:t xml:space="preserve">1. Foundational learning, mathematics and language (55 studies)</w:t>
      </w:r>
    </w:p>
    <w:p>
      <w:pPr>
        <w:pStyle w:val="BodyText"/>
      </w:pPr>
      <w:r>
        <w:t xml:space="preserve">Studies on the Ganitha Kalika Andolana mathematics kits, English Nali Kali, EMTIP and FLN generally report gains. In Ballari, the experimental group’s post-test scores were about 30 to 40% higher than the control group’s (Study 18). In Bengaluru Rural, programme students gained about 65% in speaking confidence and learned on average 30% more words than students taught by the traditional method (Study 28). In Bagalkote, the share of teachers confident in teaching through English rose from 38% to 84% after training (Study 7). Across the State, 79% of mathematics teachers considered activity-based learning the most effective, but large classes, multigrade teaching and scarce resources limited its use (Study 2).</w:t>
      </w:r>
    </w:p>
    <w:p>
      <w:pPr>
        <w:pStyle w:val="BodyText"/>
      </w:pPr>
      <w:r>
        <w:rPr>
          <w:iCs/>
          <w:i/>
          <w:bCs/>
          <w:b/>
        </w:rPr>
        <w:t xml:space="preserve">2. Assessment, results and monitoring (12 studies)</w:t>
      </w:r>
    </w:p>
    <w:p>
      <w:pPr>
        <w:pStyle w:val="BodyText"/>
      </w:pPr>
      <w:r>
        <w:t xml:space="preserve">In Hassan, Grade 3 students had improved in FLN compared with earlier national assessments, but achievement fell in Grades 6 and 9, especially in Mathematics and Science (Study 120). Quality at the foundational stage is not yet carried into the upper grades.</w:t>
      </w:r>
    </w:p>
    <w:p>
      <w:pPr>
        <w:pStyle w:val="BodyText"/>
      </w:pPr>
      <w:r>
        <w:rPr>
          <w:iCs/>
          <w:i/>
          <w:bCs/>
          <w:b/>
        </w:rPr>
        <w:t xml:space="preserve">3. Science laboratories and experiential learning (17 studies)</w:t>
      </w:r>
    </w:p>
    <w:p>
      <w:pPr>
        <w:pStyle w:val="BodyText"/>
      </w:pPr>
      <w:r>
        <w:t xml:space="preserve">In Bagalkote, 60% of schools had a separate science laboratory room, yet 60% lacked adequate equipment (Study 11). In Bengaluru Rural, only 40% of schools had fully functional laboratories, and practical sessions were held only two to three times a month (Study 30). Where practical work was regular, between 55% and 85% of respondents reported better engagement and understanding (Study 24), and students showed strong interest in robotics, coding and 3D printing (Study 15).</w:t>
      </w:r>
    </w:p>
    <w:p>
      <w:pPr>
        <w:pStyle w:val="BodyText"/>
      </w:pPr>
      <w:r>
        <w:rPr>
          <w:iCs/>
          <w:i/>
          <w:bCs/>
          <w:b/>
        </w:rPr>
        <w:t xml:space="preserve">4. Digital learning and technology (25 studies)</w:t>
      </w:r>
    </w:p>
    <w:p>
      <w:pPr>
        <w:pStyle w:val="BodyText"/>
      </w:pPr>
      <w:r>
        <w:t xml:space="preserve">The statewide study found that about 75% of sampled schools used technology actively in teaching, mainly through YouTube (51%) and WhatsApp (43%) (Study 1). In Bengaluru Rural, 96.88% of teachers agreed that ICT tools help students understand complex topics (Study 32). All head teachers there reported that TALP had been implemented, but only 85% of teachers had been trained (Study 40).</w:t>
      </w:r>
    </w:p>
    <w:p>
      <w:pPr>
        <w:pStyle w:val="BodyText"/>
      </w:pPr>
      <w:r>
        <w:rPr>
          <w:iCs/>
          <w:i/>
          <w:bCs/>
          <w:b/>
        </w:rPr>
        <w:t xml:space="preserve">5. Teacher development and training (10 studies)</w:t>
      </w:r>
    </w:p>
    <w:p>
      <w:pPr>
        <w:pStyle w:val="BodyText"/>
      </w:pPr>
      <w:r>
        <w:t xml:space="preserve">In Vijayapura, 98% of teachers agreed that training helps them adopt new methods (Study 92). Graduate Primary Teachers in Tumakuru, however, named workload, non-teaching duties and shortages of materials as barriers (Study 165).</w:t>
      </w:r>
    </w:p>
    <w:p>
      <w:pPr>
        <w:pStyle w:val="BodyText"/>
      </w:pPr>
      <w:r>
        <w:rPr>
          <w:bCs/>
          <w:b/>
        </w:rPr>
        <w:t xml:space="preserve">B. Equal opportunity: the children still left behind</w:t>
      </w:r>
    </w:p>
    <w:p>
      <w:pPr>
        <w:pStyle w:val="BodyText"/>
      </w:pPr>
      <w:r>
        <w:rPr>
          <w:iCs/>
          <w:i/>
          <w:bCs/>
          <w:b/>
        </w:rPr>
        <w:t xml:space="preserve">6. Inclusion, equity and access (17 studies)</w:t>
      </w:r>
    </w:p>
    <w:p>
      <w:pPr>
        <w:numPr>
          <w:ilvl w:val="0"/>
          <w:numId w:val="1002"/>
        </w:numPr>
        <w:pStyle w:val="Compact"/>
      </w:pPr>
      <w:r>
        <w:rPr>
          <w:bCs/>
          <w:b/>
        </w:rPr>
        <w:t xml:space="preserve">Poverty.</w:t>
      </w:r>
      <w:r>
        <w:t xml:space="preserve"> </w:t>
      </w:r>
      <w:r>
        <w:t xml:space="preserve">In Bagalkote, 75% of the children who dropped out came from low-income families, and lack of money was the main reason (40%) (Study 10).</w:t>
      </w:r>
    </w:p>
    <w:p>
      <w:pPr>
        <w:numPr>
          <w:ilvl w:val="0"/>
          <w:numId w:val="1002"/>
        </w:numPr>
        <w:pStyle w:val="Compact"/>
      </w:pPr>
      <w:r>
        <w:rPr>
          <w:bCs/>
          <w:b/>
        </w:rPr>
        <w:t xml:space="preserve">Language.</w:t>
      </w:r>
      <w:r>
        <w:t xml:space="preserve"> </w:t>
      </w:r>
      <w:r>
        <w:t xml:space="preserve">In Hassan, over 60% of tribal students struggled to understand lessons because the medium of instruction differed from their home dialects (Study 125).</w:t>
      </w:r>
    </w:p>
    <w:p>
      <w:pPr>
        <w:numPr>
          <w:ilvl w:val="0"/>
          <w:numId w:val="1002"/>
        </w:numPr>
        <w:pStyle w:val="Compact"/>
      </w:pPr>
      <w:r>
        <w:rPr>
          <w:bCs/>
          <w:b/>
        </w:rPr>
        <w:t xml:space="preserve">Disability.</w:t>
      </w:r>
      <w:r>
        <w:t xml:space="preserve"> </w:t>
      </w:r>
      <w:r>
        <w:t xml:space="preserve">A study in Bengaluru city found 1,676 children with special needs in Classes 1 to 10, of whom 232 were home-based (Study 41).</w:t>
      </w:r>
    </w:p>
    <w:p>
      <w:pPr>
        <w:numPr>
          <w:ilvl w:val="0"/>
          <w:numId w:val="1002"/>
        </w:numPr>
        <w:pStyle w:val="Compact"/>
      </w:pPr>
      <w:r>
        <w:rPr>
          <w:bCs/>
          <w:b/>
        </w:rPr>
        <w:t xml:space="preserve">Gender.</w:t>
      </w:r>
      <w:r>
        <w:t xml:space="preserve"> </w:t>
      </w:r>
      <w:r>
        <w:t xml:space="preserve">In Chikkaballapur, girls’ enrolment had reached parity, but their retention fell in the higher grades, and teachers’ unconscious biases reinforced traditional gender roles (Study 52).</w:t>
      </w:r>
    </w:p>
    <w:p>
      <w:pPr>
        <w:pStyle w:val="FirstParagraph"/>
      </w:pPr>
      <w:r>
        <w:rPr>
          <w:iCs/>
          <w:i/>
          <w:bCs/>
          <w:b/>
        </w:rPr>
        <w:t xml:space="preserve">7. Gaps between schools and languages, seen in other themes</w:t>
      </w:r>
    </w:p>
    <w:p>
      <w:pPr>
        <w:numPr>
          <w:ilvl w:val="0"/>
          <w:numId w:val="1003"/>
        </w:numPr>
        <w:pStyle w:val="Compact"/>
      </w:pPr>
      <w:r>
        <w:rPr>
          <w:bCs/>
          <w:b/>
        </w:rPr>
        <w:t xml:space="preserve">Primary schools lag in technology.</w:t>
      </w:r>
      <w:r>
        <w:t xml:space="preserve"> </w:t>
      </w:r>
      <w:r>
        <w:t xml:space="preserve">In Bagalkote, technology use was 72.94% in high schools but only 27.06% in primary schools (Study 14).</w:t>
      </w:r>
    </w:p>
    <w:p>
      <w:pPr>
        <w:numPr>
          <w:ilvl w:val="0"/>
          <w:numId w:val="1003"/>
        </w:numPr>
        <w:pStyle w:val="Compact"/>
      </w:pPr>
      <w:r>
        <w:rPr>
          <w:bCs/>
          <w:b/>
        </w:rPr>
        <w:t xml:space="preserve">Minority-language teachers have fewer resources.</w:t>
      </w:r>
      <w:r>
        <w:t xml:space="preserve"> </w:t>
      </w:r>
      <w:r>
        <w:t xml:space="preserve">Teachers of Marathi and Urdu had fewer resources than teachers of Kannada, English and Hindi (Study 4).</w:t>
      </w:r>
    </w:p>
    <w:p>
      <w:pPr>
        <w:numPr>
          <w:ilvl w:val="0"/>
          <w:numId w:val="1003"/>
        </w:numPr>
        <w:pStyle w:val="Compact"/>
      </w:pPr>
      <w:r>
        <w:rPr>
          <w:bCs/>
          <w:b/>
        </w:rPr>
        <w:t xml:space="preserve">Scholarships help.</w:t>
      </w:r>
      <w:r>
        <w:t xml:space="preserve"> </w:t>
      </w:r>
      <w:r>
        <w:t xml:space="preserve">In Tumakuru, every recipient of the National Means-cum-Merit Scholarship said that it had helped their education (Study 82).</w:t>
      </w:r>
    </w:p>
    <w:p>
      <w:pPr>
        <w:pStyle w:val="FirstParagraph"/>
      </w:pPr>
      <w:r>
        <w:rPr>
          <w:bCs/>
          <w:b/>
        </w:rPr>
        <w:t xml:space="preserve">C. The whole child, the school and the community</w:t>
      </w:r>
    </w:p>
    <w:p>
      <w:pPr>
        <w:pStyle w:val="BodyText"/>
      </w:pPr>
      <w:r>
        <w:rPr>
          <w:iCs/>
          <w:i/>
          <w:bCs/>
          <w:b/>
        </w:rPr>
        <w:t xml:space="preserve">8. Health, wellbeing, sports and values (22 studies)</w:t>
      </w:r>
    </w:p>
    <w:p>
      <w:pPr>
        <w:pStyle w:val="BodyText"/>
      </w:pPr>
      <w:r>
        <w:t xml:space="preserve">In Kalaburagi, 51.25% of the students sampled reported stress, mainly from academic pressure, and urban students reported more stress than rural students (Study 65). In Uttara Kannada, physical education suffers from poor infrastructure and a shortage of trained teachers, with about 2,120 posts vacant across the State (Study 90). In Chamarajanagar, sports grants were spent mainly on equipment (Study 48). In Bagalkote, only 9.5% of teachers showed full awareness of digital safety (Study 14).</w:t>
      </w:r>
    </w:p>
    <w:p>
      <w:pPr>
        <w:pStyle w:val="BodyText"/>
      </w:pPr>
      <w:r>
        <w:rPr>
          <w:iCs/>
          <w:i/>
          <w:bCs/>
          <w:b/>
        </w:rPr>
        <w:t xml:space="preserve">9. Early childhood, transitions and skills (13 studies)</w:t>
      </w:r>
    </w:p>
    <w:p>
      <w:pPr>
        <w:pStyle w:val="BodyText"/>
      </w:pPr>
      <w:r>
        <w:t xml:space="preserve">In Bagalkote, a skills programme brought significant gains in attendance and in skills-oriented subjects (Study 13), and 78% of students reported better practical and vocational skills (Study 107).</w:t>
      </w:r>
    </w:p>
    <w:p>
      <w:pPr>
        <w:pStyle w:val="BodyText"/>
      </w:pPr>
      <w:r>
        <w:rPr>
          <w:iCs/>
          <w:i/>
          <w:bCs/>
          <w:b/>
        </w:rPr>
        <w:t xml:space="preserve">10. School governance, community and supervision (17 studies)</w:t>
      </w:r>
    </w:p>
    <w:p>
      <w:pPr>
        <w:pStyle w:val="BodyText"/>
      </w:pPr>
      <w:r>
        <w:t xml:space="preserve">In Bagalkote, 75% of sampled schools received community contributions, mostly in money (Study 6). In Ballari, schools with functional committees had better infrastructure and classroom practice (Study 20). In Vijayapura, about 97% of committee members had been trained (Study 98). In Hassan, 90% of headmasters considered progress review meetings a key means of improving SSLC results (Study 131).</w:t>
      </w:r>
    </w:p>
    <w:p>
      <w:pPr>
        <w:pStyle w:val="BodyText"/>
      </w:pPr>
      <w:r>
        <w:rPr>
          <w:bCs/>
          <w:b/>
        </w:rPr>
        <w:t xml:space="preserve">D. What the evidence says about the State’s five strategies for 2026-27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State strategy, 2026-27</w:t>
            </w:r>
          </w:p>
        </w:tc>
        <w:tc>
          <w:tcPr/>
          <w:p>
            <w:pPr>
              <w:pStyle w:val="Compact"/>
              <w:jc w:val="left"/>
            </w:pPr>
            <w:r>
              <w:rPr>
                <w:bCs/>
                <w:b/>
              </w:rPr>
              <w:t xml:space="preserve">What the research shows</w:t>
            </w:r>
          </w:p>
        </w:tc>
        <w:tc>
          <w:tcPr/>
          <w:p>
            <w:pPr>
              <w:pStyle w:val="Compact"/>
              <w:jc w:val="left"/>
            </w:pPr>
            <w:r>
              <w:rPr>
                <w:bCs/>
                <w:b/>
              </w:rPr>
              <w:t xml:space="preserve">Implication</w:t>
            </w:r>
          </w:p>
        </w:tc>
      </w:tr>
      <w:tr>
        <w:tc>
          <w:tcPr/>
          <w:p>
            <w:pPr>
              <w:pStyle w:val="Compact"/>
              <w:jc w:val="left"/>
            </w:pPr>
            <w:r>
              <w:t xml:space="preserve">1. Equal opportunity through learning recovery and continuous assessment (Sethubandha, LBA)</w:t>
            </w:r>
          </w:p>
        </w:tc>
        <w:tc>
          <w:tcPr/>
          <w:p>
            <w:pPr>
              <w:pStyle w:val="Compact"/>
              <w:jc w:val="left"/>
            </w:pPr>
            <w:r>
              <w:t xml:space="preserve">FLN gains in Grade 3 fade in Grades 6 and 9, especially in Mathematics and Science (Study 120)</w:t>
            </w:r>
          </w:p>
        </w:tc>
        <w:tc>
          <w:tcPr/>
          <w:p>
            <w:pPr>
              <w:pStyle w:val="Compact"/>
              <w:jc w:val="left"/>
            </w:pPr>
            <w:r>
              <w:t xml:space="preserve">Continue tracking each child’s learning beyond Grade 3; study whether Sethubandha and LBA sustain gains in the upper grades</w:t>
            </w:r>
          </w:p>
        </w:tc>
      </w:tr>
      <w:tr>
        <w:tc>
          <w:tcPr/>
          <w:p>
            <w:pPr>
              <w:pStyle w:val="Compact"/>
              <w:jc w:val="left"/>
            </w:pPr>
            <w:r>
              <w:t xml:space="preserve">2. Bilingual education and the KPS programme</w:t>
            </w:r>
          </w:p>
        </w:tc>
        <w:tc>
          <w:tcPr/>
          <w:p>
            <w:pPr>
              <w:pStyle w:val="Compact"/>
              <w:jc w:val="left"/>
            </w:pPr>
            <w:r>
              <w:t xml:space="preserve">EMTIP training raised teachers’ confidence in teaching through English from 38% to 84% (Study 7); English Nali Kali improved speaking and vocabulary (Study 28); over 60% of tribal students struggled when the medium of instruction differed from their home dialect (Study 125)</w:t>
            </w:r>
          </w:p>
        </w:tc>
        <w:tc>
          <w:tcPr/>
          <w:p>
            <w:pPr>
              <w:pStyle w:val="Compact"/>
              <w:jc w:val="left"/>
            </w:pPr>
            <w:r>
              <w:t xml:space="preserve">Pair English training with classroom follow-up; give tribal and minority-language children bridge material in their home languages</w:t>
            </w:r>
          </w:p>
        </w:tc>
      </w:tr>
      <w:tr>
        <w:tc>
          <w:tcPr/>
          <w:p>
            <w:pPr>
              <w:pStyle w:val="Compact"/>
              <w:jc w:val="left"/>
            </w:pPr>
            <w:r>
              <w:t xml:space="preserve">3. Value education, life skills and skill education</w:t>
            </w:r>
          </w:p>
        </w:tc>
        <w:tc>
          <w:tcPr/>
          <w:p>
            <w:pPr>
              <w:pStyle w:val="Compact"/>
              <w:jc w:val="left"/>
            </w:pPr>
            <w:r>
              <w:t xml:space="preserve">51.25% of sampled students reported stress (Study 65); a skills programme improved attendance and achievement (Study 13), and 78% of students reported better vocational skills (Study 107)</w:t>
            </w:r>
          </w:p>
        </w:tc>
        <w:tc>
          <w:tcPr/>
          <w:p>
            <w:pPr>
              <w:pStyle w:val="Compact"/>
              <w:jc w:val="left"/>
            </w:pPr>
            <w:r>
              <w:t xml:space="preserve">Include wellbeing in value education; extend skills-based approaches with evaluation</w:t>
            </w:r>
          </w:p>
        </w:tc>
      </w:tr>
      <w:tr>
        <w:tc>
          <w:tcPr/>
          <w:p>
            <w:pPr>
              <w:pStyle w:val="Compact"/>
              <w:jc w:val="left"/>
            </w:pPr>
            <w:r>
              <w:t xml:space="preserve">4. Digital safety and fewer digital distractions</w:t>
            </w:r>
          </w:p>
        </w:tc>
        <w:tc>
          <w:tcPr/>
          <w:p>
            <w:pPr>
              <w:pStyle w:val="Compact"/>
              <w:jc w:val="left"/>
            </w:pPr>
            <w:r>
              <w:t xml:space="preserve">Only 9.5% of teachers showed full awareness of digital safety (Study 14); YouTube and WhatsApp are the main teaching platforms (Study 1)</w:t>
            </w:r>
          </w:p>
        </w:tc>
        <w:tc>
          <w:tcPr/>
          <w:p>
            <w:pPr>
              <w:pStyle w:val="Compact"/>
              <w:jc w:val="left"/>
            </w:pPr>
            <w:r>
              <w:t xml:space="preserve">Train teachers in digital safety before scaling up digital content</w:t>
            </w:r>
          </w:p>
        </w:tc>
      </w:tr>
      <w:tr>
        <w:tc>
          <w:tcPr/>
          <w:p>
            <w:pPr>
              <w:pStyle w:val="Compact"/>
              <w:jc w:val="left"/>
            </w:pPr>
            <w:r>
              <w:t xml:space="preserve">5. Monograde teaching for parity</w:t>
            </w:r>
          </w:p>
        </w:tc>
        <w:tc>
          <w:tcPr/>
          <w:p>
            <w:pPr>
              <w:pStyle w:val="Compact"/>
              <w:jc w:val="left"/>
            </w:pPr>
            <w:r>
              <w:t xml:space="preserve">Large classes and multigrade teaching limited activity-based learning in mathematics (Study 2)</w:t>
            </w:r>
          </w:p>
        </w:tc>
        <w:tc>
          <w:tcPr/>
          <w:p>
            <w:pPr>
              <w:pStyle w:val="Compact"/>
              <w:jc w:val="left"/>
            </w:pPr>
            <w:r>
              <w:t xml:space="preserve">Evaluate learning in schools that move from multigrade to monograde teaching</w:t>
            </w:r>
          </w:p>
        </w:tc>
      </w:tr>
    </w:tbl>
    <w:p>
      <w:pPr>
        <w:pStyle w:val="BodyText"/>
      </w:pPr>
      <w:r>
        <w:rPr>
          <w:iCs/>
          <w:i/>
          <w:bCs/>
          <w:b/>
        </w:rPr>
        <w:t xml:space="preserve">The 2026-27 research plan</w:t>
      </w:r>
    </w:p>
    <w:p>
      <w:pPr>
        <w:pStyle w:val="BodyText"/>
      </w:pPr>
      <w:r>
        <w:t xml:space="preserve">The tracker for 2026-27 covers 329 studies, each tagged to one of eighteen research areas, among them foundational literacy and numeracy, teacher professional development, ICT, inclusion and early childhood education. Duplicate and near-duplicate titles are flagged in a duplication register, and every proposal is checked against a coverage matrix of districts and research areas. These controls respond to a weakness seen in the earlier years (Section III).</w:t>
      </w:r>
    </w:p>
    <w:p>
      <w:pPr>
        <w:pStyle w:val="BodyText"/>
      </w:pPr>
      <w:r>
        <w:rPr>
          <w:bCs/>
          <w:b/>
        </w:rPr>
        <w:t xml:space="preserve">III. Challenges</w:t>
      </w:r>
    </w:p>
    <w:p>
      <w:pPr>
        <w:pStyle w:val="BodyText"/>
      </w:pPr>
      <w:r>
        <w:rPr>
          <w:bCs/>
          <w:b/>
        </w:rPr>
        <w:t xml:space="preserve">Challenges to quality</w:t>
      </w:r>
    </w:p>
    <w:p>
      <w:pPr>
        <w:numPr>
          <w:ilvl w:val="0"/>
          <w:numId w:val="1004"/>
        </w:numPr>
        <w:pStyle w:val="Compact"/>
      </w:pPr>
      <w:r>
        <w:rPr>
          <w:bCs/>
          <w:b/>
        </w:rPr>
        <w:t xml:space="preserve">Facilities supplied but not used.</w:t>
      </w:r>
      <w:r>
        <w:t xml:space="preserve"> </w:t>
      </w:r>
      <w:r>
        <w:t xml:space="preserve">Laboratory rooms and equipment exist, yet they are used irregularly (Studies 11 and 30).</w:t>
      </w:r>
    </w:p>
    <w:p>
      <w:pPr>
        <w:numPr>
          <w:ilvl w:val="0"/>
          <w:numId w:val="1004"/>
        </w:numPr>
        <w:pStyle w:val="Compact"/>
      </w:pPr>
      <w:r>
        <w:rPr>
          <w:bCs/>
          <w:b/>
        </w:rPr>
        <w:t xml:space="preserve">Training without classroom support.</w:t>
      </w:r>
      <w:r>
        <w:t xml:space="preserve"> </w:t>
      </w:r>
      <w:r>
        <w:t xml:space="preserve">Teachers value training (Study 92), but the lack of classroom follow-up, heavy workload and non-teaching duties limit its effect (Study 165). Not all teachers in a programme are trained (Study 40).</w:t>
      </w:r>
    </w:p>
    <w:p>
      <w:pPr>
        <w:numPr>
          <w:ilvl w:val="0"/>
          <w:numId w:val="1004"/>
        </w:numPr>
        <w:pStyle w:val="Compact"/>
      </w:pPr>
      <w:r>
        <w:rPr>
          <w:bCs/>
          <w:b/>
        </w:rPr>
        <w:t xml:space="preserve">Learning gains that fade after the foundational stage.</w:t>
      </w:r>
      <w:r>
        <w:t xml:space="preserve"> </w:t>
      </w:r>
      <w:r>
        <w:t xml:space="preserve">Gains in Grade 3 are not sustained in Grades 6 and 9 (Study 120).</w:t>
      </w:r>
    </w:p>
    <w:p>
      <w:pPr>
        <w:pStyle w:val="FirstParagraph"/>
      </w:pPr>
      <w:r>
        <w:rPr>
          <w:bCs/>
          <w:b/>
        </w:rPr>
        <w:t xml:space="preserve">Challenges to equal opportunity</w:t>
      </w:r>
    </w:p>
    <w:p>
      <w:pPr>
        <w:numPr>
          <w:ilvl w:val="0"/>
          <w:numId w:val="1005"/>
        </w:numPr>
        <w:pStyle w:val="Compact"/>
      </w:pPr>
      <w:r>
        <w:rPr>
          <w:bCs/>
          <w:b/>
        </w:rPr>
        <w:t xml:space="preserve">Persistent inclusion gaps.</w:t>
      </w:r>
      <w:r>
        <w:t xml:space="preserve"> </w:t>
      </w:r>
      <w:r>
        <w:t xml:space="preserve">The language gap for tribal learners (Study 125), home-based children with special needs (Study 41), falling retention of girls in the higher grades (Study 52) and dropout caused by poverty (Study 10) remain unresolved.</w:t>
      </w:r>
    </w:p>
    <w:p>
      <w:pPr>
        <w:numPr>
          <w:ilvl w:val="0"/>
          <w:numId w:val="1005"/>
        </w:numPr>
        <w:pStyle w:val="Compact"/>
      </w:pPr>
      <w:r>
        <w:rPr>
          <w:bCs/>
          <w:b/>
        </w:rPr>
        <w:t xml:space="preserve">Unequal access to technology and learning resources.</w:t>
      </w:r>
      <w:r>
        <w:t xml:space="preserve"> </w:t>
      </w:r>
      <w:r>
        <w:t xml:space="preserve">Primary schools use technology far less than high schools (Study 14), and minority-language teachers have fewer resources (Study 4).</w:t>
      </w:r>
    </w:p>
    <w:p>
      <w:pPr>
        <w:pStyle w:val="FirstParagraph"/>
      </w:pPr>
      <w:r>
        <w:rPr>
          <w:bCs/>
          <w:b/>
        </w:rPr>
        <w:t xml:space="preserve">Challenges in the research system</w:t>
      </w:r>
    </w:p>
    <w:p>
      <w:pPr>
        <w:numPr>
          <w:ilvl w:val="0"/>
          <w:numId w:val="1006"/>
        </w:numPr>
        <w:pStyle w:val="Compact"/>
      </w:pPr>
      <w:r>
        <w:rPr>
          <w:bCs/>
          <w:b/>
        </w:rPr>
        <w:t xml:space="preserve">Duplication without comparison.</w:t>
      </w:r>
      <w:r>
        <w:t xml:space="preserve"> </w:t>
      </w:r>
      <w:r>
        <w:t xml:space="preserve">The technology-integration title appears in three studies (Studies 1, 14 and 32), sixteen titles deal with laboratories, eight with TALP and fourteen with FLN. Repeating a study is useful only when samples are pooled or designed for comparison.</w:t>
      </w:r>
    </w:p>
    <w:p>
      <w:pPr>
        <w:numPr>
          <w:ilvl w:val="0"/>
          <w:numId w:val="1006"/>
        </w:numPr>
        <w:pStyle w:val="Compact"/>
      </w:pPr>
      <w:r>
        <w:rPr>
          <w:bCs/>
          <w:b/>
        </w:rPr>
        <w:t xml:space="preserve">Weak research designs.</w:t>
      </w:r>
      <w:r>
        <w:t xml:space="preserve"> </w:t>
      </w:r>
      <w:r>
        <w:t xml:space="preserve">Most studies are small surveys in a single district, reporting percentages of respondents’ opinions, with few baseline or control-group comparisons.</w:t>
      </w:r>
    </w:p>
    <w:p>
      <w:pPr>
        <w:numPr>
          <w:ilvl w:val="0"/>
          <w:numId w:val="1006"/>
        </w:numPr>
        <w:pStyle w:val="Compact"/>
      </w:pPr>
      <w:r>
        <w:rPr>
          <w:bCs/>
          <w:b/>
        </w:rPr>
        <w:t xml:space="preserve">Capacity and funding.</w:t>
      </w:r>
      <w:r>
        <w:t xml:space="preserve"> </w:t>
      </w:r>
      <w:r>
        <w:t xml:space="preserve">The researchers are teacher educators with heavy academic duties, and funds per study are modest.</w:t>
      </w:r>
    </w:p>
    <w:p>
      <w:pPr>
        <w:numPr>
          <w:ilvl w:val="0"/>
          <w:numId w:val="1006"/>
        </w:numPr>
        <w:pStyle w:val="Compact"/>
      </w:pPr>
      <w:r>
        <w:rPr>
          <w:bCs/>
          <w:b/>
        </w:rPr>
        <w:t xml:space="preserve">No formal link from evidence to action.</w:t>
      </w:r>
      <w:r>
        <w:t xml:space="preserve"> </w:t>
      </w:r>
      <w:r>
        <w:t xml:space="preserve">No department, Samagra Shiksha unit or district officer is yet required to respond to a finding.</w:t>
      </w:r>
    </w:p>
    <w:p>
      <w:pPr>
        <w:pStyle w:val="FirstParagraph"/>
      </w:pPr>
      <w:r>
        <w:rPr>
          <w:bCs/>
          <w:b/>
        </w:rPr>
        <w:t xml:space="preserve">IV. Possible Solutions</w:t>
      </w:r>
    </w:p>
    <w:p>
      <w:pPr>
        <w:pStyle w:val="BodyText"/>
      </w:pPr>
      <w:r>
        <w:rPr>
          <w:bCs/>
          <w:b/>
        </w:rPr>
        <w:t xml:space="preserve">For quality</w:t>
      </w:r>
    </w:p>
    <w:p>
      <w:pPr>
        <w:numPr>
          <w:ilvl w:val="0"/>
          <w:numId w:val="1007"/>
        </w:numPr>
        <w:pStyle w:val="Compact"/>
      </w:pPr>
      <w:r>
        <w:rPr>
          <w:bCs/>
          <w:b/>
        </w:rPr>
        <w:t xml:space="preserve">Make facilities work.</w:t>
      </w:r>
      <w:r>
        <w:t xml:space="preserve"> </w:t>
      </w:r>
      <w:r>
        <w:t xml:space="preserve">Bring the use of science laboratories, ATLs and NSQF laboratories under one monitoring format, and act on equipment gaps (Studies 11 and 30) through the Samagra Shiksha annual work plans.</w:t>
      </w:r>
    </w:p>
    <w:p>
      <w:pPr>
        <w:numPr>
          <w:ilvl w:val="0"/>
          <w:numId w:val="1007"/>
        </w:numPr>
        <w:pStyle w:val="Compact"/>
      </w:pPr>
      <w:r>
        <w:rPr>
          <w:bCs/>
          <w:b/>
        </w:rPr>
        <w:t xml:space="preserve">Follow training into the classroom.</w:t>
      </w:r>
      <w:r>
        <w:t xml:space="preserve"> </w:t>
      </w:r>
      <w:r>
        <w:t xml:space="preserve">Link the use of digital content on DIKSHA and TALP to teacher training, train every teacher in a programme (Study 40), and reduce non-teaching duties (Study 165).</w:t>
      </w:r>
    </w:p>
    <w:p>
      <w:pPr>
        <w:pStyle w:val="FirstParagraph"/>
      </w:pPr>
      <w:r>
        <w:rPr>
          <w:bCs/>
          <w:b/>
        </w:rPr>
        <w:t xml:space="preserve">For equal opportunity</w:t>
      </w:r>
    </w:p>
    <w:p>
      <w:pPr>
        <w:numPr>
          <w:ilvl w:val="0"/>
          <w:numId w:val="1008"/>
        </w:numPr>
        <w:pStyle w:val="Compact"/>
      </w:pPr>
      <w:r>
        <w:rPr>
          <w:bCs/>
          <w:b/>
        </w:rPr>
        <w:t xml:space="preserve">Teach in the child’s language.</w:t>
      </w:r>
      <w:r>
        <w:t xml:space="preserve"> </w:t>
      </w:r>
      <w:r>
        <w:t xml:space="preserve">Offer instruction in tribal learners’ home languages and bridge material in the early grades (Study 125), and give minority-language teachers adequate resources (Study 4).</w:t>
      </w:r>
    </w:p>
    <w:p>
      <w:pPr>
        <w:numPr>
          <w:ilvl w:val="0"/>
          <w:numId w:val="1008"/>
        </w:numPr>
        <w:pStyle w:val="Compact"/>
      </w:pPr>
      <w:r>
        <w:rPr>
          <w:bCs/>
          <w:b/>
        </w:rPr>
        <w:t xml:space="preserve">Reach every child with special needs.</w:t>
      </w:r>
      <w:r>
        <w:t xml:space="preserve"> </w:t>
      </w:r>
      <w:r>
        <w:t xml:space="preserve">Identify and support home-based children with special needs through Samagra Shiksha inclusive education (Study 41).</w:t>
      </w:r>
    </w:p>
    <w:p>
      <w:pPr>
        <w:numPr>
          <w:ilvl w:val="0"/>
          <w:numId w:val="1008"/>
        </w:numPr>
        <w:pStyle w:val="Compact"/>
      </w:pPr>
      <w:r>
        <w:rPr>
          <w:bCs/>
          <w:b/>
        </w:rPr>
        <w:t xml:space="preserve">Keep girls and poor children in school.</w:t>
      </w:r>
      <w:r>
        <w:t xml:space="preserve"> </w:t>
      </w:r>
      <w:r>
        <w:t xml:space="preserve">Track girls’ retention in Grades 8 to 10 (Study 52), and use scholarships and incentives to prevent dropout caused by poverty (Studies 10 and 82).</w:t>
      </w:r>
    </w:p>
    <w:p>
      <w:pPr>
        <w:pStyle w:val="FirstParagraph"/>
      </w:pPr>
      <w:r>
        <w:rPr>
          <w:bCs/>
          <w:b/>
        </w:rPr>
        <w:t xml:space="preserve">For the research system</w:t>
      </w:r>
    </w:p>
    <w:p>
      <w:pPr>
        <w:numPr>
          <w:ilvl w:val="0"/>
          <w:numId w:val="1009"/>
        </w:numPr>
        <w:pStyle w:val="Compact"/>
      </w:pPr>
      <w:r>
        <w:rPr>
          <w:bCs/>
          <w:b/>
        </w:rPr>
        <w:t xml:space="preserve">A shared agenda and pooled samples.</w:t>
      </w:r>
      <w:r>
        <w:t xml:space="preserve"> </w:t>
      </w:r>
      <w:r>
        <w:t xml:space="preserve">Set a State research agenda each year with a few statewide questions tied to the five strategies, such as whether FLN gains last beyond Grade 3, how bilingual instruction affects tribal and minority-language children, and how laboratories are used. Districts would take part with a common tool and a pooled sample.</w:t>
      </w:r>
    </w:p>
    <w:p>
      <w:pPr>
        <w:numPr>
          <w:ilvl w:val="0"/>
          <w:numId w:val="1009"/>
        </w:numPr>
        <w:pStyle w:val="Compact"/>
      </w:pPr>
      <w:r>
        <w:rPr>
          <w:bCs/>
          <w:b/>
        </w:rPr>
        <w:t xml:space="preserve">Controls on coverage and duplication.</w:t>
      </w:r>
      <w:r>
        <w:t xml:space="preserve"> </w:t>
      </w:r>
      <w:r>
        <w:t xml:space="preserve">Use the coverage matrix and duplication register, already in place for 2026-27, when approving proposals.</w:t>
      </w:r>
    </w:p>
    <w:p>
      <w:pPr>
        <w:numPr>
          <w:ilvl w:val="0"/>
          <w:numId w:val="1009"/>
        </w:numPr>
        <w:pStyle w:val="Compact"/>
      </w:pPr>
      <w:r>
        <w:rPr>
          <w:bCs/>
          <w:b/>
        </w:rPr>
        <w:t xml:space="preserve">Stronger designs.</w:t>
      </w:r>
      <w:r>
        <w:t xml:space="preserve"> </w:t>
      </w:r>
      <w:r>
        <w:t xml:space="preserve">For flagship programmes, move to baseline-endline and comparison-group designs, as Study 18 did, with DSERT providing templates and review.</w:t>
      </w:r>
    </w:p>
    <w:p>
      <w:pPr>
        <w:numPr>
          <w:ilvl w:val="0"/>
          <w:numId w:val="1009"/>
        </w:numPr>
        <w:pStyle w:val="Compact"/>
      </w:pPr>
      <w:r>
        <w:rPr>
          <w:bCs/>
          <w:b/>
        </w:rPr>
        <w:t xml:space="preserve">Follow-up on findings.</w:t>
      </w:r>
      <w:r>
        <w:t xml:space="preserve"> </w:t>
      </w:r>
      <w:r>
        <w:t xml:space="preserve">Assign each finding to a named officer with a date for response.</w:t>
      </w:r>
    </w:p>
    <w:p>
      <w:pPr>
        <w:numPr>
          <w:ilvl w:val="0"/>
          <w:numId w:val="1009"/>
        </w:numPr>
        <w:pStyle w:val="Compact"/>
      </w:pPr>
      <w:r>
        <w:rPr>
          <w:bCs/>
          <w:b/>
        </w:rPr>
        <w:t xml:space="preserve">Building researchers’ capacity.</w:t>
      </w:r>
      <w:r>
        <w:t xml:space="preserve"> </w:t>
      </w:r>
      <w:r>
        <w:t xml:space="preserve">Train DIET faculty in research design and analysis, and set up a small peer-review panel at State level.</w:t>
      </w:r>
    </w:p>
    <w:p>
      <w:pPr>
        <w:pStyle w:val="FirstParagraph"/>
      </w:pPr>
      <w:r>
        <w:rPr>
          <w:bCs/>
          <w:b/>
        </w:rPr>
        <w:t xml:space="preserve">V. Best Practices</w:t>
      </w:r>
    </w:p>
    <w:p>
      <w:pPr>
        <w:pStyle w:val="BodyText"/>
      </w:pPr>
      <w:r>
        <w:rPr>
          <w:bCs/>
          <w:b/>
        </w:rPr>
        <w:t xml:space="preserve">Raising quality</w:t>
      </w:r>
    </w:p>
    <w:p>
      <w:pPr>
        <w:numPr>
          <w:ilvl w:val="0"/>
          <w:numId w:val="1010"/>
        </w:numPr>
        <w:pStyle w:val="Compact"/>
      </w:pPr>
      <w:r>
        <w:t xml:space="preserve">Ballari tested the Ganitha Kalika Andolana kits with an experimental and control design and reported significant gains (Study 18).</w:t>
      </w:r>
    </w:p>
    <w:p>
      <w:pPr>
        <w:numPr>
          <w:ilvl w:val="0"/>
          <w:numId w:val="1010"/>
        </w:numPr>
        <w:pStyle w:val="Compact"/>
      </w:pPr>
      <w:r>
        <w:t xml:space="preserve">In Bagalkote, EMTIP training raised teachers’ confidence in teaching through English from 38% to 84% (Study 7).</w:t>
      </w:r>
    </w:p>
    <w:p>
      <w:pPr>
        <w:numPr>
          <w:ilvl w:val="0"/>
          <w:numId w:val="1010"/>
        </w:numPr>
        <w:pStyle w:val="Compact"/>
      </w:pPr>
      <w:r>
        <w:t xml:space="preserve">Bengaluru Rural documented gains in speaking and vocabulary under English Nali Kali (Study 28), and reading outcomes under the Room to Read programmes (Studies 34, 35 and 39).</w:t>
      </w:r>
    </w:p>
    <w:p>
      <w:pPr>
        <w:numPr>
          <w:ilvl w:val="0"/>
          <w:numId w:val="1010"/>
        </w:numPr>
        <w:pStyle w:val="Compact"/>
      </w:pPr>
      <w:r>
        <w:t xml:space="preserve">Chitradurga’s Natyaananda Science Laboratory combined theatre-based learning with experiments (Study 61).</w:t>
      </w:r>
    </w:p>
    <w:p>
      <w:pPr>
        <w:pStyle w:val="FirstParagraph"/>
      </w:pPr>
      <w:r>
        <w:rPr>
          <w:bCs/>
          <w:b/>
        </w:rPr>
        <w:t xml:space="preserve">Widening opportunity</w:t>
      </w:r>
    </w:p>
    <w:p>
      <w:pPr>
        <w:numPr>
          <w:ilvl w:val="0"/>
          <w:numId w:val="1011"/>
        </w:numPr>
        <w:pStyle w:val="Compact"/>
      </w:pPr>
      <w:r>
        <w:t xml:space="preserve">In Bagalkote, a skills-based approach improved attendance and achievement in skills-oriented subjects (Study 13).</w:t>
      </w:r>
    </w:p>
    <w:p>
      <w:pPr>
        <w:numPr>
          <w:ilvl w:val="0"/>
          <w:numId w:val="1011"/>
        </w:numPr>
        <w:pStyle w:val="Compact"/>
      </w:pPr>
      <w:r>
        <w:t xml:space="preserve">Ballari found that functional and transparent School Development and Monitoring Committees go together with better infrastructure and greater trust (Study 20). Hassan used progress review meetings to raise SSLC results (Study 131).</w:t>
      </w:r>
    </w:p>
    <w:p>
      <w:pPr>
        <w:pStyle w:val="FirstParagraph"/>
      </w:pPr>
      <w:r>
        <w:rPr>
          <w:bCs/>
          <w:b/>
        </w:rPr>
        <w:t xml:space="preserve">Building the evidence system</w:t>
      </w:r>
    </w:p>
    <w:p>
      <w:pPr>
        <w:numPr>
          <w:ilvl w:val="0"/>
          <w:numId w:val="1012"/>
        </w:numPr>
        <w:pStyle w:val="Compact"/>
      </w:pPr>
      <w:r>
        <w:t xml:space="preserve">DSERT now keeps a research tracker with a coverage matrix, a proposal register, a duplication register and a budget tracker, and prepares an annual compendium of abstracts. Other States can adopt this administrative practice.</w:t>
      </w:r>
    </w:p>
    <w:p>
      <w:pPr>
        <w:pStyle w:val="FirstParagraph"/>
      </w:pPr>
      <w:r>
        <w:rPr>
          <w:iCs/>
          <w:i/>
        </w:rPr>
        <w:t xml:space="preserve">International experience of research-practice partnerships and evidence clearing houses may be added by the nodal Ministry.</w:t>
      </w:r>
    </w:p>
    <w:p>
      <w:pPr>
        <w:pStyle w:val="BodyText"/>
      </w:pPr>
      <w:r>
        <w:rPr>
          <w:bCs/>
          <w:b/>
        </w:rPr>
        <w:t xml:space="preserve">VI. Priority Areas (2027-2031)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Priority area</w:t>
            </w:r>
          </w:p>
        </w:tc>
        <w:tc>
          <w:tcPr/>
          <w:p>
            <w:pPr>
              <w:pStyle w:val="Compact"/>
              <w:jc w:val="left"/>
            </w:pPr>
            <w:r>
              <w:rPr>
                <w:bCs/>
                <w:b/>
              </w:rPr>
              <w:t xml:space="preserve">Focus</w:t>
            </w:r>
          </w:p>
        </w:tc>
      </w:tr>
      <w:tr>
        <w:tc>
          <w:tcPr/>
          <w:p>
            <w:pPr>
              <w:pStyle w:val="Compact"/>
              <w:jc w:val="left"/>
            </w:pPr>
            <w:r>
              <w:t xml:space="preserve">1. Learning that lasts</w:t>
            </w:r>
          </w:p>
        </w:tc>
        <w:tc>
          <w:tcPr/>
          <w:p>
            <w:pPr>
              <w:pStyle w:val="Compact"/>
              <w:jc w:val="left"/>
            </w:pPr>
            <w:r>
              <w:t xml:space="preserve">Sustaining the FLN gains of Grade 3 into Grades 6 and 9</w:t>
            </w:r>
          </w:p>
        </w:tc>
      </w:tr>
      <w:tr>
        <w:tc>
          <w:tcPr/>
          <w:p>
            <w:pPr>
              <w:pStyle w:val="Compact"/>
              <w:jc w:val="left"/>
            </w:pPr>
            <w:r>
              <w:t xml:space="preserve">2. Teachers</w:t>
            </w:r>
          </w:p>
        </w:tc>
        <w:tc>
          <w:tcPr/>
          <w:p>
            <w:pPr>
              <w:pStyle w:val="Compact"/>
              <w:jc w:val="left"/>
            </w:pPr>
            <w:r>
              <w:t xml:space="preserve">Classroom follow-up, subject-specific support and relief from non-teaching duties</w:t>
            </w:r>
          </w:p>
        </w:tc>
      </w:tr>
      <w:tr>
        <w:tc>
          <w:tcPr/>
          <w:p>
            <w:pPr>
              <w:pStyle w:val="Compact"/>
              <w:jc w:val="left"/>
            </w:pPr>
            <w:r>
              <w:t xml:space="preserve">3. Use of what is supplied</w:t>
            </w:r>
          </w:p>
        </w:tc>
        <w:tc>
          <w:tcPr/>
          <w:p>
            <w:pPr>
              <w:pStyle w:val="Compact"/>
              <w:jc w:val="left"/>
            </w:pPr>
            <w:r>
              <w:t xml:space="preserve">Effective use of laboratories, digital content and ICT equipment</w:t>
            </w:r>
          </w:p>
        </w:tc>
      </w:tr>
      <w:tr>
        <w:tc>
          <w:tcPr/>
          <w:p>
            <w:pPr>
              <w:pStyle w:val="Compact"/>
              <w:jc w:val="left"/>
            </w:pPr>
            <w:r>
              <w:t xml:space="preserve">4. Inclusion</w:t>
            </w:r>
          </w:p>
        </w:tc>
        <w:tc>
          <w:tcPr/>
          <w:p>
            <w:pPr>
              <w:pStyle w:val="Compact"/>
              <w:jc w:val="left"/>
            </w:pPr>
            <w:r>
              <w:t xml:space="preserve">Tribal and minority-language learners, children with special needs, girls in the higher grades, and prevention of dropout</w:t>
            </w:r>
          </w:p>
        </w:tc>
      </w:tr>
      <w:tr>
        <w:tc>
          <w:tcPr/>
          <w:p>
            <w:pPr>
              <w:pStyle w:val="Compact"/>
              <w:jc w:val="left"/>
            </w:pPr>
            <w:r>
              <w:t xml:space="preserve">5. The whole child</w:t>
            </w:r>
          </w:p>
        </w:tc>
        <w:tc>
          <w:tcPr/>
          <w:p>
            <w:pPr>
              <w:pStyle w:val="Compact"/>
              <w:jc w:val="left"/>
            </w:pPr>
            <w:r>
              <w:t xml:space="preserve">Wellbeing, stress, digital safety, sports and physical education</w:t>
            </w:r>
          </w:p>
        </w:tc>
      </w:tr>
      <w:tr>
        <w:tc>
          <w:tcPr/>
          <w:p>
            <w:pPr>
              <w:pStyle w:val="Compact"/>
              <w:jc w:val="left"/>
            </w:pPr>
            <w:r>
              <w:t xml:space="preserve">6. Early years and skills</w:t>
            </w:r>
          </w:p>
        </w:tc>
        <w:tc>
          <w:tcPr/>
          <w:p>
            <w:pPr>
              <w:pStyle w:val="Compact"/>
              <w:jc w:val="left"/>
            </w:pPr>
            <w:r>
              <w:t xml:space="preserve">Early childhood care and education, and skills in secondary schooling</w:t>
            </w:r>
          </w:p>
        </w:tc>
      </w:tr>
      <w:tr>
        <w:tc>
          <w:tcPr/>
          <w:p>
            <w:pPr>
              <w:pStyle w:val="Compact"/>
              <w:jc w:val="left"/>
            </w:pPr>
            <w:r>
              <w:t xml:space="preserve">7. Schools and communities</w:t>
            </w:r>
          </w:p>
        </w:tc>
        <w:tc>
          <w:tcPr/>
          <w:p>
            <w:pPr>
              <w:pStyle w:val="Compact"/>
              <w:jc w:val="left"/>
            </w:pPr>
            <w:r>
              <w:t xml:space="preserve">Committee training and review meetings</w:t>
            </w:r>
          </w:p>
        </w:tc>
      </w:tr>
      <w:tr>
        <w:tc>
          <w:tcPr/>
          <w:p>
            <w:pPr>
              <w:pStyle w:val="Compact"/>
              <w:jc w:val="left"/>
            </w:pPr>
            <w:r>
              <w:t xml:space="preserve">8. Evidence for decisions</w:t>
            </w:r>
          </w:p>
        </w:tc>
        <w:tc>
          <w:tcPr/>
          <w:p>
            <w:pPr>
              <w:pStyle w:val="Compact"/>
              <w:jc w:val="left"/>
            </w:pPr>
            <w:r>
              <w:t xml:space="preserve">Research design, pooled samples, review and use of findings</w:t>
            </w:r>
          </w:p>
        </w:tc>
      </w:tr>
    </w:tbl>
    <w:p>
      <w:pPr>
        <w:pStyle w:val="BodyText"/>
      </w:pPr>
      <w:r>
        <w:rPr>
          <w:bCs/>
          <w:b/>
        </w:rPr>
        <w:t xml:space="preserve">VII. Way Forward: Strategy for Implementation</w:t>
      </w:r>
    </w:p>
    <w:p>
      <w:pPr>
        <w:pStyle w:val="BodyText"/>
      </w:pPr>
      <w:r>
        <w:rPr>
          <w:iCs/>
          <w:i/>
          <w:bCs/>
          <w:b/>
        </w:rPr>
        <w:t xml:space="preserve">Administrative</w:t>
      </w:r>
    </w:p>
    <w:p>
      <w:pPr>
        <w:pStyle w:val="BodyText"/>
      </w:pPr>
      <w:r>
        <w:t xml:space="preserve">Constitute a State Research Council in school education, chaired by the Commissioner or Secretary, to approve the annual agenda, receive findings and assign follow-up. Require each of the five equal-opportunity strategies, and each major scheme, to cite the relevant studies in its annual plan.</w:t>
      </w:r>
    </w:p>
    <w:p>
      <w:pPr>
        <w:pStyle w:val="BodyText"/>
      </w:pPr>
      <w:r>
        <w:rPr>
          <w:iCs/>
          <w:i/>
          <w:bCs/>
          <w:b/>
        </w:rPr>
        <w:t xml:space="preserve">Technological</w:t>
      </w:r>
    </w:p>
    <w:p>
      <w:pPr>
        <w:pStyle w:val="BodyText"/>
      </w:pPr>
      <w:r>
        <w:t xml:space="preserve">Move the tracker to a shared digital platform with cloud storage, so that districts upload proposals, abstracts and reports in common formats and the duplication and coverage checks run automatically. Publish abstracts openly.</w:t>
      </w:r>
    </w:p>
    <w:p>
      <w:pPr>
        <w:pStyle w:val="BodyText"/>
      </w:pPr>
      <w:r>
        <w:rPr>
          <w:iCs/>
          <w:i/>
          <w:bCs/>
          <w:b/>
        </w:rPr>
        <w:t xml:space="preserve">Budgetary</w:t>
      </w:r>
    </w:p>
    <w:p>
      <w:pPr>
        <w:pStyle w:val="BodyText"/>
      </w:pPr>
      <w:r>
        <w:t xml:space="preserve">Protect a research line in the budget of each DIET, as the 2026-27 allocation of Rs 10,00,000 per DIET does, and provide additional funds for statewide pooled studies and experimental designs, with priority for studies on children who are left behind.</w:t>
      </w:r>
    </w:p>
    <w:p>
      <w:pPr>
        <w:pStyle w:val="BodyText"/>
      </w:pPr>
      <w:r>
        <w:rPr>
          <w:iCs/>
          <w:i/>
          <w:bCs/>
          <w:b/>
        </w:rPr>
        <w:t xml:space="preserve">Legal and policy</w:t>
      </w:r>
    </w:p>
    <w:p>
      <w:pPr>
        <w:pStyle w:val="BodyText"/>
      </w:pPr>
      <w:r>
        <w:t xml:space="preserve">No new legislation is needed. A government order setting out the process for the research agenda, the requirement to respond to findings and the norms for sharing data would be enough. The National Education Policy 2020 and its research objectives provide the policy basis.</w:t>
      </w:r>
    </w:p>
    <w:p>
      <w:pPr>
        <w:pStyle w:val="BodyText"/>
      </w:pPr>
      <w:r>
        <w:rPr>
          <w:iCs/>
          <w:i/>
          <w:bCs/>
          <w:b/>
        </w:rPr>
        <w:t xml:space="preserve">Monitoring</w:t>
      </w:r>
    </w:p>
    <w:p>
      <w:pPr>
        <w:pStyle w:val="BodyText"/>
      </w:pPr>
      <w:r>
        <w:t xml:space="preserve">Report each year the number of studies, the share using comparison designs, the share of studies on disadvantaged groups, the number of findings acted upon, and the programmes changed as a result.</w:t>
      </w:r>
    </w:p>
    <w:p>
      <w:pPr>
        <w:pStyle w:val="BodyText"/>
      </w:pPr>
      <w:r>
        <w:rPr>
          <w:bCs/>
          <w:b/>
        </w:rPr>
        <w:t xml:space="preserve">References</w:t>
      </w:r>
    </w:p>
    <w:p>
      <w:pPr>
        <w:pStyle w:val="BodyText"/>
      </w:pPr>
      <w:r>
        <w:t xml:space="preserve">Department of State Educational Research and Training (DSERT), Karnataka (2025). Research Abstracts 2024-25. Bengaluru.</w:t>
      </w:r>
    </w:p>
    <w:p>
      <w:pPr>
        <w:pStyle w:val="BodyText"/>
      </w:pPr>
      <w:r>
        <w:t xml:space="preserve">Department of State Educational Research and Training (DSERT), Karnataka (2026). Research Abstracts 2025-26. Bengaluru.</w:t>
      </w:r>
    </w:p>
    <w:p>
      <w:pPr>
        <w:pStyle w:val="BodyText"/>
      </w:pPr>
      <w:r>
        <w:t xml:space="preserve">Department of State Educational Research and Training (DSERT), Karnataka (2026). Research Studies Tracker 2026-27 (workbook, data as of 13 October 2026). Research Wing, Bengaluru.</w:t>
      </w:r>
    </w:p>
    <w:p>
      <w:pPr>
        <w:pStyle w:val="BodyText"/>
      </w:pPr>
      <w:r>
        <w:t xml:space="preserve">Department of School Education and Literacy, Government of Karnataka (2026). State Specific Note: Quality Education and Creating Equal Opportunity for All: The Karnataka Approach, 2026-27. Sixth National Conference of Chief Secretaries.</w:t>
      </w:r>
    </w:p>
    <w:p>
      <w:pPr>
        <w:pStyle w:val="BodyText"/>
      </w:pPr>
      <w:r>
        <w:t xml:space="preserve">Ministry of Education, Government of India (2020). National Education Policy 2020. New Delhi.</w:t>
      </w:r>
    </w:p>
    <w:p>
      <w:pPr>
        <w:pStyle w:val="BodyText"/>
      </w:pPr>
      <w:r>
        <w:t xml:space="preserve">Study numbers in the text refer to the serial numbers in the compendium (Studies 1 to 100 for 2024-25 and 101 to 188 for 2025-26).</w:t>
      </w:r>
    </w:p>
    <w:sect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color w:val="000000"/>
      <w:sz w:val="22"/>
    </w:rPr>
  </w:style>
  <w:style w:styleId="BodyText" w:type="paragraph">
    <w:name w:val="Body Text"/>
    <w:basedOn w:val="Normal"/>
    <w:link w:val="BodyTextChar"/>
    <w:pPr>
      <w:spacing w:after="120" w:before="180"/>
    </w:pPr>
    <w:qFormat/>
    <w:rPr>
      <w:rFonts w:ascii="Calibri" w:hAnsi="Calibri"/>
      <w:color w:val="000000"/>
      <w:sz w:val="22"/>
    </w:rPr>
  </w:style>
  <w:style w:customStyle="1" w:styleId="FirstParagraph" w:type="paragraph">
    <w:name w:val="First Paragraph"/>
    <w:basedOn w:val="BodyText"/>
    <w:next w:val="BodyText"/>
    <w:qFormat/>
    <w:pPr>
      <w:spacing w:after="120"/>
    </w:pPr>
    <w:rPr>
      <w:rFonts w:ascii="Calibri" w:hAnsi="Calibri"/>
      <w:color w:val="000000"/>
      <w:sz w:val="22"/>
    </w:rPr>
  </w:style>
  <w:style w:customStyle="1" w:styleId="Compact" w:type="paragraph">
    <w:name w:val="Compact"/>
    <w:basedOn w:val="BodyText"/>
    <w:qFormat/>
    <w:pPr>
      <w:spacing w:after="120" w:before="36"/>
    </w:pPr>
    <w:rPr>
      <w:rFonts w:ascii="Calibri" w:hAnsi="Calibri"/>
      <w:color w:val="000000"/>
      <w:sz w:val="20"/>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00000"/>
      <w:sz w:val="36"/>
      <w:szCs w:val="36"/>
    </w:rPr>
  </w:style>
  <w:style w:styleId="Subtitle" w:type="paragraph">
    <w:name w:val="Subtitle"/>
    <w:basedOn w:val="Title"/>
    <w:next w:val="BodyText"/>
    <w:qFormat/>
    <w:pPr>
      <w:keepNext/>
      <w:keepLines/>
      <w:spacing w:after="240" w:before="240"/>
      <w:jc w:val="center"/>
    </w:pPr>
    <w:rPr>
      <w:rFonts w:ascii="Calibri" w:hAnsi="Calibri"/>
      <w:color w:val="000000"/>
      <w:sz w:val="30"/>
      <w:szCs w:val="30"/>
    </w:rPr>
  </w:style>
  <w:style w:customStyle="1" w:styleId="Author" w:type="paragraph">
    <w:name w:val="Author"/>
    <w:next w:val="BodyText"/>
    <w:qFormat/>
    <w:pPr>
      <w:keepNext/>
      <w:keepLines/>
      <w:jc w:val="center"/>
    </w:pPr>
    <w:rPr>
      <w:rFonts w:ascii="Calibri" w:hAnsi="Calibri"/>
      <w:color w:val="000000"/>
    </w:rPr>
  </w:style>
  <w:style w:styleId="Date" w:type="paragraph">
    <w:name w:val="Date"/>
    <w:next w:val="BodyText"/>
    <w:qFormat/>
    <w:pPr>
      <w:keepNext/>
      <w:keepLines/>
      <w:jc w:val="center"/>
    </w:pPr>
    <w:rPr>
      <w:rFonts w:ascii="Calibri" w:hAnsi="Calibri"/>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Calibri" w:hAnsi="Calibri"/>
      <w:b/>
    </w:rPr>
  </w:style>
  <w:style w:customStyle="1" w:styleId="Abstract" w:type="paragraph">
    <w:name w:val="Abstract"/>
    <w:basedOn w:val="Normal"/>
    <w:next w:val="BodyText"/>
    <w:qFormat/>
    <w:pPr>
      <w:keepNext/>
      <w:keepLines/>
      <w:spacing w:after="300" w:before="100"/>
    </w:pPr>
    <w:rPr>
      <w:rFonts w:ascii="Calibri" w:hAnsi="Calibri"/>
      <w:color w:val="000000"/>
      <w:sz w:val="20"/>
      <w:szCs w:val="20"/>
    </w:rPr>
  </w:style>
  <w:style w:styleId="Bibliography" w:type="paragraph">
    <w:name w:val="Bibliography"/>
    <w:basedOn w:val="Normal"/>
    <w:next w:val="Bibliography"/>
    <w:qFormat/>
    <w:pPr/>
    <w:rPr>
      <w:rFonts w:ascii="Calibri" w:hAnsi="Calibri"/>
      <w:color w:val="000000"/>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000000"/>
    </w:rPr>
  </w:style>
  <w:style w:styleId="FootnoteText" w:type="paragraph">
    <w:name w:val="Footnote Text"/>
    <w:basedOn w:val="Normal"/>
    <w:next w:val="FootnoteText"/>
    <w:uiPriority w:val="9"/>
    <w:unhideWhenUsed/>
    <w:qFormat/>
    <w:rPr>
      <w:rFonts w:ascii="Calibri" w:hAnsi="Calibri"/>
      <w:color w:val="000000"/>
    </w:rPr>
  </w:style>
  <w:style w:default="1" w:styleId="DefaultParagraphFont" w:type="character">
    <w:name w:val="Default Paragraph Font"/>
    <w:semiHidden/>
    <w:unhideWhenUsed/>
    <w:rPr>
      <w:rFonts w:ascii="Calibri" w:hAnsi="Calibri"/>
      <w:color w:val="000000"/>
    </w:rPr>
  </w:style>
  <w:style w:default="1" w:styleId="Table" w:type="table">
    <w:name w:val="Table"/>
    <w:basedOn w:val="TableNormal"/>
    <w:semiHidden/>
    <w:unhideWhenUsed/>
    <w:qFormat/>
    <w:rPr>
      <w:rFonts w:ascii="Calibri" w:hAnsi="Calibri"/>
      <w:color w:val="000000"/>
    </w:rPr>
    <w:tblPr>
      <w:tblInd w:type="dxa" w:w="0"/>
      <w:tblCellMar>
        <w:top w:type="dxa" w:w="0"/>
        <w:left w:type="dxa" w:w="108"/>
        <w:bottom w:type="dxa" w:w="0"/>
        <w:right w:type="dxa" w:w="108"/>
      </w:tblCellMar>
      <w:tblBorders>
        <w:top w:color="808080" w:sz="4" w:val="single"/>
        <w:left w:color="808080" w:sz="4" w:val="single"/>
        <w:bottom w:color="808080" w:sz="4" w:val="single"/>
        <w:right w:color="808080" w:sz="4" w:val="single"/>
        <w:insideH w:color="808080" w:sz="4" w:val="single"/>
        <w:insideV w:color="80808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color w:val="000000"/>
    </w:rPr>
  </w:style>
  <w:style w:customStyle="1" w:styleId="Definition" w:type="paragraph">
    <w:name w:val="Definition"/>
    <w:basedOn w:val="Normal"/>
    <w:rPr>
      <w:rFonts w:ascii="Calibri" w:hAnsi="Calibri"/>
      <w:color w:val="000000"/>
    </w:rPr>
  </w:style>
  <w:style w:styleId="Caption" w:type="paragraph">
    <w:name w:val="Caption"/>
    <w:basedOn w:val="Normal"/>
    <w:link w:val="BodyTextChar"/>
    <w:pPr>
      <w:spacing w:after="120" w:before="0"/>
    </w:pPr>
    <w:rPr>
      <w:rFonts w:ascii="Calibri" w:hAnsi="Calibri"/>
      <w:i/>
      <w:color w:val="000000"/>
    </w:rPr>
  </w:style>
  <w:style w:customStyle="1" w:styleId="TableCaption" w:type="paragraph">
    <w:name w:val="Table Caption"/>
    <w:basedOn w:val="Caption"/>
    <w:pPr>
      <w:keepNext/>
    </w:pPr>
    <w:rPr>
      <w:rFonts w:ascii="Calibri" w:hAnsi="Calibri"/>
      <w:color w:val="000000"/>
    </w:rPr>
  </w:style>
  <w:style w:customStyle="1" w:styleId="ImageCaption" w:type="paragraph">
    <w:name w:val="Image Caption"/>
    <w:basedOn w:val="Caption"/>
    <w:rPr>
      <w:rFonts w:ascii="Calibri" w:hAnsi="Calibri"/>
      <w:color w:val="000000"/>
    </w:rPr>
  </w:style>
  <w:style w:customStyle="1" w:styleId="Figure" w:type="paragraph">
    <w:name w:val="Figure"/>
    <w:basedOn w:val="Normal"/>
    <w:rPr>
      <w:rFonts w:ascii="Calibri" w:hAnsi="Calibri"/>
      <w:color w:val="000000"/>
    </w:rPr>
  </w:style>
  <w:style w:customStyle="1" w:styleId="CaptionedFigure" w:type="paragraph">
    <w:name w:val="Captioned Figure"/>
    <w:basedOn w:val="Figure"/>
    <w:pPr>
      <w:keepNext/>
    </w:pPr>
    <w:rPr>
      <w:rFonts w:ascii="Calibri" w:hAnsi="Calibri"/>
      <w:color w:val="000000"/>
    </w:rPr>
  </w:style>
  <w:style w:customStyle="1" w:styleId="BodyTextChar" w:type="character">
    <w:name w:val="Body Text Char"/>
    <w:basedOn w:val="DefaultParagraphFont"/>
    <w:link w:val="BodyText"/>
    <w:rPr>
      <w:rFonts w:ascii="Calibri" w:hAnsi="Calibri"/>
      <w:color w:val="000000"/>
    </w:rPr>
  </w:style>
  <w:style w:customStyle="1" w:styleId="VerbatimChar" w:type="character">
    <w:name w:val="Verbatim Char"/>
    <w:basedOn w:val="BodyTextChar"/>
    <w:rPr>
      <w:rFonts w:ascii="Calibri" w:hAnsi="Calibri"/>
      <w:color w:val="000000"/>
      <w:sz w:val="22"/>
    </w:rPr>
  </w:style>
  <w:style w:customStyle="1" w:styleId="SectionNumber" w:type="character">
    <w:name w:val="Section Number"/>
    <w:basedOn w:val="BodyTextChar"/>
    <w:rPr>
      <w:rFonts w:ascii="Calibri" w:hAnsi="Calibri"/>
      <w:color w:val="000000"/>
    </w:rPr>
  </w:style>
  <w:style w:styleId="FootnoteReference" w:type="character">
    <w:name w:val="Footnote Reference"/>
    <w:basedOn w:val="BodyTextChar"/>
    <w:rPr>
      <w:rFonts w:ascii="Calibri" w:hAnsi="Calibri"/>
      <w:color w:val="000000"/>
      <w:vertAlign w:val="superscript"/>
    </w:rPr>
  </w:style>
  <w:style w:styleId="Hyperlink" w:type="character">
    <w:name w:val="Hyperlink"/>
    <w:basedOn w:val="BodyTextChar"/>
    <w:rPr>
      <w:rFonts w:ascii="Calibri" w:hAnsi="Calibri"/>
      <w:color w:val="000000"/>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2026-10-14T09:12:14Z</dcterms:created>
  <dcterms:modified xsi:type="dcterms:W3CDTF">2026-10-14T09:12:14Z</dcterms:modified>
</cp:coreProperties>
</file>

<file path=docProps/custom.xml><?xml version="1.0" encoding="utf-8"?>
<Properties xmlns="http://schemas.openxmlformats.org/officeDocument/2006/custom-properties" xmlns:vt="http://schemas.openxmlformats.org/officeDocument/2006/docPropsVTypes"/>
</file>