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right"/>
      </w:pPr>
      <w:r>
        <w:rPr>
          <w:b/>
          <w:i w:val="0"/>
          <w:u w:val="none"/>
        </w:rPr>
        <w:t>Annexure-2</w:t>
      </w:r>
    </w:p>
    <w:p>
      <w:pPr>
        <w:spacing w:after="80" w:before="0"/>
        <w:jc w:val="center"/>
      </w:pPr>
      <w:r>
        <w:rPr>
          <w:b/>
          <w:i w:val="0"/>
          <w:sz w:val="28"/>
          <w:u w:val="none"/>
        </w:rPr>
        <w:t>Monograde Education in Government Primary Schools of Karnataka: Shift from Nali Kali (Multigrade) to Single-Grade Classrooms</w:t>
      </w:r>
    </w:p>
    <w:p>
      <w:pPr>
        <w:spacing w:after="80" w:before="0"/>
        <w:jc w:val="center"/>
      </w:pPr>
      <w:r>
        <w:rPr>
          <w:b/>
          <w:i w:val="0"/>
          <w:u w:val="none"/>
        </w:rPr>
        <w:t>Sixth National Conference of Chief Secretaries</w:t>
      </w:r>
    </w:p>
    <w:p>
      <w:pPr>
        <w:spacing w:after="40" w:before="0"/>
        <w:jc w:val="center"/>
      </w:pPr>
      <w:r>
        <w:rPr>
          <w:b w:val="0"/>
          <w:i/>
          <w:u w:val="none"/>
        </w:rPr>
        <w:t>Topic: Human Development: Ensure Quality Education</w:t>
      </w:r>
    </w:p>
    <w:p>
      <w:pPr>
        <w:spacing w:after="40" w:before="0"/>
        <w:jc w:val="center"/>
      </w:pPr>
      <w:r>
        <w:rPr>
          <w:b w:val="0"/>
          <w:i/>
          <w:u w:val="none"/>
        </w:rPr>
        <w:t>Theme: Quality Education and Creating Equal Opportunity for All</w:t>
      </w:r>
    </w:p>
    <w:p>
      <w:pPr>
        <w:spacing w:after="40" w:before="0"/>
        <w:jc w:val="center"/>
      </w:pPr>
      <w:r>
        <w:rPr>
          <w:b w:val="0"/>
          <w:i/>
          <w:u w:val="none"/>
        </w:rPr>
        <w:t>Department of State Educational Research and Training (DSERT), Bengaluru, Government of Karnataka</w:t>
      </w:r>
    </w:p>
    <w:p>
      <w:pPr>
        <w:spacing w:after="120" w:before="360"/>
      </w:pPr>
      <w:r>
        <w:rPr>
          <w:b/>
          <w:i w:val="0"/>
          <w:u w:val="single"/>
        </w:rPr>
        <w:t>Foreword</w:t>
      </w:r>
    </w:p>
    <w:p>
      <w:pPr>
        <w:spacing w:after="120" w:before="0"/>
      </w:pPr>
      <w:r>
        <w:rPr>
          <w:b w:val="0"/>
          <w:i/>
          <w:u w:val="none"/>
        </w:rPr>
        <w:t>(Signed by the nodal Secretary, Government of India)</w:t>
      </w:r>
    </w:p>
    <w:p>
      <w:pPr>
        <w:spacing w:after="80" w:before="0"/>
        <w:jc w:val="both"/>
      </w:pPr>
      <w:r>
        <w:rPr>
          <w:b w:val="0"/>
          <w:i w:val="0"/>
          <w:u w:val="none"/>
        </w:rPr>
        <w:t>Every child in a government primary school deserves a teacher who knows the child, a classroom of the child's own and learning that grows steadily from one year to the next. Karnataka's decision to move its early grades from the multigrade Nali Kali model to single-grade (monograde) classrooms is among the largest changes in primary education in the State in recent years. It affects thousands of schools, teachers and young children at the most important stage of their learning.</w:t>
      </w:r>
    </w:p>
    <w:p>
      <w:pPr>
        <w:spacing w:after="80" w:before="0"/>
        <w:jc w:val="both"/>
      </w:pPr>
      <w:r>
        <w:rPr>
          <w:b w:val="0"/>
          <w:i w:val="0"/>
          <w:u w:val="none"/>
        </w:rPr>
        <w:t>This note draws on the State's own evidence: the decisions of the Government, the experience of schools that moved to monograde classrooms from 1 June 2026, and the research of the District Institutes of Education and Training (DIETs). It sets out what the transition requires in teachers, classrooms, training and monitoring, what is already working, and what the State proposes so that the change improves learning for every child, including children in small and remote schools.</w:t>
      </w:r>
    </w:p>
    <w:p>
      <w:pPr>
        <w:spacing w:after="80" w:before="0"/>
        <w:jc w:val="both"/>
      </w:pPr>
      <w:r>
        <w:rPr>
          <w:b w:val="0"/>
          <w:i w:val="0"/>
          <w:u w:val="none"/>
        </w:rPr>
        <w:t>The approach is phased, evidence-based and open to correction. It offers a model that other States and Union Territories reviewing their multigrade arrangements may find useful.</w:t>
      </w:r>
    </w:p>
    <w:p>
      <w:pPr>
        <w:spacing w:after="360" w:before="0"/>
        <w:jc w:val="both"/>
      </w:pPr>
    </w:p>
    <w:p>
      <w:pPr>
        <w:spacing w:after="0" w:before="0"/>
        <w:jc w:val="right"/>
      </w:pPr>
      <w:r>
        <w:rPr>
          <w:b/>
          <w:i w:val="0"/>
          <w:u w:val="none"/>
        </w:rPr>
        <w:t>[Name]</w:t>
      </w:r>
    </w:p>
    <w:p>
      <w:pPr>
        <w:spacing w:after="0" w:before="0"/>
        <w:jc w:val="right"/>
      </w:pPr>
      <w:r>
        <w:rPr>
          <w:b w:val="0"/>
          <w:i w:val="0"/>
          <w:u w:val="none"/>
        </w:rPr>
        <w:t>Secretary, [Ministry/Department]</w:t>
      </w:r>
    </w:p>
    <w:p>
      <w:pPr>
        <w:spacing w:after="0" w:before="0"/>
        <w:jc w:val="right"/>
      </w:pPr>
      <w:r>
        <w:rPr>
          <w:b w:val="0"/>
          <w:i w:val="0"/>
          <w:u w:val="none"/>
        </w:rPr>
        <w:t>Government of India</w:t>
      </w:r>
    </w:p>
    <w:p>
      <w:pPr>
        <w:spacing w:after="0" w:before="0"/>
        <w:jc w:val="right"/>
      </w:pPr>
      <w:r>
        <w:rPr>
          <w:b/>
          <w:i w:val="0"/>
          <w:u w:val="none"/>
        </w:rPr>
        <w:t>[Date]</w:t>
      </w:r>
    </w:p>
    <w:p>
      <w:r>
        <w:br w:type="page"/>
      </w:r>
    </w:p>
    <w:p>
      <w:pPr>
        <w:spacing w:after="120" w:before="0"/>
      </w:pPr>
      <w:r>
        <w:rPr>
          <w:b/>
          <w:i w:val="0"/>
          <w:u w:val="single"/>
        </w:rPr>
        <w:t>Abbreviations</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016"/>
        <w:gridCol w:w="7056"/>
      </w:tblGrid>
      <w:tr>
        <w:trPr>
          <w:cantSplit/>
          <w:tblHeader/>
        </w:trPr>
        <w:tc>
          <w:tcPr>
            <w:tcW w:type="dxa" w:w="2016"/>
            <w:shd w:val="clear" w:color="auto" w:fill="D9D9D9"/>
          </w:tcPr>
          <w:p>
            <w:pPr>
              <w:spacing w:after="20"/>
            </w:pPr>
            <w:r/>
            <w:r>
              <w:rPr>
                <w:b/>
                <w:i w:val="0"/>
                <w:sz w:val="22"/>
                <w:u w:val="none"/>
              </w:rPr>
              <w:t>Abbreviation</w:t>
            </w:r>
          </w:p>
        </w:tc>
        <w:tc>
          <w:tcPr>
            <w:tcW w:type="dxa" w:w="7056"/>
            <w:shd w:val="clear" w:color="auto" w:fill="D9D9D9"/>
          </w:tcPr>
          <w:p>
            <w:pPr>
              <w:spacing w:after="20"/>
            </w:pPr>
            <w:r/>
            <w:r>
              <w:rPr>
                <w:b/>
                <w:i w:val="0"/>
                <w:sz w:val="22"/>
                <w:u w:val="none"/>
              </w:rPr>
              <w:t>Expansion</w:t>
            </w:r>
          </w:p>
        </w:tc>
      </w:tr>
      <w:tr>
        <w:trPr>
          <w:cantSplit/>
        </w:trPr>
        <w:tc>
          <w:tcPr>
            <w:tcW w:type="dxa" w:w="2016"/>
          </w:tcPr>
          <w:p>
            <w:pPr>
              <w:spacing w:after="20"/>
            </w:pPr>
            <w:r/>
            <w:r>
              <w:rPr>
                <w:b w:val="0"/>
                <w:i w:val="0"/>
                <w:sz w:val="22"/>
                <w:u w:val="none"/>
              </w:rPr>
              <w:t>BRP</w:t>
            </w:r>
          </w:p>
        </w:tc>
        <w:tc>
          <w:tcPr>
            <w:tcW w:type="dxa" w:w="7056"/>
          </w:tcPr>
          <w:p>
            <w:pPr>
              <w:spacing w:after="20"/>
            </w:pPr>
            <w:r/>
            <w:r>
              <w:rPr>
                <w:b w:val="0"/>
                <w:i w:val="0"/>
                <w:sz w:val="22"/>
                <w:u w:val="none"/>
              </w:rPr>
              <w:t>Block Resource Person</w:t>
            </w:r>
          </w:p>
        </w:tc>
      </w:tr>
      <w:tr>
        <w:trPr>
          <w:cantSplit/>
        </w:trPr>
        <w:tc>
          <w:tcPr>
            <w:tcW w:type="dxa" w:w="2016"/>
          </w:tcPr>
          <w:p>
            <w:pPr>
              <w:spacing w:after="20"/>
            </w:pPr>
            <w:r/>
            <w:r>
              <w:rPr>
                <w:b w:val="0"/>
                <w:i w:val="0"/>
                <w:sz w:val="22"/>
                <w:u w:val="none"/>
              </w:rPr>
              <w:t>CRP</w:t>
            </w:r>
          </w:p>
        </w:tc>
        <w:tc>
          <w:tcPr>
            <w:tcW w:type="dxa" w:w="7056"/>
          </w:tcPr>
          <w:p>
            <w:pPr>
              <w:spacing w:after="20"/>
            </w:pPr>
            <w:r/>
            <w:r>
              <w:rPr>
                <w:b w:val="0"/>
                <w:i w:val="0"/>
                <w:sz w:val="22"/>
                <w:u w:val="none"/>
              </w:rPr>
              <w:t>Cluster Resource Person</w:t>
            </w:r>
          </w:p>
        </w:tc>
      </w:tr>
      <w:tr>
        <w:trPr>
          <w:cantSplit/>
        </w:trPr>
        <w:tc>
          <w:tcPr>
            <w:tcW w:type="dxa" w:w="2016"/>
          </w:tcPr>
          <w:p>
            <w:pPr>
              <w:spacing w:after="20"/>
            </w:pPr>
            <w:r/>
            <w:r>
              <w:rPr>
                <w:b w:val="0"/>
                <w:i w:val="0"/>
                <w:sz w:val="22"/>
                <w:u w:val="none"/>
              </w:rPr>
              <w:t>CSR</w:t>
            </w:r>
          </w:p>
        </w:tc>
        <w:tc>
          <w:tcPr>
            <w:tcW w:type="dxa" w:w="7056"/>
          </w:tcPr>
          <w:p>
            <w:pPr>
              <w:spacing w:after="20"/>
            </w:pPr>
            <w:r/>
            <w:r>
              <w:rPr>
                <w:b w:val="0"/>
                <w:i w:val="0"/>
                <w:sz w:val="22"/>
                <w:u w:val="none"/>
              </w:rPr>
              <w:t>Corporate Social Responsibility</w:t>
            </w:r>
          </w:p>
        </w:tc>
      </w:tr>
      <w:tr>
        <w:trPr>
          <w:cantSplit/>
        </w:trPr>
        <w:tc>
          <w:tcPr>
            <w:tcW w:type="dxa" w:w="2016"/>
          </w:tcPr>
          <w:p>
            <w:pPr>
              <w:spacing w:after="20"/>
            </w:pPr>
            <w:r/>
            <w:r>
              <w:rPr>
                <w:b w:val="0"/>
                <w:i w:val="0"/>
                <w:sz w:val="22"/>
                <w:u w:val="none"/>
              </w:rPr>
              <w:t>DIET</w:t>
            </w:r>
          </w:p>
        </w:tc>
        <w:tc>
          <w:tcPr>
            <w:tcW w:type="dxa" w:w="7056"/>
          </w:tcPr>
          <w:p>
            <w:pPr>
              <w:spacing w:after="20"/>
            </w:pPr>
            <w:r/>
            <w:r>
              <w:rPr>
                <w:b w:val="0"/>
                <w:i w:val="0"/>
                <w:sz w:val="22"/>
                <w:u w:val="none"/>
              </w:rPr>
              <w:t>District Institute of Education and Training</w:t>
            </w:r>
          </w:p>
        </w:tc>
      </w:tr>
      <w:tr>
        <w:trPr>
          <w:cantSplit/>
        </w:trPr>
        <w:tc>
          <w:tcPr>
            <w:tcW w:type="dxa" w:w="2016"/>
          </w:tcPr>
          <w:p>
            <w:pPr>
              <w:spacing w:after="20"/>
            </w:pPr>
            <w:r/>
            <w:r>
              <w:rPr>
                <w:b w:val="0"/>
                <w:i w:val="0"/>
                <w:sz w:val="22"/>
                <w:u w:val="none"/>
              </w:rPr>
              <w:t>DIKSHA</w:t>
            </w:r>
          </w:p>
        </w:tc>
        <w:tc>
          <w:tcPr>
            <w:tcW w:type="dxa" w:w="7056"/>
          </w:tcPr>
          <w:p>
            <w:pPr>
              <w:spacing w:after="20"/>
            </w:pPr>
            <w:r/>
            <w:r>
              <w:rPr>
                <w:b w:val="0"/>
                <w:i w:val="0"/>
                <w:sz w:val="22"/>
                <w:u w:val="none"/>
              </w:rPr>
              <w:t>Digital Infrastructure for Knowledge Sharing</w:t>
            </w:r>
          </w:p>
        </w:tc>
      </w:tr>
      <w:tr>
        <w:trPr>
          <w:cantSplit/>
        </w:trPr>
        <w:tc>
          <w:tcPr>
            <w:tcW w:type="dxa" w:w="2016"/>
          </w:tcPr>
          <w:p>
            <w:pPr>
              <w:spacing w:after="20"/>
            </w:pPr>
            <w:r/>
            <w:r>
              <w:rPr>
                <w:b w:val="0"/>
                <w:i w:val="0"/>
                <w:sz w:val="22"/>
                <w:u w:val="none"/>
              </w:rPr>
              <w:t>DSERT</w:t>
            </w:r>
          </w:p>
        </w:tc>
        <w:tc>
          <w:tcPr>
            <w:tcW w:type="dxa" w:w="7056"/>
          </w:tcPr>
          <w:p>
            <w:pPr>
              <w:spacing w:after="20"/>
            </w:pPr>
            <w:r/>
            <w:r>
              <w:rPr>
                <w:b w:val="0"/>
                <w:i w:val="0"/>
                <w:sz w:val="22"/>
                <w:u w:val="none"/>
              </w:rPr>
              <w:t>Department of State Educational Research and Training</w:t>
            </w:r>
          </w:p>
        </w:tc>
      </w:tr>
      <w:tr>
        <w:trPr>
          <w:cantSplit/>
        </w:trPr>
        <w:tc>
          <w:tcPr>
            <w:tcW w:type="dxa" w:w="2016"/>
          </w:tcPr>
          <w:p>
            <w:pPr>
              <w:spacing w:after="20"/>
            </w:pPr>
            <w:r/>
            <w:r>
              <w:rPr>
                <w:b w:val="0"/>
                <w:i w:val="0"/>
                <w:sz w:val="22"/>
                <w:u w:val="none"/>
              </w:rPr>
              <w:t>ENK</w:t>
            </w:r>
          </w:p>
        </w:tc>
        <w:tc>
          <w:tcPr>
            <w:tcW w:type="dxa" w:w="7056"/>
          </w:tcPr>
          <w:p>
            <w:pPr>
              <w:spacing w:after="20"/>
            </w:pPr>
            <w:r/>
            <w:r>
              <w:rPr>
                <w:b w:val="0"/>
                <w:i w:val="0"/>
                <w:sz w:val="22"/>
                <w:u w:val="none"/>
              </w:rPr>
              <w:t>English Nali Kali</w:t>
            </w:r>
          </w:p>
        </w:tc>
      </w:tr>
      <w:tr>
        <w:trPr>
          <w:cantSplit/>
        </w:trPr>
        <w:tc>
          <w:tcPr>
            <w:tcW w:type="dxa" w:w="2016"/>
          </w:tcPr>
          <w:p>
            <w:pPr>
              <w:spacing w:after="20"/>
            </w:pPr>
            <w:r/>
            <w:r>
              <w:rPr>
                <w:b w:val="0"/>
                <w:i w:val="0"/>
                <w:sz w:val="22"/>
                <w:u w:val="none"/>
              </w:rPr>
              <w:t>FLN</w:t>
            </w:r>
          </w:p>
        </w:tc>
        <w:tc>
          <w:tcPr>
            <w:tcW w:type="dxa" w:w="7056"/>
          </w:tcPr>
          <w:p>
            <w:pPr>
              <w:spacing w:after="20"/>
            </w:pPr>
            <w:r/>
            <w:r>
              <w:rPr>
                <w:b w:val="0"/>
                <w:i w:val="0"/>
                <w:sz w:val="22"/>
                <w:u w:val="none"/>
              </w:rPr>
              <w:t>Foundational Literacy and Numeracy</w:t>
            </w:r>
          </w:p>
        </w:tc>
      </w:tr>
      <w:tr>
        <w:trPr>
          <w:cantSplit/>
        </w:trPr>
        <w:tc>
          <w:tcPr>
            <w:tcW w:type="dxa" w:w="2016"/>
          </w:tcPr>
          <w:p>
            <w:pPr>
              <w:spacing w:after="20"/>
            </w:pPr>
            <w:r/>
            <w:r>
              <w:rPr>
                <w:b w:val="0"/>
                <w:i w:val="0"/>
                <w:sz w:val="22"/>
                <w:u w:val="none"/>
              </w:rPr>
              <w:t>KPS</w:t>
            </w:r>
          </w:p>
        </w:tc>
        <w:tc>
          <w:tcPr>
            <w:tcW w:type="dxa" w:w="7056"/>
          </w:tcPr>
          <w:p>
            <w:pPr>
              <w:spacing w:after="20"/>
            </w:pPr>
            <w:r/>
            <w:r>
              <w:rPr>
                <w:b w:val="0"/>
                <w:i w:val="0"/>
                <w:sz w:val="22"/>
                <w:u w:val="none"/>
              </w:rPr>
              <w:t>Karnataka Public Schools</w:t>
            </w:r>
          </w:p>
        </w:tc>
      </w:tr>
      <w:tr>
        <w:trPr>
          <w:cantSplit/>
        </w:trPr>
        <w:tc>
          <w:tcPr>
            <w:tcW w:type="dxa" w:w="2016"/>
          </w:tcPr>
          <w:p>
            <w:pPr>
              <w:spacing w:after="20"/>
            </w:pPr>
            <w:r/>
            <w:r>
              <w:rPr>
                <w:b w:val="0"/>
                <w:i w:val="0"/>
                <w:sz w:val="22"/>
                <w:u w:val="none"/>
              </w:rPr>
              <w:t>LKG</w:t>
            </w:r>
          </w:p>
        </w:tc>
        <w:tc>
          <w:tcPr>
            <w:tcW w:type="dxa" w:w="7056"/>
          </w:tcPr>
          <w:p>
            <w:pPr>
              <w:spacing w:after="20"/>
            </w:pPr>
            <w:r/>
            <w:r>
              <w:rPr>
                <w:b w:val="0"/>
                <w:i w:val="0"/>
                <w:sz w:val="22"/>
                <w:u w:val="none"/>
              </w:rPr>
              <w:t>Lower Kindergarten</w:t>
            </w:r>
          </w:p>
        </w:tc>
      </w:tr>
      <w:tr>
        <w:trPr>
          <w:cantSplit/>
        </w:trPr>
        <w:tc>
          <w:tcPr>
            <w:tcW w:type="dxa" w:w="2016"/>
          </w:tcPr>
          <w:p>
            <w:pPr>
              <w:spacing w:after="20"/>
            </w:pPr>
            <w:r/>
            <w:r>
              <w:rPr>
                <w:b w:val="0"/>
                <w:i w:val="0"/>
                <w:sz w:val="22"/>
                <w:u w:val="none"/>
              </w:rPr>
              <w:t>NEP</w:t>
            </w:r>
          </w:p>
        </w:tc>
        <w:tc>
          <w:tcPr>
            <w:tcW w:type="dxa" w:w="7056"/>
          </w:tcPr>
          <w:p>
            <w:pPr>
              <w:spacing w:after="20"/>
            </w:pPr>
            <w:r/>
            <w:r>
              <w:rPr>
                <w:b w:val="0"/>
                <w:i w:val="0"/>
                <w:sz w:val="22"/>
                <w:u w:val="none"/>
              </w:rPr>
              <w:t>National Education Policy 2020</w:t>
            </w:r>
          </w:p>
        </w:tc>
      </w:tr>
      <w:tr>
        <w:trPr>
          <w:cantSplit/>
        </w:trPr>
        <w:tc>
          <w:tcPr>
            <w:tcW w:type="dxa" w:w="2016"/>
          </w:tcPr>
          <w:p>
            <w:pPr>
              <w:spacing w:after="20"/>
            </w:pPr>
            <w:r/>
            <w:r>
              <w:rPr>
                <w:b w:val="0"/>
                <w:i w:val="0"/>
                <w:sz w:val="22"/>
                <w:u w:val="none"/>
              </w:rPr>
              <w:t>SATS</w:t>
            </w:r>
          </w:p>
        </w:tc>
        <w:tc>
          <w:tcPr>
            <w:tcW w:type="dxa" w:w="7056"/>
          </w:tcPr>
          <w:p>
            <w:pPr>
              <w:spacing w:after="20"/>
            </w:pPr>
            <w:r/>
            <w:r>
              <w:rPr>
                <w:b w:val="0"/>
                <w:i w:val="0"/>
                <w:sz w:val="22"/>
                <w:u w:val="none"/>
              </w:rPr>
              <w:t>Student Achievement Tracking System</w:t>
            </w:r>
          </w:p>
        </w:tc>
      </w:tr>
      <w:tr>
        <w:trPr>
          <w:cantSplit/>
        </w:trPr>
        <w:tc>
          <w:tcPr>
            <w:tcW w:type="dxa" w:w="2016"/>
          </w:tcPr>
          <w:p>
            <w:pPr>
              <w:spacing w:after="20"/>
            </w:pPr>
            <w:r/>
            <w:r>
              <w:rPr>
                <w:b w:val="0"/>
                <w:i w:val="0"/>
                <w:sz w:val="22"/>
                <w:u w:val="none"/>
              </w:rPr>
              <w:t>SDMC</w:t>
            </w:r>
          </w:p>
        </w:tc>
        <w:tc>
          <w:tcPr>
            <w:tcW w:type="dxa" w:w="7056"/>
          </w:tcPr>
          <w:p>
            <w:pPr>
              <w:spacing w:after="20"/>
            </w:pPr>
            <w:r/>
            <w:r>
              <w:rPr>
                <w:b w:val="0"/>
                <w:i w:val="0"/>
                <w:sz w:val="22"/>
                <w:u w:val="none"/>
              </w:rPr>
              <w:t>School Development and Monitoring Committee</w:t>
            </w:r>
          </w:p>
        </w:tc>
      </w:tr>
      <w:tr>
        <w:trPr>
          <w:cantSplit/>
        </w:trPr>
        <w:tc>
          <w:tcPr>
            <w:tcW w:type="dxa" w:w="2016"/>
          </w:tcPr>
          <w:p>
            <w:pPr>
              <w:spacing w:after="20"/>
            </w:pPr>
            <w:r/>
            <w:r>
              <w:rPr>
                <w:b w:val="0"/>
                <w:i w:val="0"/>
                <w:sz w:val="22"/>
                <w:u w:val="none"/>
              </w:rPr>
              <w:t>SSLC</w:t>
            </w:r>
          </w:p>
        </w:tc>
        <w:tc>
          <w:tcPr>
            <w:tcW w:type="dxa" w:w="7056"/>
          </w:tcPr>
          <w:p>
            <w:pPr>
              <w:spacing w:after="20"/>
            </w:pPr>
            <w:r/>
            <w:r>
              <w:rPr>
                <w:b w:val="0"/>
                <w:i w:val="0"/>
                <w:sz w:val="22"/>
                <w:u w:val="none"/>
              </w:rPr>
              <w:t>Secondary School Leaving Certificate</w:t>
            </w:r>
          </w:p>
        </w:tc>
      </w:tr>
      <w:tr>
        <w:trPr>
          <w:cantSplit/>
        </w:trPr>
        <w:tc>
          <w:tcPr>
            <w:tcW w:type="dxa" w:w="2016"/>
          </w:tcPr>
          <w:p>
            <w:pPr>
              <w:spacing w:after="20"/>
            </w:pPr>
            <w:r/>
            <w:r>
              <w:rPr>
                <w:b w:val="0"/>
                <w:i w:val="0"/>
                <w:sz w:val="22"/>
                <w:u w:val="none"/>
              </w:rPr>
              <w:t>UDISE+</w:t>
            </w:r>
          </w:p>
        </w:tc>
        <w:tc>
          <w:tcPr>
            <w:tcW w:type="dxa" w:w="7056"/>
          </w:tcPr>
          <w:p>
            <w:pPr>
              <w:spacing w:after="20"/>
            </w:pPr>
            <w:r/>
            <w:r>
              <w:rPr>
                <w:b w:val="0"/>
                <w:i w:val="0"/>
                <w:sz w:val="22"/>
                <w:u w:val="none"/>
              </w:rPr>
              <w:t>Unified District Information System for Education Plus</w:t>
            </w:r>
          </w:p>
        </w:tc>
      </w:tr>
      <w:tr>
        <w:trPr>
          <w:cantSplit/>
        </w:trPr>
        <w:tc>
          <w:tcPr>
            <w:tcW w:type="dxa" w:w="2016"/>
          </w:tcPr>
          <w:p>
            <w:pPr>
              <w:spacing w:after="20"/>
            </w:pPr>
            <w:r/>
            <w:r>
              <w:rPr>
                <w:b w:val="0"/>
                <w:i w:val="0"/>
                <w:sz w:val="22"/>
                <w:u w:val="none"/>
              </w:rPr>
              <w:t>UKG</w:t>
            </w:r>
          </w:p>
        </w:tc>
        <w:tc>
          <w:tcPr>
            <w:tcW w:type="dxa" w:w="7056"/>
          </w:tcPr>
          <w:p>
            <w:pPr>
              <w:spacing w:after="20"/>
            </w:pPr>
            <w:r/>
            <w:r>
              <w:rPr>
                <w:b w:val="0"/>
                <w:i w:val="0"/>
                <w:sz w:val="22"/>
                <w:u w:val="none"/>
              </w:rPr>
              <w:t>Upper Kindergarten</w:t>
            </w:r>
          </w:p>
        </w:tc>
      </w:tr>
      <w:tr>
        <w:trPr>
          <w:cantSplit/>
        </w:trPr>
        <w:tc>
          <w:tcPr>
            <w:tcW w:type="dxa" w:w="2016"/>
          </w:tcPr>
          <w:p>
            <w:pPr>
              <w:spacing w:after="20"/>
            </w:pPr>
            <w:r/>
            <w:r>
              <w:rPr>
                <w:b w:val="0"/>
                <w:i w:val="0"/>
                <w:sz w:val="22"/>
                <w:u w:val="none"/>
              </w:rPr>
              <w:t>UNICEF</w:t>
            </w:r>
          </w:p>
        </w:tc>
        <w:tc>
          <w:tcPr>
            <w:tcW w:type="dxa" w:w="7056"/>
          </w:tcPr>
          <w:p>
            <w:pPr>
              <w:spacing w:after="20"/>
            </w:pPr>
            <w:r/>
            <w:r>
              <w:rPr>
                <w:b w:val="0"/>
                <w:i w:val="0"/>
                <w:sz w:val="22"/>
                <w:u w:val="none"/>
              </w:rPr>
              <w:t>United Nations Children's Fund</w:t>
            </w:r>
          </w:p>
        </w:tc>
      </w:tr>
    </w:tbl>
    <w:p>
      <w:r>
        <w:br w:type="page"/>
      </w:r>
    </w:p>
    <w:p>
      <w:pPr>
        <w:spacing w:after="120" w:before="0"/>
      </w:pPr>
      <w:r>
        <w:rPr>
          <w:b/>
          <w:i w:val="0"/>
          <w:u w:val="single"/>
        </w:rPr>
        <w:t>Synopsis</w:t>
      </w:r>
    </w:p>
    <w:p>
      <w:pPr>
        <w:spacing w:after="80" w:before="0"/>
        <w:jc w:val="both"/>
      </w:pPr>
      <w:r>
        <w:rPr>
          <w:b w:val="0"/>
          <w:i w:val="0"/>
          <w:u w:val="none"/>
        </w:rPr>
        <w:t>Nali Kali, piloted in 1995 in H.D. Kote taluk of Mysuru district with UNICEF support and extended to all Government schools in 2009, taught Classes 1 to 3 together in one room through activity-based, self-paced group work. Over time, officials reported that many children could not form complete sentences and found the step up to Class 4 difficult. A task force on implementing NEP 2020 recommended a review, and teachers' associations linked the combined classes to falling enrolment.</w:t>
      </w:r>
    </w:p>
    <w:p>
      <w:pPr>
        <w:spacing w:after="80" w:before="0"/>
        <w:jc w:val="both"/>
      </w:pPr>
      <w:r>
        <w:rPr>
          <w:b w:val="0"/>
          <w:i w:val="0"/>
          <w:u w:val="none"/>
        </w:rPr>
        <w:t>In November 2025 the State decided to end Nali Kali and convert its classrooms into single-grade classrooms in phases, starting with 29,000 schools, with full discontinuation from 2026-27. Schools moved to monograde bilingual classrooms from 1 June 2026.</w:t>
      </w:r>
    </w:p>
    <w:p>
      <w:pPr>
        <w:spacing w:after="80" w:before="0"/>
        <w:jc w:val="both"/>
      </w:pPr>
      <w:r>
        <w:rPr>
          <w:b w:val="0"/>
          <w:i w:val="0"/>
          <w:u w:val="none"/>
        </w:rPr>
        <w:t>The evidence gathered for this note points to five requirements for success:</w:t>
      </w:r>
    </w:p>
    <w:p>
      <w:pPr>
        <w:spacing w:after="60"/>
        <w:ind w:left="432" w:hanging="288"/>
        <w:jc w:val="both"/>
      </w:pPr>
      <w:r>
        <w:t xml:space="preserve">•  </w:t>
      </w:r>
      <w:r>
        <w:rPr>
          <w:b/>
          <w:i w:val="0"/>
          <w:u w:val="none"/>
        </w:rPr>
        <w:t>A teacher for every class, from the first day of the year.</w:t>
      </w:r>
      <w:r>
        <w:rPr>
          <w:b w:val="0"/>
          <w:i w:val="0"/>
          <w:u w:val="none"/>
        </w:rPr>
        <w:t xml:space="preserve"> DIET Tumakuru found that late and unstable appointments of guest teachers affected syllabus completion and results.</w:t>
      </w:r>
    </w:p>
    <w:p>
      <w:pPr>
        <w:spacing w:after="60"/>
        <w:ind w:left="432" w:hanging="288"/>
        <w:jc w:val="both"/>
      </w:pPr>
      <w:r>
        <w:t xml:space="preserve">•  </w:t>
      </w:r>
      <w:r>
        <w:rPr>
          <w:b/>
          <w:i w:val="0"/>
          <w:u w:val="none"/>
        </w:rPr>
        <w:t>A room, furniture and materials for every class.</w:t>
      </w:r>
      <w:r>
        <w:rPr>
          <w:b w:val="0"/>
          <w:i w:val="0"/>
          <w:u w:val="none"/>
        </w:rPr>
        <w:t xml:space="preserve"> Many schools lacked desks, benches and classrooms after the change; in Bengaluru South, fifty-eight of 161 schools with English-medium sections lacked the required building.</w:t>
      </w:r>
    </w:p>
    <w:p>
      <w:pPr>
        <w:spacing w:after="60"/>
        <w:ind w:left="432" w:hanging="288"/>
        <w:jc w:val="both"/>
      </w:pPr>
      <w:r>
        <w:t xml:space="preserve">•  </w:t>
      </w:r>
      <w:r>
        <w:rPr>
          <w:b/>
          <w:i w:val="0"/>
          <w:u w:val="none"/>
        </w:rPr>
        <w:t>Teachers prepared for single-grade teaching</w:t>
      </w:r>
      <w:r>
        <w:rPr>
          <w:b w:val="0"/>
          <w:i w:val="0"/>
          <w:u w:val="none"/>
        </w:rPr>
        <w:t>, without losing the joyful, activity-based methods of Nali Kali.</w:t>
      </w:r>
    </w:p>
    <w:p>
      <w:pPr>
        <w:spacing w:after="60"/>
        <w:ind w:left="432" w:hanging="288"/>
        <w:jc w:val="both"/>
      </w:pPr>
      <w:r>
        <w:t xml:space="preserve">•  </w:t>
      </w:r>
      <w:r>
        <w:rPr>
          <w:b/>
          <w:i w:val="0"/>
          <w:u w:val="none"/>
        </w:rPr>
        <w:t>Special planning for small and single-teacher schools</w:t>
      </w:r>
      <w:r>
        <w:rPr>
          <w:b w:val="0"/>
          <w:i w:val="0"/>
          <w:u w:val="none"/>
        </w:rPr>
        <w:t>, which form about 10.2 per cent of schools by one Indian estimate.</w:t>
      </w:r>
    </w:p>
    <w:p>
      <w:pPr>
        <w:spacing w:after="60"/>
        <w:ind w:left="432" w:hanging="288"/>
        <w:jc w:val="both"/>
      </w:pPr>
      <w:r>
        <w:t xml:space="preserve">•  </w:t>
      </w:r>
      <w:r>
        <w:rPr>
          <w:b/>
          <w:i w:val="0"/>
          <w:u w:val="none"/>
        </w:rPr>
        <w:t>A baseline and regular tracking of FLN</w:t>
      </w:r>
      <w:r>
        <w:rPr>
          <w:b w:val="0"/>
          <w:i w:val="0"/>
          <w:u w:val="none"/>
        </w:rPr>
        <w:t>, so that the State can show whether learning improves.</w:t>
      </w:r>
    </w:p>
    <w:p>
      <w:pPr>
        <w:spacing w:after="80" w:before="0"/>
        <w:jc w:val="both"/>
      </w:pPr>
      <w:r>
        <w:rPr>
          <w:b w:val="0"/>
          <w:i w:val="0"/>
          <w:u w:val="none"/>
        </w:rPr>
        <w:t>The note proposes a phased, data-led transition supported by recruitment and rationalisation of teachers, classroom investment, DIET-led training and mentoring, supportive classroom visits, and research built into the reform.</w:t>
      </w:r>
    </w:p>
    <w:p>
      <w:r>
        <w:br w:type="page"/>
      </w:r>
    </w:p>
    <w:p>
      <w:pPr>
        <w:spacing w:after="160" w:before="0"/>
      </w:pPr>
      <w:r>
        <w:rPr>
          <w:b/>
          <w:i w:val="0"/>
          <w:u w:val="single"/>
        </w:rPr>
        <w:t>Background Note</w:t>
      </w:r>
    </w:p>
    <w:p>
      <w:pPr>
        <w:spacing w:after="40" w:before="200"/>
      </w:pPr>
      <w:r>
        <w:rPr>
          <w:b/>
          <w:i w:val="0"/>
          <w:u w:val="none"/>
        </w:rPr>
        <w:t>1. Introduction</w:t>
      </w:r>
    </w:p>
    <w:p>
      <w:pPr>
        <w:spacing w:after="80" w:before="0"/>
      </w:pPr>
      <w:r>
        <w:rPr>
          <w:b w:val="0"/>
          <w:i/>
          <w:sz w:val="22"/>
          <w:u w:val="none"/>
        </w:rPr>
        <w:t>(Why is this topic important for the States/ UTs? Highlight the data evidence to support the same)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80" w:before="0"/>
              <w:jc w:val="both"/>
            </w:pPr>
            <w:r>
              <w:rPr>
                <w:b w:val="0"/>
                <w:i w:val="0"/>
                <w:u w:val="none"/>
              </w:rPr>
              <w:t>Foundational learning in Classes 1 to 3 decides how well a child learns in every later class. For nearly two decades, Karnataka's Government primary schools taught these classes together under Nali Kali, an activity-based, multigrade approach. Nali Kali brought joyful and fear-free learning into the early grades, but concerns grew about what children were actually learning.</w:t>
            </w:r>
          </w:p>
          <w:p>
            <w:pPr>
              <w:spacing w:after="60" w:before="80"/>
            </w:pPr>
            <w:r>
              <w:rPr>
                <w:b/>
                <w:i w:val="0"/>
                <w:u w:val="none"/>
              </w:rPr>
              <w:t>Evidence that led to the change</w:t>
            </w:r>
          </w:p>
          <w:p>
            <w:pPr>
              <w:spacing w:after="60"/>
              <w:ind w:left="432" w:hanging="288"/>
              <w:jc w:val="both"/>
            </w:pPr>
            <w:r>
              <w:t xml:space="preserve">•  </w:t>
            </w:r>
            <w:r>
              <w:rPr>
                <w:b w:val="0"/>
                <w:i w:val="0"/>
                <w:u w:val="none"/>
              </w:rPr>
              <w:t>Officials reported that many children leaving the combined classes could not form complete sentences, and that this held them back in the higher classes.</w:t>
            </w:r>
          </w:p>
          <w:p>
            <w:pPr>
              <w:spacing w:after="60"/>
              <w:ind w:left="432" w:hanging="288"/>
              <w:jc w:val="both"/>
            </w:pPr>
            <w:r>
              <w:t xml:space="preserve">•  </w:t>
            </w:r>
            <w:r>
              <w:rPr>
                <w:b w:val="0"/>
                <w:i w:val="0"/>
                <w:u w:val="none"/>
              </w:rPr>
              <w:t>Children found the rise in academic demand in Class 4 difficult.</w:t>
            </w:r>
          </w:p>
          <w:p>
            <w:pPr>
              <w:spacing w:after="60"/>
              <w:ind w:left="432" w:hanging="288"/>
              <w:jc w:val="both"/>
            </w:pPr>
            <w:r>
              <w:t xml:space="preserve">•  </w:t>
            </w:r>
            <w:r>
              <w:rPr>
                <w:b w:val="0"/>
                <w:i w:val="0"/>
                <w:u w:val="none"/>
              </w:rPr>
              <w:t>A task force on implementing NEP 2020 recommended a review, and the Karnataka State Primary School Teachers' Association asked for Nali Kali to be discontinued, linking the combined classes to falling enrolment in Government schools.</w:t>
            </w:r>
          </w:p>
          <w:p>
            <w:pPr>
              <w:spacing w:after="60"/>
              <w:ind w:left="432" w:hanging="288"/>
              <w:jc w:val="both"/>
            </w:pPr>
            <w:r>
              <w:t xml:space="preserve">•  </w:t>
            </w:r>
            <w:r>
              <w:rPr>
                <w:b w:val="0"/>
                <w:i w:val="0"/>
                <w:u w:val="none"/>
              </w:rPr>
              <w:t>Officials cited the Performance Grading Index to show that outcomes had not improved under the earlier system.</w:t>
            </w:r>
          </w:p>
          <w:p>
            <w:pPr>
              <w:spacing w:after="60" w:before="80"/>
            </w:pPr>
            <w:r>
              <w:rPr>
                <w:b/>
                <w:i w:val="0"/>
                <w:u w:val="none"/>
              </w:rPr>
              <w:t>Scale of the change</w:t>
            </w:r>
          </w:p>
          <w:p>
            <w:pPr>
              <w:spacing w:after="80" w:before="0"/>
              <w:jc w:val="both"/>
            </w:pPr>
            <w:r>
              <w:rPr>
                <w:b w:val="0"/>
                <w:i w:val="0"/>
                <w:u w:val="none"/>
              </w:rPr>
              <w:t>The first phase covers 29,000 schools, including bilingual schools, with full discontinuation planned from 2026-27. Monograde teaching needs a separate teacher, a separate room and grade-specific materials for each class. A reform of this size touches teacher deployment, school buildings, training, monitoring and parents' confidence at once, which is why it matters for every State that runs multigrade classes.</w:t>
            </w:r>
          </w:p>
        </w:tc>
      </w:tr>
    </w:tbl>
    <w:p>
      <w:pPr>
        <w:spacing w:after="40" w:before="200"/>
      </w:pPr>
      <w:r>
        <w:rPr>
          <w:b/>
          <w:i w:val="0"/>
          <w:u w:val="none"/>
        </w:rPr>
        <w:t>2. Current Situation</w:t>
      </w:r>
    </w:p>
    <w:p>
      <w:pPr>
        <w:spacing w:after="80" w:before="0"/>
      </w:pPr>
      <w:r>
        <w:rPr>
          <w:b w:val="0"/>
          <w:i/>
          <w:sz w:val="22"/>
          <w:u w:val="none"/>
        </w:rPr>
        <w:t>(Current policy landscape, programmes, schemes and their progress)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before="80"/>
            </w:pPr>
            <w:r>
              <w:rPr>
                <w:b/>
                <w:i w:val="0"/>
                <w:u w:val="none"/>
              </w:rPr>
              <w:t>Policy decision and phasing</w:t>
            </w:r>
          </w:p>
          <w:p>
            <w:pPr>
              <w:spacing w:after="80" w:before="0"/>
              <w:jc w:val="both"/>
            </w:pPr>
            <w:r>
              <w:rPr>
                <w:b w:val="0"/>
                <w:i w:val="0"/>
                <w:u w:val="none"/>
              </w:rPr>
              <w:t>In November 2025 the State decided to end Nali Kali and convert its classrooms into single-grade classrooms in phases. Schools moved to monograde bilingual classrooms from 1 June 2026. The decision followed the recommendation of the NEP 2020 implementation task force and the views of teachers.</w:t>
            </w:r>
          </w:p>
          <w:p>
            <w:pPr>
              <w:spacing w:after="60" w:before="80"/>
            </w:pPr>
            <w:r>
              <w:rPr>
                <w:b/>
                <w:i w:val="0"/>
                <w:u w:val="none"/>
              </w:rPr>
              <w:t>What the evidence from the districts shows</w:t>
            </w:r>
          </w:p>
          <w:p>
            <w:pPr>
              <w:spacing w:after="60"/>
              <w:ind w:left="432" w:hanging="288"/>
              <w:jc w:val="both"/>
            </w:pPr>
            <w:r>
              <w:t xml:space="preserve">•  </w:t>
            </w:r>
            <w:r>
              <w:rPr>
                <w:b/>
                <w:i w:val="0"/>
                <w:u w:val="none"/>
              </w:rPr>
              <w:t>Teachers.</w:t>
            </w:r>
            <w:r>
              <w:rPr>
                <w:b w:val="0"/>
                <w:i w:val="0"/>
                <w:u w:val="none"/>
              </w:rPr>
              <w:t xml:space="preserve"> DIET Tumakuru found that guest teachers were appointed mainly against regular vacancies, and that late appointment and frequent replacement affected syllabus completion and SSLC results. DIET Chamarajanagar, studying fifty schools, 100 teachers and 300 Grade 3 students, found teacher shortage, multigrade teaching and non-academic work to be the main obstacles to FLN.</w:t>
            </w:r>
          </w:p>
          <w:p>
            <w:pPr>
              <w:spacing w:after="60"/>
              <w:ind w:left="432" w:hanging="288"/>
              <w:jc w:val="both"/>
            </w:pPr>
            <w:r>
              <w:t xml:space="preserve">•  </w:t>
            </w:r>
            <w:r>
              <w:rPr>
                <w:b/>
                <w:i w:val="0"/>
                <w:u w:val="none"/>
              </w:rPr>
              <w:t>Classrooms.</w:t>
            </w:r>
            <w:r>
              <w:rPr>
                <w:b w:val="0"/>
                <w:i w:val="0"/>
                <w:u w:val="none"/>
              </w:rPr>
              <w:t xml:space="preserve"> After 1 June 2026, many schools lacked desks, benches and enough classrooms; some children sat on the floor, and Head Teachers sought CSR funds and donations. In Bengaluru South, a study of 161 schools with English-medium sections found that each class of thirty children needs its own room, and that fifty-eight schools lacked the required building.</w:t>
            </w:r>
          </w:p>
          <w:p>
            <w:pPr>
              <w:spacing w:after="60"/>
              <w:ind w:left="432" w:hanging="288"/>
              <w:jc w:val="both"/>
            </w:pPr>
            <w:r>
              <w:t xml:space="preserve">•  </w:t>
            </w:r>
            <w:r>
              <w:rPr>
                <w:b/>
                <w:i w:val="0"/>
                <w:u w:val="none"/>
              </w:rPr>
              <w:t>Training.</w:t>
            </w:r>
            <w:r>
              <w:rPr>
                <w:b w:val="0"/>
                <w:i w:val="0"/>
                <w:u w:val="none"/>
              </w:rPr>
              <w:t xml:space="preserve"> DIET Chamarajanagar found that ninety-six per cent of head teachers and ninety-seven per cent of teachers had been trained in FLN, and that Learning Corners were in effective use in ninety-two per cent of schools. In Bengaluru Rural, however, only fifty-five per cent of teachers felt adequately trained in the English Nali Kali method.</w:t>
            </w:r>
          </w:p>
          <w:p>
            <w:pPr>
              <w:spacing w:after="60"/>
              <w:ind w:left="432" w:hanging="288"/>
              <w:jc w:val="both"/>
            </w:pPr>
            <w:r>
              <w:t xml:space="preserve">•  </w:t>
            </w:r>
            <w:r>
              <w:rPr>
                <w:b/>
                <w:i w:val="0"/>
                <w:u w:val="none"/>
              </w:rPr>
              <w:t>Learning.</w:t>
            </w:r>
            <w:r>
              <w:rPr>
                <w:b w:val="0"/>
                <w:i w:val="0"/>
                <w:u w:val="none"/>
              </w:rPr>
              <w:t xml:space="preserve"> DIET Chamarajanagar found continuing difficulty with multiplication and division among slow learners in Grade 3. DIET Ramanagara reported irregular attendance, limited materials and too little time for remedial teaching.</w:t>
            </w:r>
          </w:p>
          <w:p>
            <w:pPr>
              <w:spacing w:after="60" w:before="80"/>
            </w:pPr>
            <w:r>
              <w:rPr>
                <w:b/>
                <w:i w:val="0"/>
                <w:u w:val="none"/>
              </w:rPr>
              <w:t>Research under way</w:t>
            </w:r>
          </w:p>
          <w:p>
            <w:pPr>
              <w:spacing w:after="80" w:before="0"/>
              <w:jc w:val="both"/>
            </w:pPr>
            <w:r>
              <w:rPr>
                <w:b w:val="0"/>
                <w:i w:val="0"/>
                <w:u w:val="none"/>
              </w:rPr>
              <w:t>The DSERT Research Studies Tracker 2026-27 (as on 13 October 2026) includes studies that will inform the transition: DIET Chitradurga on the difficulties teachers face in monograde classes of Classes 1 to 5; DIET Mandya on FLN achievement at the end of the foundational stage; and DIETs Gadag, Tumakuru, Bagalkote and Shivamogga on Karnataka Public Schools. Each DIET receives up to Rs 10 lakh for research under Samagra Shiksha.</w:t>
            </w:r>
          </w:p>
        </w:tc>
      </w:tr>
    </w:tbl>
    <w:p>
      <w:pPr>
        <w:spacing w:after="40" w:before="200"/>
      </w:pPr>
      <w:r>
        <w:rPr>
          <w:b/>
          <w:i w:val="0"/>
          <w:u w:val="none"/>
        </w:rPr>
        <w:t>3. Challenges</w:t>
      </w:r>
    </w:p>
    <w:p>
      <w:pPr>
        <w:spacing w:after="80" w:before="0"/>
      </w:pPr>
      <w:r>
        <w:rPr>
          <w:b w:val="0"/>
          <w:i/>
          <w:sz w:val="22"/>
          <w:u w:val="none"/>
        </w:rPr>
        <w:t>(Major policy, programmatic and capacity building gaps affecting the working of the States/ UTs Administration)</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before="80"/>
            </w:pPr>
            <w:r>
              <w:rPr>
                <w:b/>
                <w:i w:val="0"/>
                <w:u w:val="none"/>
              </w:rPr>
              <w:t>Policy gaps</w:t>
            </w:r>
          </w:p>
          <w:p>
            <w:pPr>
              <w:spacing w:after="60"/>
              <w:ind w:left="432" w:hanging="288"/>
              <w:jc w:val="both"/>
            </w:pPr>
            <w:r>
              <w:t xml:space="preserve">•  </w:t>
            </w:r>
            <w:r>
              <w:rPr>
                <w:b w:val="0"/>
                <w:i w:val="0"/>
                <w:u w:val="none"/>
              </w:rPr>
              <w:t>There is no baseline of children's FLN before the change and no common system to track whether learning improves after it.</w:t>
            </w:r>
          </w:p>
          <w:p>
            <w:pPr>
              <w:spacing w:after="60"/>
              <w:ind w:left="432" w:hanging="288"/>
              <w:jc w:val="both"/>
            </w:pPr>
            <w:r>
              <w:t xml:space="preserve">•  </w:t>
            </w:r>
            <w:r>
              <w:rPr>
                <w:b w:val="0"/>
                <w:i w:val="0"/>
                <w:u w:val="none"/>
              </w:rPr>
              <w:t>Guidelines on timelines, classroom arrangement, timetable, teacher allocation and materials for Classes 1 to 3 need to be issued and followed uniformly.</w:t>
            </w:r>
          </w:p>
          <w:p>
            <w:pPr>
              <w:spacing w:after="60"/>
              <w:ind w:left="432" w:hanging="288"/>
              <w:jc w:val="both"/>
            </w:pPr>
            <w:r>
              <w:t xml:space="preserve">•  </w:t>
            </w:r>
            <w:r>
              <w:rPr>
                <w:b w:val="0"/>
                <w:i w:val="0"/>
                <w:u w:val="none"/>
              </w:rPr>
              <w:t>None of the 234 studies in the DSERT Research Abstracts Compilation 2024-25 and 2025-26 examines the transition itself; earlier studies of Nali Kali mostly recorded perceptions, without comparison groups.</w:t>
            </w:r>
          </w:p>
          <w:p>
            <w:pPr>
              <w:spacing w:after="60" w:before="80"/>
            </w:pPr>
            <w:r>
              <w:rPr>
                <w:b/>
                <w:i w:val="0"/>
                <w:u w:val="none"/>
              </w:rPr>
              <w:t>Programmatic gaps</w:t>
            </w:r>
          </w:p>
          <w:p>
            <w:pPr>
              <w:spacing w:after="60"/>
              <w:ind w:left="432" w:hanging="288"/>
              <w:jc w:val="both"/>
            </w:pPr>
            <w:r>
              <w:t xml:space="preserve">•  </w:t>
            </w:r>
            <w:r>
              <w:rPr>
                <w:b/>
                <w:i w:val="0"/>
                <w:u w:val="none"/>
              </w:rPr>
              <w:t>Teacher adequacy.</w:t>
            </w:r>
            <w:r>
              <w:rPr>
                <w:b w:val="0"/>
                <w:i w:val="0"/>
                <w:u w:val="none"/>
              </w:rPr>
              <w:t xml:space="preserve"> Monograde teaching needs more teachers for the same number of children. Vacancies, retirements, transfers and reliance on guest teachers mean that a monograde classroom may again become a combined class.</w:t>
            </w:r>
          </w:p>
          <w:p>
            <w:pPr>
              <w:spacing w:after="60"/>
              <w:ind w:left="432" w:hanging="288"/>
              <w:jc w:val="both"/>
            </w:pPr>
            <w:r>
              <w:t xml:space="preserve">•  </w:t>
            </w:r>
            <w:r>
              <w:rPr>
                <w:b/>
                <w:i w:val="0"/>
                <w:u w:val="none"/>
              </w:rPr>
              <w:t>Rooms and furniture.</w:t>
            </w:r>
            <w:r>
              <w:rPr>
                <w:b w:val="0"/>
                <w:i w:val="0"/>
                <w:u w:val="none"/>
              </w:rPr>
              <w:t xml:space="preserve"> One room served Classes 1 to 3 under Nali Kali; each class now needs its own furnished room.</w:t>
            </w:r>
          </w:p>
          <w:p>
            <w:pPr>
              <w:spacing w:after="60"/>
              <w:ind w:left="432" w:hanging="288"/>
              <w:jc w:val="both"/>
            </w:pPr>
            <w:r>
              <w:t xml:space="preserve">•  </w:t>
            </w:r>
            <w:r>
              <w:rPr>
                <w:b/>
                <w:i w:val="0"/>
                <w:u w:val="none"/>
              </w:rPr>
              <w:t>Small schools.</w:t>
            </w:r>
            <w:r>
              <w:rPr>
                <w:b w:val="0"/>
                <w:i w:val="0"/>
                <w:u w:val="none"/>
              </w:rPr>
              <w:t xml:space="preserve"> About 10.2 per cent of schools have a single teacher by one Indian estimate. Such schools cannot provide one teacher and one room for each class at once, and merging schools raises questions of distance, transport and the safety of young children.</w:t>
            </w:r>
          </w:p>
          <w:p>
            <w:pPr>
              <w:spacing w:after="60"/>
              <w:ind w:left="432" w:hanging="288"/>
              <w:jc w:val="both"/>
            </w:pPr>
            <w:r>
              <w:t xml:space="preserve">•  </w:t>
            </w:r>
            <w:r>
              <w:rPr>
                <w:b/>
                <w:i w:val="0"/>
                <w:u w:val="none"/>
              </w:rPr>
              <w:t>Progression to Class 4.</w:t>
            </w:r>
            <w:r>
              <w:rPr>
                <w:b w:val="0"/>
                <w:i w:val="0"/>
                <w:u w:val="none"/>
              </w:rPr>
              <w:t xml:space="preserve"> The sudden rise in difficulty in Class 4 remains to be addressed.</w:t>
            </w:r>
          </w:p>
          <w:p>
            <w:pPr>
              <w:spacing w:after="60" w:before="80"/>
            </w:pPr>
            <w:r>
              <w:rPr>
                <w:b/>
                <w:i w:val="0"/>
                <w:u w:val="none"/>
              </w:rPr>
              <w:t>Capacity gaps</w:t>
            </w:r>
          </w:p>
          <w:p>
            <w:pPr>
              <w:spacing w:after="60"/>
              <w:ind w:left="432" w:hanging="288"/>
              <w:jc w:val="both"/>
            </w:pPr>
            <w:r>
              <w:t xml:space="preserve">•  </w:t>
            </w:r>
            <w:r>
              <w:rPr>
                <w:b w:val="0"/>
                <w:i w:val="0"/>
                <w:u w:val="none"/>
              </w:rPr>
              <w:t>Teachers trained for two decades in multigrade methods now need skills in grade-specific planning, subject depth and teaching children at different levels within one class.</w:t>
            </w:r>
          </w:p>
          <w:p>
            <w:pPr>
              <w:spacing w:after="60"/>
              <w:ind w:left="432" w:hanging="288"/>
              <w:jc w:val="both"/>
            </w:pPr>
            <w:r>
              <w:t xml:space="preserve">•  </w:t>
            </w:r>
            <w:r>
              <w:rPr>
                <w:b w:val="0"/>
                <w:i w:val="0"/>
                <w:u w:val="none"/>
              </w:rPr>
              <w:t>There are no clear guidelines for classroom visits by BRPs, CRPs and DIET faculty; feedback is weak, follow-up is limited, and administrative work leaves little time for mentoring. Teachers may see visits as fault-finding.</w:t>
            </w:r>
          </w:p>
          <w:p>
            <w:pPr>
              <w:spacing w:after="60"/>
              <w:ind w:left="432" w:hanging="288"/>
              <w:jc w:val="both"/>
            </w:pPr>
            <w:r>
              <w:t xml:space="preserve">•  </w:t>
            </w:r>
            <w:r>
              <w:rPr>
                <w:b w:val="0"/>
                <w:i w:val="0"/>
                <w:u w:val="none"/>
              </w:rPr>
              <w:t>There is a risk that teachers return to lecture and textbook-only teaching and lose the strengths of activity-based learning.</w:t>
            </w:r>
          </w:p>
        </w:tc>
      </w:tr>
    </w:tbl>
    <w:p>
      <w:pPr>
        <w:spacing w:after="40" w:before="200"/>
      </w:pPr>
      <w:r>
        <w:rPr>
          <w:b/>
          <w:i w:val="0"/>
          <w:u w:val="none"/>
        </w:rPr>
        <w:t>4. Possible Solutions</w:t>
      </w:r>
    </w:p>
    <w:p>
      <w:pPr>
        <w:spacing w:after="80" w:before="0"/>
      </w:pPr>
      <w:r>
        <w:rPr>
          <w:b w:val="0"/>
          <w:i/>
          <w:sz w:val="22"/>
          <w:u w:val="none"/>
        </w:rPr>
        <w:t>(Proposed ideas, actions that can be undertaken by different stakeholders. Scope for convergence with other schemes/ programmes)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before="80"/>
            </w:pPr>
            <w:r>
              <w:rPr>
                <w:b/>
                <w:i w:val="0"/>
                <w:u w:val="none"/>
              </w:rPr>
              <w:t>Teachers</w:t>
            </w:r>
          </w:p>
          <w:p>
            <w:pPr>
              <w:spacing w:after="60"/>
              <w:ind w:left="432" w:hanging="288"/>
              <w:jc w:val="both"/>
            </w:pPr>
            <w:r>
              <w:t xml:space="preserve">•  </w:t>
            </w:r>
            <w:r>
              <w:rPr>
                <w:b w:val="0"/>
                <w:i w:val="0"/>
                <w:u w:val="none"/>
              </w:rPr>
              <w:t>Provide at least one teacher for each class from Class 1 to Class 5, deployed on grade-wise enrolment, not total enrolment.</w:t>
            </w:r>
          </w:p>
          <w:p>
            <w:pPr>
              <w:spacing w:after="60"/>
              <w:ind w:left="432" w:hanging="288"/>
              <w:jc w:val="both"/>
            </w:pPr>
            <w:r>
              <w:t xml:space="preserve">•  </w:t>
            </w:r>
            <w:r>
              <w:rPr>
                <w:b w:val="0"/>
                <w:i w:val="0"/>
                <w:u w:val="none"/>
              </w:rPr>
              <w:t>Fill vacant posts first in schools making the transition, and rationalise teachers within clusters and blocks.</w:t>
            </w:r>
          </w:p>
          <w:p>
            <w:pPr>
              <w:spacing w:after="60"/>
              <w:ind w:left="432" w:hanging="288"/>
              <w:jc w:val="both"/>
            </w:pPr>
            <w:r>
              <w:t xml:space="preserve">•  </w:t>
            </w:r>
            <w:r>
              <w:rPr>
                <w:b w:val="0"/>
                <w:i w:val="0"/>
                <w:u w:val="none"/>
              </w:rPr>
              <w:t>Complete guest-teacher appointments before the academic year and retain them for the full year; reduce non-academic work.</w:t>
            </w:r>
          </w:p>
          <w:p>
            <w:pPr>
              <w:spacing w:after="60" w:before="80"/>
            </w:pPr>
            <w:r>
              <w:rPr>
                <w:b/>
                <w:i w:val="0"/>
                <w:u w:val="none"/>
              </w:rPr>
              <w:t>Classrooms and materials</w:t>
            </w:r>
          </w:p>
          <w:p>
            <w:pPr>
              <w:spacing w:after="60"/>
              <w:ind w:left="432" w:hanging="288"/>
              <w:jc w:val="both"/>
            </w:pPr>
            <w:r>
              <w:t xml:space="preserve">•  </w:t>
            </w:r>
            <w:r>
              <w:rPr>
                <w:b w:val="0"/>
                <w:i w:val="0"/>
                <w:u w:val="none"/>
              </w:rPr>
              <w:t>Prepare a school-wise list of rooms, desks and benches needed, using SATS and UDISE+ data, and provide for them in Samagra Shiksha and State budgets.</w:t>
            </w:r>
          </w:p>
          <w:p>
            <w:pPr>
              <w:spacing w:after="60"/>
              <w:ind w:left="432" w:hanging="288"/>
              <w:jc w:val="both"/>
            </w:pPr>
            <w:r>
              <w:t xml:space="preserve">•  </w:t>
            </w:r>
            <w:r>
              <w:rPr>
                <w:b w:val="0"/>
                <w:i w:val="0"/>
                <w:u w:val="none"/>
              </w:rPr>
              <w:t>Use spare rooms in nearby schools as a short-term measure, and invite CSR partners, SDMCs, local bodies and donors through a transparent district system.</w:t>
            </w:r>
          </w:p>
          <w:p>
            <w:pPr>
              <w:spacing w:after="60"/>
              <w:ind w:left="432" w:hanging="288"/>
              <w:jc w:val="both"/>
            </w:pPr>
            <w:r>
              <w:t xml:space="preserve">•  </w:t>
            </w:r>
            <w:r>
              <w:rPr>
                <w:b w:val="0"/>
                <w:i w:val="0"/>
                <w:u w:val="none"/>
              </w:rPr>
              <w:t>Provide grade-specific materials, reading corners and Learning Corners in every class, reusing suitable Nali Kali materials.</w:t>
            </w:r>
          </w:p>
          <w:p>
            <w:pPr>
              <w:spacing w:after="60" w:before="80"/>
            </w:pPr>
            <w:r>
              <w:rPr>
                <w:b/>
                <w:i w:val="0"/>
                <w:u w:val="none"/>
              </w:rPr>
              <w:t>Teaching and learning</w:t>
            </w:r>
          </w:p>
          <w:p>
            <w:pPr>
              <w:spacing w:after="60"/>
              <w:ind w:left="432" w:hanging="288"/>
              <w:jc w:val="both"/>
            </w:pPr>
            <w:r>
              <w:t xml:space="preserve">•  </w:t>
            </w:r>
            <w:r>
              <w:rPr>
                <w:b w:val="0"/>
                <w:i w:val="0"/>
                <w:u w:val="none"/>
              </w:rPr>
              <w:t>Keep activity-based, joyful learning at the centre of Classes 1 to 3; plan a gradual rise in reading and writing so that children move smoothly into Class 4.</w:t>
            </w:r>
          </w:p>
          <w:p>
            <w:pPr>
              <w:spacing w:after="60"/>
              <w:ind w:left="432" w:hanging="288"/>
              <w:jc w:val="both"/>
            </w:pPr>
            <w:r>
              <w:t xml:space="preserve">•  </w:t>
            </w:r>
            <w:r>
              <w:rPr>
                <w:b w:val="0"/>
                <w:i w:val="0"/>
                <w:u w:val="none"/>
              </w:rPr>
              <w:t>Develop DIET modules on grade-specific planning and competency-based teaching; train all teachers, including guest and newly appointed teachers; use DIKSHA for short self-paced modules.</w:t>
            </w:r>
          </w:p>
          <w:p>
            <w:pPr>
              <w:spacing w:after="60"/>
              <w:ind w:left="432" w:hanging="288"/>
              <w:jc w:val="both"/>
            </w:pPr>
            <w:r>
              <w:t xml:space="preserve">•  </w:t>
            </w:r>
            <w:r>
              <w:rPr>
                <w:b w:val="0"/>
                <w:i w:val="0"/>
                <w:u w:val="none"/>
              </w:rPr>
              <w:t>Conduct a baseline FLN assessment at the start of 2026-27, repeat it at mid-year and year-end, group children by level, and record class-wise results on SATS.</w:t>
            </w:r>
          </w:p>
          <w:p>
            <w:pPr>
              <w:spacing w:after="60" w:before="80"/>
            </w:pPr>
            <w:r>
              <w:rPr>
                <w:b/>
                <w:i w:val="0"/>
                <w:u w:val="none"/>
              </w:rPr>
              <w:t>Small schools</w:t>
            </w:r>
          </w:p>
          <w:p>
            <w:pPr>
              <w:spacing w:after="60"/>
              <w:ind w:left="432" w:hanging="288"/>
              <w:jc w:val="both"/>
            </w:pPr>
            <w:r>
              <w:t xml:space="preserve">•  </w:t>
            </w:r>
            <w:r>
              <w:rPr>
                <w:b w:val="0"/>
                <w:i w:val="0"/>
                <w:u w:val="none"/>
              </w:rPr>
              <w:t>Identify small and single-teacher schools separately, give them priority for teachers, and train teachers who must manage more than one class for some time.</w:t>
            </w:r>
          </w:p>
          <w:p>
            <w:pPr>
              <w:spacing w:after="60"/>
              <w:ind w:left="432" w:hanging="288"/>
              <w:jc w:val="both"/>
            </w:pPr>
            <w:r>
              <w:t xml:space="preserve">•  </w:t>
            </w:r>
            <w:r>
              <w:rPr>
                <w:b w:val="0"/>
                <w:i w:val="0"/>
                <w:u w:val="none"/>
              </w:rPr>
              <w:t>Where schools are merged, provide safe and free transport, keep the lowest classes close to home, and consult parents and SDMCs first.</w:t>
            </w:r>
          </w:p>
          <w:p>
            <w:pPr>
              <w:spacing w:after="60" w:before="80"/>
            </w:pPr>
            <w:r>
              <w:rPr>
                <w:b/>
                <w:i w:val="0"/>
                <w:u w:val="none"/>
              </w:rPr>
              <w:t>Convergence</w:t>
            </w:r>
          </w:p>
          <w:p>
            <w:pPr>
              <w:spacing w:after="60"/>
              <w:ind w:left="432" w:hanging="288"/>
              <w:jc w:val="both"/>
            </w:pPr>
            <w:r>
              <w:t xml:space="preserve">•  </w:t>
            </w:r>
            <w:r>
              <w:rPr>
                <w:b w:val="0"/>
                <w:i w:val="0"/>
                <w:u w:val="none"/>
              </w:rPr>
              <w:t>Samagra Shiksha for teachers, classrooms and training; Karnataka Public Schools for consolidated campuses with free transport; CSR and local bodies for furniture; DIET research grants for evaluating the transition.</w:t>
            </w:r>
          </w:p>
        </w:tc>
      </w:tr>
    </w:tbl>
    <w:p>
      <w:pPr>
        <w:spacing w:after="40" w:before="200"/>
      </w:pPr>
      <w:r>
        <w:rPr>
          <w:b/>
          <w:i w:val="0"/>
          <w:u w:val="none"/>
        </w:rPr>
        <w:t>5. Best Practices</w:t>
      </w:r>
    </w:p>
    <w:p>
      <w:pPr>
        <w:spacing w:after="80" w:before="0"/>
      </w:pPr>
      <w:r>
        <w:rPr>
          <w:b w:val="0"/>
          <w:i/>
          <w:sz w:val="22"/>
          <w:u w:val="none"/>
        </w:rPr>
        <w:t>(International (if any), Major Initiatives undertaken by States/ UTs Administration. May also include initiatives for training and capacity-building that have been taken for effective implementation; Strategic communication campaigns undertaken to disseminate the programme; convergence; new technologies used for effective implementation)</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432" w:hanging="288"/>
              <w:jc w:val="both"/>
            </w:pPr>
            <w:r>
              <w:t xml:space="preserve">•  </w:t>
            </w:r>
            <w:r>
              <w:rPr>
                <w:b/>
                <w:i w:val="0"/>
                <w:u w:val="none"/>
              </w:rPr>
              <w:t>Phased implementation (State).</w:t>
            </w:r>
            <w:r>
              <w:rPr>
                <w:b w:val="0"/>
                <w:i w:val="0"/>
                <w:u w:val="none"/>
              </w:rPr>
              <w:t xml:space="preserve"> The State chose a phased transition instead of a single-step change, beginning with 29,000 schools. This lets the Department learn from the first schools and solve problems of teachers, rooms and furniture before extending the change. It can be monitored through school-wise transition status, teacher and room availability, and learning outcomes of Classes 1 to 4.</w:t>
            </w:r>
          </w:p>
          <w:p>
            <w:pPr>
              <w:spacing w:after="60"/>
              <w:ind w:left="432" w:hanging="288"/>
              <w:jc w:val="both"/>
            </w:pPr>
            <w:r>
              <w:t xml:space="preserve">•  </w:t>
            </w:r>
            <w:r>
              <w:rPr>
                <w:b/>
                <w:i w:val="0"/>
                <w:u w:val="none"/>
              </w:rPr>
              <w:t>Timely and stable staffing (DIET Tumakuru).</w:t>
            </w:r>
            <w:r>
              <w:rPr>
                <w:b w:val="0"/>
                <w:i w:val="0"/>
                <w:u w:val="none"/>
              </w:rPr>
              <w:t xml:space="preserve"> Schools where guest teachers were appointed at the start of the year achieved better SSLC results than those with delayed appointments. Guest teachers who held regular remedial classes, unit tests and model examinations, with close monitoring by Head Teachers and Block Education Officers, achieved pass percentages comparable to regular teachers in several schools.</w:t>
            </w:r>
          </w:p>
          <w:p>
            <w:pPr>
              <w:spacing w:after="60"/>
              <w:ind w:left="432" w:hanging="288"/>
              <w:jc w:val="both"/>
            </w:pPr>
            <w:r>
              <w:t xml:space="preserve">•  </w:t>
            </w:r>
            <w:r>
              <w:rPr>
                <w:b/>
                <w:i w:val="0"/>
                <w:u w:val="none"/>
              </w:rPr>
              <w:t>One class, one room, one teacher (Bengaluru South).</w:t>
            </w:r>
            <w:r>
              <w:rPr>
                <w:b w:val="0"/>
                <w:i w:val="0"/>
                <w:u w:val="none"/>
              </w:rPr>
              <w:t xml:space="preserve"> Admissions rose in all 161 schools with English-medium sections, SDMC members took a keen interest, and children who had completed LKG and UKG in private schools sought admission to Class 1 in these Government schools.</w:t>
            </w:r>
          </w:p>
          <w:p>
            <w:pPr>
              <w:spacing w:after="60"/>
              <w:ind w:left="432" w:hanging="288"/>
              <w:jc w:val="both"/>
            </w:pPr>
            <w:r>
              <w:t xml:space="preserve">•  </w:t>
            </w:r>
            <w:r>
              <w:rPr>
                <w:b/>
                <w:i w:val="0"/>
                <w:u w:val="none"/>
              </w:rPr>
              <w:t>Training at scale through the DIET network (DIET Chamarajanagar).</w:t>
            </w:r>
            <w:r>
              <w:rPr>
                <w:b w:val="0"/>
                <w:i w:val="0"/>
                <w:u w:val="none"/>
              </w:rPr>
              <w:t xml:space="preserve"> Near-universal FLN training of head teachers and teachers, Learning Corners in ninety-two per cent of schools and varied methods in ninety-four per cent show that the DIET, Block Resource Centre and Cluster Resource Centre network can prepare teachers in time.</w:t>
            </w:r>
          </w:p>
          <w:p>
            <w:pPr>
              <w:spacing w:after="60"/>
              <w:ind w:left="432" w:hanging="288"/>
              <w:jc w:val="both"/>
            </w:pPr>
            <w:r>
              <w:t xml:space="preserve">•  </w:t>
            </w:r>
            <w:r>
              <w:rPr>
                <w:b/>
                <w:i w:val="0"/>
                <w:u w:val="none"/>
              </w:rPr>
              <w:t>Keeping joyful learning (Bengaluru Rural, Uttara Kannada, Kodagu).</w:t>
            </w:r>
            <w:r>
              <w:rPr>
                <w:b w:val="0"/>
                <w:i w:val="0"/>
                <w:u w:val="none"/>
              </w:rPr>
              <w:t xml:space="preserve"> English Nali Kali led to a sixty-five per cent improvement in speaking confidence and about thirty per cent more vocabulary, and seventy-eight per cent of students enjoyed English classes more. In Uttara Kannada, seventy-five trained teachers used songs, games and storytelling to create fear-free classrooms.</w:t>
            </w:r>
          </w:p>
          <w:p>
            <w:pPr>
              <w:spacing w:after="60"/>
              <w:ind w:left="432" w:hanging="288"/>
              <w:jc w:val="both"/>
            </w:pPr>
            <w:r>
              <w:t xml:space="preserve">•  </w:t>
            </w:r>
            <w:r>
              <w:rPr>
                <w:b/>
                <w:i w:val="0"/>
                <w:u w:val="none"/>
              </w:rPr>
              <w:t>Class-level FLN monitoring (DIETs Ramanagara and Tumakuru).</w:t>
            </w:r>
            <w:r>
              <w:rPr>
                <w:b w:val="0"/>
                <w:i w:val="0"/>
                <w:u w:val="none"/>
              </w:rPr>
              <w:t xml:space="preserve"> One teacher responsible for each FLN class, grouping by level, a baseline test, remedial teaching and a review every three months improved reading fluency, number recognition and arithmetic.</w:t>
            </w:r>
          </w:p>
          <w:p>
            <w:pPr>
              <w:spacing w:after="60"/>
              <w:ind w:left="432" w:hanging="288"/>
              <w:jc w:val="both"/>
            </w:pPr>
            <w:r>
              <w:t xml:space="preserve">•  </w:t>
            </w:r>
            <w:r>
              <w:rPr>
                <w:b/>
                <w:i w:val="0"/>
                <w:u w:val="none"/>
              </w:rPr>
              <w:t>Supportive classroom visits (DIET Tumakuru).</w:t>
            </w:r>
            <w:r>
              <w:rPr>
                <w:b w:val="0"/>
                <w:i w:val="0"/>
                <w:u w:val="none"/>
              </w:rPr>
              <w:t xml:space="preserve"> A common observation checklist on the DSERT Google Form, follow-up actions agreed with the teacher before the visit ends, demonstration of methods, monthly review meetings and escalation of unresolved issues until closure.</w:t>
            </w:r>
          </w:p>
          <w:p>
            <w:pPr>
              <w:spacing w:after="60"/>
              <w:ind w:left="432" w:hanging="288"/>
              <w:jc w:val="both"/>
            </w:pPr>
            <w:r>
              <w:t xml:space="preserve">•  </w:t>
            </w:r>
            <w:r>
              <w:rPr>
                <w:b/>
                <w:i w:val="0"/>
                <w:u w:val="none"/>
              </w:rPr>
              <w:t>Transport and community support (Karnataka Public Schools).</w:t>
            </w:r>
            <w:r>
              <w:rPr>
                <w:b w:val="0"/>
                <w:i w:val="0"/>
                <w:u w:val="none"/>
              </w:rPr>
              <w:t xml:space="preserve"> Free transport, with support from SDMCs, communities and CSR, helps children from small villages reach better-equipped schools at no cost to parents.</w:t>
            </w:r>
          </w:p>
        </w:tc>
      </w:tr>
    </w:tbl>
    <w:p>
      <w:pPr>
        <w:spacing w:after="40" w:before="200"/>
      </w:pPr>
      <w:r>
        <w:rPr>
          <w:b/>
          <w:i w:val="0"/>
          <w:u w:val="none"/>
        </w:rPr>
        <w:t>6. Priority Areas</w:t>
      </w:r>
    </w:p>
    <w:p>
      <w:pPr>
        <w:spacing w:after="80" w:before="0"/>
      </w:pPr>
      <w:r>
        <w:rPr>
          <w:b w:val="0"/>
          <w:i/>
          <w:sz w:val="22"/>
          <w:u w:val="none"/>
        </w:rPr>
        <w:t>(Selected for implementation by the States in the next 5 years)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rPr>
                <w:cantSplit/>
                <w:tblHeader/>
              </w:trPr>
              <w:tc>
                <w:tcPr>
                  <w:tcW w:type="dxa" w:w="3009"/>
                  <w:shd w:val="clear" w:color="auto" w:fill="D9D9D9"/>
                </w:tcPr>
                <w:p>
                  <w:pPr>
                    <w:spacing w:after="20"/>
                  </w:pPr>
                  <w:r/>
                  <w:r>
                    <w:rPr>
                      <w:b/>
                      <w:i w:val="0"/>
                      <w:sz w:val="22"/>
                      <w:u w:val="none"/>
                    </w:rPr>
                    <w:t>Priority area</w:t>
                  </w:r>
                </w:p>
              </w:tc>
              <w:tc>
                <w:tcPr>
                  <w:tcW w:type="dxa" w:w="3009"/>
                  <w:shd w:val="clear" w:color="auto" w:fill="D9D9D9"/>
                </w:tcPr>
                <w:p>
                  <w:pPr>
                    <w:spacing w:after="20"/>
                  </w:pPr>
                  <w:r/>
                  <w:r>
                    <w:rPr>
                      <w:b/>
                      <w:i w:val="0"/>
                      <w:sz w:val="22"/>
                      <w:u w:val="none"/>
                    </w:rPr>
                    <w:t>Five-year target (2027-2031)</w:t>
                  </w:r>
                </w:p>
              </w:tc>
              <w:tc>
                <w:tcPr>
                  <w:tcW w:type="dxa" w:w="3009"/>
                  <w:shd w:val="clear" w:color="auto" w:fill="D9D9D9"/>
                </w:tcPr>
                <w:p>
                  <w:pPr>
                    <w:spacing w:after="20"/>
                  </w:pPr>
                  <w:r/>
                  <w:r>
                    <w:rPr>
                      <w:b/>
                      <w:i w:val="0"/>
                      <w:sz w:val="22"/>
                      <w:u w:val="none"/>
                    </w:rPr>
                    <w:t>Indicator</w:t>
                  </w:r>
                </w:p>
              </w:tc>
            </w:tr>
            <w:tr>
              <w:trPr>
                <w:cantSplit/>
              </w:trPr>
              <w:tc>
                <w:tcPr>
                  <w:tcW w:type="dxa" w:w="3009"/>
                </w:tcPr>
                <w:p>
                  <w:pPr>
                    <w:spacing w:after="20"/>
                  </w:pPr>
                  <w:r/>
                  <w:r>
                    <w:rPr>
                      <w:b w:val="0"/>
                      <w:i w:val="0"/>
                      <w:sz w:val="22"/>
                      <w:u w:val="none"/>
                    </w:rPr>
                    <w:t>One teacher per class</w:t>
                  </w:r>
                </w:p>
              </w:tc>
              <w:tc>
                <w:tcPr>
                  <w:tcW w:type="dxa" w:w="3009"/>
                </w:tcPr>
                <w:p>
                  <w:pPr>
                    <w:spacing w:after="20"/>
                  </w:pPr>
                  <w:r/>
                  <w:r>
                    <w:rPr>
                      <w:b w:val="0"/>
                      <w:i w:val="0"/>
                      <w:sz w:val="22"/>
                      <w:u w:val="none"/>
                    </w:rPr>
                    <w:t>Every Government primary school has at least one teacher for each class from Class 1 to Class 5 from the first day of the year</w:t>
                  </w:r>
                </w:p>
              </w:tc>
              <w:tc>
                <w:tcPr>
                  <w:tcW w:type="dxa" w:w="3009"/>
                </w:tcPr>
                <w:p>
                  <w:pPr>
                    <w:spacing w:after="20"/>
                  </w:pPr>
                  <w:r/>
                  <w:r>
                    <w:rPr>
                      <w:b w:val="0"/>
                      <w:i w:val="0"/>
                      <w:sz w:val="22"/>
                      <w:u w:val="none"/>
                    </w:rPr>
                    <w:t>Class-wise teacher availability; date of appointment</w:t>
                  </w:r>
                </w:p>
              </w:tc>
            </w:tr>
            <w:tr>
              <w:trPr>
                <w:cantSplit/>
              </w:trPr>
              <w:tc>
                <w:tcPr>
                  <w:tcW w:type="dxa" w:w="3009"/>
                </w:tcPr>
                <w:p>
                  <w:pPr>
                    <w:spacing w:after="20"/>
                  </w:pPr>
                  <w:r/>
                  <w:r>
                    <w:rPr>
                      <w:b w:val="0"/>
                      <w:i w:val="0"/>
                      <w:sz w:val="22"/>
                      <w:u w:val="none"/>
                    </w:rPr>
                    <w:t>A room for every class</w:t>
                  </w:r>
                </w:p>
              </w:tc>
              <w:tc>
                <w:tcPr>
                  <w:tcW w:type="dxa" w:w="3009"/>
                </w:tcPr>
                <w:p>
                  <w:pPr>
                    <w:spacing w:after="20"/>
                  </w:pPr>
                  <w:r/>
                  <w:r>
                    <w:rPr>
                      <w:b w:val="0"/>
                      <w:i w:val="0"/>
                      <w:sz w:val="22"/>
                      <w:u w:val="none"/>
                    </w:rPr>
                    <w:t>Every class has its own furnished room and grade-specific materials</w:t>
                  </w:r>
                </w:p>
              </w:tc>
              <w:tc>
                <w:tcPr>
                  <w:tcW w:type="dxa" w:w="3009"/>
                </w:tcPr>
                <w:p>
                  <w:pPr>
                    <w:spacing w:after="20"/>
                  </w:pPr>
                  <w:r/>
                  <w:r>
                    <w:rPr>
                      <w:b w:val="0"/>
                      <w:i w:val="0"/>
                      <w:sz w:val="22"/>
                      <w:u w:val="none"/>
                    </w:rPr>
                    <w:t>Rooms per class; furniture per child</w:t>
                  </w:r>
                </w:p>
              </w:tc>
            </w:tr>
            <w:tr>
              <w:trPr>
                <w:cantSplit/>
              </w:trPr>
              <w:tc>
                <w:tcPr>
                  <w:tcW w:type="dxa" w:w="3009"/>
                </w:tcPr>
                <w:p>
                  <w:pPr>
                    <w:spacing w:after="20"/>
                  </w:pPr>
                  <w:r/>
                  <w:r>
                    <w:rPr>
                      <w:b w:val="0"/>
                      <w:i w:val="0"/>
                      <w:sz w:val="22"/>
                      <w:u w:val="none"/>
                    </w:rPr>
                    <w:t>Learning that improves</w:t>
                  </w:r>
                </w:p>
              </w:tc>
              <w:tc>
                <w:tcPr>
                  <w:tcW w:type="dxa" w:w="3009"/>
                </w:tcPr>
                <w:p>
                  <w:pPr>
                    <w:spacing w:after="20"/>
                  </w:pPr>
                  <w:r/>
                  <w:r>
                    <w:rPr>
                      <w:b w:val="0"/>
                      <w:i w:val="0"/>
                      <w:sz w:val="22"/>
                      <w:u w:val="none"/>
                    </w:rPr>
                    <w:t>FLN baseline in 2026-27 and measurable year-on-year gains in Classes 1 to 4</w:t>
                  </w:r>
                </w:p>
              </w:tc>
              <w:tc>
                <w:tcPr>
                  <w:tcW w:type="dxa" w:w="3009"/>
                </w:tcPr>
                <w:p>
                  <w:pPr>
                    <w:spacing w:after="20"/>
                  </w:pPr>
                  <w:r/>
                  <w:r>
                    <w:rPr>
                      <w:b w:val="0"/>
                      <w:i w:val="0"/>
                      <w:sz w:val="22"/>
                      <w:u w:val="none"/>
                    </w:rPr>
                    <w:t>Class-wise FLN scores on SATS</w:t>
                  </w:r>
                </w:p>
              </w:tc>
            </w:tr>
            <w:tr>
              <w:trPr>
                <w:cantSplit/>
              </w:trPr>
              <w:tc>
                <w:tcPr>
                  <w:tcW w:type="dxa" w:w="3009"/>
                </w:tcPr>
                <w:p>
                  <w:pPr>
                    <w:spacing w:after="20"/>
                  </w:pPr>
                  <w:r/>
                  <w:r>
                    <w:rPr>
                      <w:b w:val="0"/>
                      <w:i w:val="0"/>
                      <w:sz w:val="22"/>
                      <w:u w:val="none"/>
                    </w:rPr>
                    <w:t>Joyful, activity-based teaching</w:t>
                  </w:r>
                </w:p>
              </w:tc>
              <w:tc>
                <w:tcPr>
                  <w:tcW w:type="dxa" w:w="3009"/>
                </w:tcPr>
                <w:p>
                  <w:pPr>
                    <w:spacing w:after="20"/>
                  </w:pPr>
                  <w:r/>
                  <w:r>
                    <w:rPr>
                      <w:b w:val="0"/>
                      <w:i w:val="0"/>
                      <w:sz w:val="22"/>
                      <w:u w:val="none"/>
                    </w:rPr>
                    <w:t>Activity-based methods observed in every monograde class</w:t>
                  </w:r>
                </w:p>
              </w:tc>
              <w:tc>
                <w:tcPr>
                  <w:tcW w:type="dxa" w:w="3009"/>
                </w:tcPr>
                <w:p>
                  <w:pPr>
                    <w:spacing w:after="20"/>
                  </w:pPr>
                  <w:r/>
                  <w:r>
                    <w:rPr>
                      <w:b w:val="0"/>
                      <w:i w:val="0"/>
                      <w:sz w:val="22"/>
                      <w:u w:val="none"/>
                    </w:rPr>
                    <w:t>Classroom observation records</w:t>
                  </w:r>
                </w:p>
              </w:tc>
            </w:tr>
            <w:tr>
              <w:trPr>
                <w:cantSplit/>
              </w:trPr>
              <w:tc>
                <w:tcPr>
                  <w:tcW w:type="dxa" w:w="3009"/>
                </w:tcPr>
                <w:p>
                  <w:pPr>
                    <w:spacing w:after="20"/>
                  </w:pPr>
                  <w:r/>
                  <w:r>
                    <w:rPr>
                      <w:b w:val="0"/>
                      <w:i w:val="0"/>
                      <w:sz w:val="22"/>
                      <w:u w:val="none"/>
                    </w:rPr>
                    <w:t>Small and single-teacher schools</w:t>
                  </w:r>
                </w:p>
              </w:tc>
              <w:tc>
                <w:tcPr>
                  <w:tcW w:type="dxa" w:w="3009"/>
                </w:tcPr>
                <w:p>
                  <w:pPr>
                    <w:spacing w:after="20"/>
                  </w:pPr>
                  <w:r/>
                  <w:r>
                    <w:rPr>
                      <w:b w:val="0"/>
                      <w:i w:val="0"/>
                      <w:sz w:val="22"/>
                      <w:u w:val="none"/>
                    </w:rPr>
                    <w:t>A plan for every small school, with safe transport where schools are merged</w:t>
                  </w:r>
                </w:p>
              </w:tc>
              <w:tc>
                <w:tcPr>
                  <w:tcW w:type="dxa" w:w="3009"/>
                </w:tcPr>
                <w:p>
                  <w:pPr>
                    <w:spacing w:after="20"/>
                  </w:pPr>
                  <w:r/>
                  <w:r>
                    <w:rPr>
                      <w:b w:val="0"/>
                      <w:i w:val="0"/>
                      <w:sz w:val="22"/>
                      <w:u w:val="none"/>
                    </w:rPr>
                    <w:t>Coverage of small schools; attendance and dropout</w:t>
                  </w:r>
                </w:p>
              </w:tc>
            </w:tr>
            <w:tr>
              <w:trPr>
                <w:cantSplit/>
              </w:trPr>
              <w:tc>
                <w:tcPr>
                  <w:tcW w:type="dxa" w:w="3009"/>
                </w:tcPr>
                <w:p>
                  <w:pPr>
                    <w:spacing w:after="20"/>
                  </w:pPr>
                  <w:r/>
                  <w:r>
                    <w:rPr>
                      <w:b w:val="0"/>
                      <w:i w:val="0"/>
                      <w:sz w:val="22"/>
                      <w:u w:val="none"/>
                    </w:rPr>
                    <w:t>Supportive academic monitoring</w:t>
                  </w:r>
                </w:p>
              </w:tc>
              <w:tc>
                <w:tcPr>
                  <w:tcW w:type="dxa" w:w="3009"/>
                </w:tcPr>
                <w:p>
                  <w:pPr>
                    <w:spacing w:after="20"/>
                  </w:pPr>
                  <w:r/>
                  <w:r>
                    <w:rPr>
                      <w:b w:val="0"/>
                      <w:i w:val="0"/>
                      <w:sz w:val="22"/>
                      <w:u w:val="none"/>
                    </w:rPr>
                    <w:t>Common visit guidelines and a mobile observation application for BRPs and CRPs</w:t>
                  </w:r>
                </w:p>
              </w:tc>
              <w:tc>
                <w:tcPr>
                  <w:tcW w:type="dxa" w:w="3009"/>
                </w:tcPr>
                <w:p>
                  <w:pPr>
                    <w:spacing w:after="20"/>
                  </w:pPr>
                  <w:r/>
                  <w:r>
                    <w:rPr>
                      <w:b w:val="0"/>
                      <w:i w:val="0"/>
                      <w:sz w:val="22"/>
                      <w:u w:val="none"/>
                    </w:rPr>
                    <w:t>Visits made; follow-up actions closed</w:t>
                  </w:r>
                </w:p>
              </w:tc>
            </w:tr>
            <w:tr>
              <w:trPr>
                <w:cantSplit/>
              </w:trPr>
              <w:tc>
                <w:tcPr>
                  <w:tcW w:type="dxa" w:w="3009"/>
                </w:tcPr>
                <w:p>
                  <w:pPr>
                    <w:spacing w:after="20"/>
                  </w:pPr>
                  <w:r/>
                  <w:r>
                    <w:rPr>
                      <w:b w:val="0"/>
                      <w:i w:val="0"/>
                      <w:sz w:val="22"/>
                      <w:u w:val="none"/>
                    </w:rPr>
                    <w:t>Evidence for decisions</w:t>
                  </w:r>
                </w:p>
              </w:tc>
              <w:tc>
                <w:tcPr>
                  <w:tcW w:type="dxa" w:w="3009"/>
                </w:tcPr>
                <w:p>
                  <w:pPr>
                    <w:spacing w:after="20"/>
                  </w:pPr>
                  <w:r/>
                  <w:r>
                    <w:rPr>
                      <w:b w:val="0"/>
                      <w:i w:val="0"/>
                      <w:sz w:val="22"/>
                      <w:u w:val="none"/>
                    </w:rPr>
                    <w:t>Comparison-group studies of the transition in every district</w:t>
                  </w:r>
                </w:p>
              </w:tc>
              <w:tc>
                <w:tcPr>
                  <w:tcW w:type="dxa" w:w="3009"/>
                </w:tcPr>
                <w:p>
                  <w:pPr>
                    <w:spacing w:after="20"/>
                  </w:pPr>
                  <w:r/>
                  <w:r>
                    <w:rPr>
                      <w:b w:val="0"/>
                      <w:i w:val="0"/>
                      <w:sz w:val="22"/>
                      <w:u w:val="none"/>
                    </w:rPr>
                    <w:t>Studies completed and used in plans</w:t>
                  </w:r>
                </w:p>
              </w:tc>
            </w:tr>
          </w:tbl>
          <w:p/>
          <w:p>
            <w:pPr>
              <w:spacing w:after="40"/>
            </w:pPr>
          </w:p>
        </w:tc>
      </w:tr>
    </w:tbl>
    <w:p>
      <w:pPr>
        <w:spacing w:after="40" w:before="200"/>
      </w:pPr>
      <w:r>
        <w:rPr>
          <w:b/>
          <w:i w:val="0"/>
          <w:u w:val="none"/>
        </w:rPr>
        <w:t>7. Way Forward – Strategy for Implementation</w:t>
      </w:r>
    </w:p>
    <w:p>
      <w:pPr>
        <w:spacing w:after="80" w:before="0"/>
      </w:pPr>
      <w:r>
        <w:rPr>
          <w:b w:val="0"/>
          <w:i/>
          <w:sz w:val="22"/>
          <w:u w:val="none"/>
        </w:rPr>
        <w:t>(Modality for implementation – Legal, Administrative, Technological, Budgetary reforms required for implementation)</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before="80"/>
            </w:pPr>
            <w:r>
              <w:rPr>
                <w:b/>
                <w:i w:val="0"/>
                <w:u w:val="none"/>
              </w:rPr>
              <w:t>Legal</w:t>
            </w:r>
          </w:p>
          <w:p>
            <w:pPr>
              <w:spacing w:after="60"/>
              <w:ind w:left="432" w:hanging="288"/>
              <w:jc w:val="both"/>
            </w:pPr>
            <w:r>
              <w:t xml:space="preserve">•  </w:t>
            </w:r>
            <w:r>
              <w:rPr>
                <w:b w:val="0"/>
                <w:i w:val="0"/>
                <w:u w:val="none"/>
              </w:rPr>
              <w:t>Issue a Government Order and guidelines for the monograde transition covering timelines, classroom arrangement, timetable, teacher allocation and learning materials for Classes 1 to 3.</w:t>
            </w:r>
          </w:p>
          <w:p>
            <w:pPr>
              <w:spacing w:after="60"/>
              <w:ind w:left="432" w:hanging="288"/>
              <w:jc w:val="both"/>
            </w:pPr>
            <w:r>
              <w:t xml:space="preserve">•  </w:t>
            </w:r>
            <w:r>
              <w:rPr>
                <w:b w:val="0"/>
                <w:i w:val="0"/>
                <w:u w:val="none"/>
              </w:rPr>
              <w:t>Notify norms for classroom visits by BRPs, CRPs and DIET faculty, covering frequency, purpose, feedback and escalation.</w:t>
            </w:r>
          </w:p>
          <w:p>
            <w:pPr>
              <w:spacing w:after="60" w:before="80"/>
            </w:pPr>
            <w:r>
              <w:rPr>
                <w:b/>
                <w:i w:val="0"/>
                <w:u w:val="none"/>
              </w:rPr>
              <w:t>Administrative</w:t>
            </w:r>
          </w:p>
          <w:p>
            <w:pPr>
              <w:spacing w:after="60"/>
              <w:ind w:left="432" w:hanging="288"/>
              <w:jc w:val="both"/>
            </w:pPr>
            <w:r>
              <w:t xml:space="preserve">•  </w:t>
            </w:r>
            <w:r>
              <w:rPr>
                <w:b w:val="0"/>
                <w:i w:val="0"/>
                <w:u w:val="none"/>
              </w:rPr>
              <w:t>Deploy teachers by grade-wise enrolment; fill vacancies in transition schools first; complete guest-teacher appointments before the year begins.</w:t>
            </w:r>
          </w:p>
          <w:p>
            <w:pPr>
              <w:spacing w:after="60"/>
              <w:ind w:left="432" w:hanging="288"/>
              <w:jc w:val="both"/>
            </w:pPr>
            <w:r>
              <w:t xml:space="preserve">•  </w:t>
            </w:r>
            <w:r>
              <w:rPr>
                <w:b w:val="0"/>
                <w:i w:val="0"/>
                <w:u w:val="none"/>
              </w:rPr>
              <w:t>Make DIETs the nodal academic support for training, mentoring and FLN monitoring, with CRPs as school-level follow-up.</w:t>
            </w:r>
          </w:p>
          <w:p>
            <w:pPr>
              <w:spacing w:after="60"/>
              <w:ind w:left="432" w:hanging="288"/>
              <w:jc w:val="both"/>
            </w:pPr>
            <w:r>
              <w:t xml:space="preserve">•  </w:t>
            </w:r>
            <w:r>
              <w:rPr>
                <w:b w:val="0"/>
                <w:i w:val="0"/>
                <w:u w:val="none"/>
              </w:rPr>
              <w:t>Review progress every term at block, district and State levels, and explain the change to parents and SDMCs.</w:t>
            </w:r>
          </w:p>
          <w:p>
            <w:pPr>
              <w:spacing w:after="60" w:before="80"/>
            </w:pPr>
            <w:r>
              <w:rPr>
                <w:b/>
                <w:i w:val="0"/>
                <w:u w:val="none"/>
              </w:rPr>
              <w:t>Technological</w:t>
            </w:r>
          </w:p>
          <w:p>
            <w:pPr>
              <w:spacing w:after="60"/>
              <w:ind w:left="432" w:hanging="288"/>
              <w:jc w:val="both"/>
            </w:pPr>
            <w:r>
              <w:t xml:space="preserve">•  </w:t>
            </w:r>
            <w:r>
              <w:rPr>
                <w:b w:val="0"/>
                <w:i w:val="0"/>
                <w:u w:val="none"/>
              </w:rPr>
              <w:t>Use SATS and UDISE+ to prepare a school-wise readiness list and to record class-wise FLN results.</w:t>
            </w:r>
          </w:p>
          <w:p>
            <w:pPr>
              <w:spacing w:after="60"/>
              <w:ind w:left="432" w:hanging="288"/>
              <w:jc w:val="both"/>
            </w:pPr>
            <w:r>
              <w:t xml:space="preserve">•  </w:t>
            </w:r>
            <w:r>
              <w:rPr>
                <w:b w:val="0"/>
                <w:i w:val="0"/>
                <w:u w:val="none"/>
              </w:rPr>
              <w:t>Provide BRPs and CRPs with a mobile application for checklists, visit schedules, feedback and follow-up reminders, with offline entry.</w:t>
            </w:r>
          </w:p>
          <w:p>
            <w:pPr>
              <w:spacing w:after="60"/>
              <w:ind w:left="432" w:hanging="288"/>
              <w:jc w:val="both"/>
            </w:pPr>
            <w:r>
              <w:t xml:space="preserve">•  </w:t>
            </w:r>
            <w:r>
              <w:rPr>
                <w:b w:val="0"/>
                <w:i w:val="0"/>
                <w:u w:val="none"/>
              </w:rPr>
              <w:t>Use DIKSHA for short, self-paced teacher learning modules.</w:t>
            </w:r>
          </w:p>
          <w:p>
            <w:pPr>
              <w:spacing w:after="60" w:before="80"/>
            </w:pPr>
            <w:r>
              <w:rPr>
                <w:b/>
                <w:i w:val="0"/>
                <w:u w:val="none"/>
              </w:rPr>
              <w:t>Budgetary</w:t>
            </w:r>
          </w:p>
          <w:p>
            <w:pPr>
              <w:spacing w:after="60"/>
              <w:ind w:left="432" w:hanging="288"/>
              <w:jc w:val="both"/>
            </w:pPr>
            <w:r>
              <w:t xml:space="preserve">•  </w:t>
            </w:r>
            <w:r>
              <w:rPr>
                <w:b w:val="0"/>
                <w:i w:val="0"/>
                <w:u w:val="none"/>
              </w:rPr>
              <w:t>Provide in Samagra Shiksha and State budgets for additional teachers, classrooms and furniture for the transition, so that schools do not depend on donations alone.</w:t>
            </w:r>
          </w:p>
          <w:p>
            <w:pPr>
              <w:spacing w:after="60"/>
              <w:ind w:left="432" w:hanging="288"/>
              <w:jc w:val="both"/>
            </w:pPr>
            <w:r>
              <w:t xml:space="preserve">•  </w:t>
            </w:r>
            <w:r>
              <w:rPr>
                <w:b w:val="0"/>
                <w:i w:val="0"/>
                <w:u w:val="none"/>
              </w:rPr>
              <w:t>Fund free transport where small schools are merged.</w:t>
            </w:r>
          </w:p>
          <w:p>
            <w:pPr>
              <w:spacing w:after="60"/>
              <w:ind w:left="432" w:hanging="288"/>
              <w:jc w:val="both"/>
            </w:pPr>
            <w:r>
              <w:t xml:space="preserve">•  </w:t>
            </w:r>
            <w:r>
              <w:rPr>
                <w:b w:val="0"/>
                <w:i w:val="0"/>
                <w:u w:val="none"/>
              </w:rPr>
              <w:t>Continue research grants of up to Rs 10 lakh for each DIET to evaluate the transition with comparison groups.</w:t>
            </w:r>
          </w:p>
        </w:tc>
      </w:tr>
    </w:tbl>
    <w:p>
      <w:pPr>
        <w:spacing w:after="120" w:before="280"/>
      </w:pPr>
      <w:r>
        <w:rPr>
          <w:b/>
          <w:i w:val="0"/>
          <w:u w:val="single"/>
        </w:rPr>
        <w:t>References</w:t>
      </w:r>
    </w:p>
    <w:p>
      <w:pPr>
        <w:spacing w:after="60" w:before="0"/>
        <w:ind w:left="576" w:hanging="576"/>
        <w:jc w:val="both"/>
      </w:pPr>
      <w:r>
        <w:rPr>
          <w:b w:val="0"/>
          <w:i w:val="0"/>
          <w:u w:val="none"/>
        </w:rPr>
        <w:t>Deccan Herald (4 November 2025). Report on the decision to end Nali Kali and introduce monograde classrooms.</w:t>
      </w:r>
    </w:p>
    <w:p>
      <w:pPr>
        <w:spacing w:after="60" w:before="0"/>
        <w:ind w:left="576" w:hanging="576"/>
        <w:jc w:val="both"/>
      </w:pPr>
      <w:r>
        <w:rPr>
          <w:b w:val="0"/>
          <w:i w:val="0"/>
          <w:u w:val="none"/>
        </w:rPr>
        <w:t>The Federal (19 February 2026). Report on the Nali Kali transition.</w:t>
      </w:r>
    </w:p>
    <w:p>
      <w:pPr>
        <w:spacing w:after="60" w:before="0"/>
        <w:ind w:left="576" w:hanging="576"/>
        <w:jc w:val="both"/>
      </w:pPr>
      <w:r>
        <w:rPr>
          <w:b w:val="0"/>
          <w:i w:val="0"/>
          <w:u w:val="none"/>
        </w:rPr>
        <w:t>Times of India, via Spill (8 June 2026). Report on monograde bilingual classrooms from 1 June 2026.</w:t>
      </w:r>
    </w:p>
    <w:p>
      <w:pPr>
        <w:spacing w:after="60" w:before="0"/>
        <w:ind w:left="576" w:hanging="576"/>
        <w:jc w:val="both"/>
      </w:pPr>
      <w:r>
        <w:rPr>
          <w:b w:val="0"/>
          <w:i w:val="0"/>
          <w:u w:val="none"/>
        </w:rPr>
        <w:t>DIET Tumakuru (2025-26). Study on guest teachers and SSLC results; study on FLN deficiencies in Classes 6 and 7.</w:t>
      </w:r>
    </w:p>
    <w:p>
      <w:pPr>
        <w:spacing w:after="60" w:before="0"/>
        <w:ind w:left="576" w:hanging="576"/>
        <w:jc w:val="both"/>
      </w:pPr>
      <w:r>
        <w:rPr>
          <w:b w:val="0"/>
          <w:i w:val="0"/>
          <w:u w:val="none"/>
        </w:rPr>
        <w:t>DIET Chamarajanagar (2025-26). A Study on Effective Implementation of the Foundational Literacy and Numeracy (FLN) Programme in Grade 3 of Selected Government Primary Schools of Chamarajanagar District.</w:t>
      </w:r>
    </w:p>
    <w:p>
      <w:pPr>
        <w:spacing w:after="60" w:before="0"/>
        <w:ind w:left="576" w:hanging="576"/>
        <w:jc w:val="both"/>
      </w:pPr>
      <w:r>
        <w:rPr>
          <w:b w:val="0"/>
          <w:i w:val="0"/>
          <w:u w:val="none"/>
        </w:rPr>
        <w:t>DIET Bengaluru Urban (2024-25). Evaluation study of English-medium schools in Bengaluru South.</w:t>
      </w:r>
    </w:p>
    <w:p>
      <w:pPr>
        <w:spacing w:after="60" w:before="0"/>
        <w:ind w:left="576" w:hanging="576"/>
        <w:jc w:val="both"/>
      </w:pPr>
      <w:r>
        <w:rPr>
          <w:b w:val="0"/>
          <w:i w:val="0"/>
          <w:u w:val="none"/>
        </w:rPr>
        <w:t>DIET Chitradurga (2024-25). Evaluation of Karnataka Public Schools.</w:t>
      </w:r>
    </w:p>
    <w:p>
      <w:pPr>
        <w:spacing w:after="60" w:before="0"/>
        <w:ind w:left="576" w:hanging="576"/>
        <w:jc w:val="both"/>
      </w:pPr>
      <w:r>
        <w:rPr>
          <w:b w:val="0"/>
          <w:i w:val="0"/>
          <w:u w:val="none"/>
        </w:rPr>
        <w:t>DIET Bengaluru Rural (2024-25). Study on English Nali Kali.</w:t>
      </w:r>
    </w:p>
    <w:p>
      <w:pPr>
        <w:spacing w:after="60" w:before="0"/>
        <w:ind w:left="576" w:hanging="576"/>
        <w:jc w:val="both"/>
      </w:pPr>
      <w:r>
        <w:rPr>
          <w:b w:val="0"/>
          <w:i w:val="0"/>
          <w:u w:val="none"/>
        </w:rPr>
        <w:t>DIET Uttara Kannada (2025-26). Study on English Nali Kali training. DIET Kodagu (2025-26). Study on Nali Kali training.</w:t>
      </w:r>
    </w:p>
    <w:p>
      <w:pPr>
        <w:spacing w:after="60" w:before="0"/>
        <w:ind w:left="576" w:hanging="576"/>
        <w:jc w:val="both"/>
      </w:pPr>
      <w:r>
        <w:rPr>
          <w:b w:val="0"/>
          <w:i w:val="0"/>
          <w:u w:val="none"/>
        </w:rPr>
        <w:t>DIET Ramanagara (2025-26). Study on FLN strategies.</w:t>
      </w:r>
    </w:p>
    <w:p>
      <w:pPr>
        <w:spacing w:after="60" w:before="0"/>
        <w:ind w:left="576" w:hanging="576"/>
        <w:jc w:val="both"/>
      </w:pPr>
      <w:r>
        <w:rPr>
          <w:b w:val="0"/>
          <w:i w:val="0"/>
          <w:u w:val="none"/>
        </w:rPr>
        <w:t>DSERT (2026). Research Abstracts Compilation 2024-25 and 2025-26. Bengaluru.</w:t>
      </w:r>
    </w:p>
    <w:p>
      <w:pPr>
        <w:spacing w:after="60" w:before="0"/>
        <w:ind w:left="576" w:hanging="576"/>
        <w:jc w:val="both"/>
      </w:pPr>
      <w:r>
        <w:rPr>
          <w:b w:val="0"/>
          <w:i w:val="0"/>
          <w:u w:val="none"/>
        </w:rPr>
        <w:t>DSERT (2026). Research Studies Tracker 2026-27 (data as on 13 October 2026). Research Wing, Bengaluru.</w:t>
      </w:r>
    </w:p>
    <w:p>
      <w:pPr>
        <w:spacing w:after="60" w:before="0"/>
        <w:ind w:left="576" w:hanging="576"/>
        <w:jc w:val="both"/>
      </w:pPr>
      <w:r>
        <w:rPr>
          <w:b w:val="0"/>
          <w:i w:val="0"/>
          <w:u w:val="none"/>
        </w:rPr>
        <w:t>Kochar, A. et al. (2013). Nali Kali: Enabling for Learning. Stanford University, Catalyst Management Services and Azim Premji Foundation.</w:t>
      </w:r>
    </w:p>
    <w:p>
      <w:pPr>
        <w:spacing w:after="60" w:before="0"/>
        <w:ind w:left="576" w:hanging="576"/>
        <w:jc w:val="both"/>
      </w:pPr>
      <w:r>
        <w:rPr>
          <w:b w:val="0"/>
          <w:i w:val="0"/>
          <w:u w:val="none"/>
        </w:rPr>
        <w:t>Little, A.W. (Ed.) (2006). Education for All and Multigrade Teaching. Springer.</w:t>
      </w:r>
    </w:p>
    <w:p>
      <w:pPr>
        <w:spacing w:after="60" w:before="0"/>
        <w:ind w:left="576" w:hanging="576"/>
        <w:jc w:val="both"/>
      </w:pPr>
      <w:r>
        <w:rPr>
          <w:b w:val="0"/>
          <w:i w:val="0"/>
          <w:u w:val="none"/>
        </w:rPr>
        <w:t>Suzuki (2003). Institute of Education, University of London.</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8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