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right"/>
      </w:pPr>
      <w:r>
        <w:rPr>
          <w:b/>
          <w:i w:val="0"/>
          <w:u w:val="none"/>
        </w:rPr>
        <w:t>Annexure-2</w:t>
      </w:r>
    </w:p>
    <w:p>
      <w:pPr>
        <w:spacing w:after="80" w:before="0"/>
        <w:jc w:val="center"/>
      </w:pPr>
      <w:r>
        <w:rPr>
          <w:b/>
          <w:i w:val="0"/>
          <w:sz w:val="28"/>
          <w:u w:val="none"/>
        </w:rPr>
        <w:t>Research Evidence for Quality Education: The State Research Programme of DSERT and the DIETs in Karnataka</w:t>
      </w:r>
    </w:p>
    <w:p>
      <w:pPr>
        <w:spacing w:after="80" w:before="0"/>
        <w:jc w:val="center"/>
      </w:pPr>
      <w:r>
        <w:rPr>
          <w:b/>
          <w:i w:val="0"/>
          <w:u w:val="none"/>
        </w:rPr>
        <w:t>Sixth National Conference of Chief Secretaries</w:t>
      </w:r>
    </w:p>
    <w:p>
      <w:pPr>
        <w:spacing w:after="40" w:before="0"/>
        <w:jc w:val="center"/>
      </w:pPr>
      <w:r>
        <w:rPr>
          <w:b w:val="0"/>
          <w:i/>
          <w:u w:val="none"/>
        </w:rPr>
        <w:t>Topic: Human Development: Ensure Quality Education</w:t>
      </w:r>
    </w:p>
    <w:p>
      <w:pPr>
        <w:spacing w:after="40" w:before="0"/>
        <w:jc w:val="center"/>
      </w:pPr>
      <w:r>
        <w:rPr>
          <w:b w:val="0"/>
          <w:i/>
          <w:u w:val="none"/>
        </w:rPr>
        <w:t>Theme: Quality Education and Creating Equal Opportunity for All: The Karnataka Approach, 2026-27</w:t>
      </w:r>
    </w:p>
    <w:p>
      <w:pPr>
        <w:spacing w:after="40" w:before="0"/>
        <w:jc w:val="center"/>
      </w:pPr>
      <w:r>
        <w:rPr>
          <w:b w:val="0"/>
          <w:i/>
          <w:u w:val="none"/>
        </w:rPr>
        <w:t>Department of State Educational Research and Training (DSERT), Bengaluru, Government of Karnataka</w:t>
      </w:r>
    </w:p>
    <w:p>
      <w:pPr>
        <w:spacing w:after="120" w:before="360"/>
      </w:pPr>
      <w:r>
        <w:rPr>
          <w:b/>
          <w:i w:val="0"/>
          <w:u w:val="single"/>
        </w:rPr>
        <w:t>Foreword</w:t>
      </w:r>
    </w:p>
    <w:p>
      <w:pPr>
        <w:spacing w:after="120" w:before="0"/>
      </w:pPr>
      <w:r>
        <w:rPr>
          <w:b w:val="0"/>
          <w:i/>
          <w:u w:val="none"/>
        </w:rPr>
        <w:t>(Signed by the nodal Secretary, Government of India)</w:t>
      </w:r>
    </w:p>
    <w:p>
      <w:pPr>
        <w:spacing w:after="80" w:before="0"/>
        <w:jc w:val="both"/>
      </w:pPr>
      <w:r>
        <w:rPr>
          <w:b w:val="0"/>
          <w:i w:val="0"/>
          <w:u w:val="none"/>
        </w:rPr>
        <w:t>Good decisions in school education need good evidence, and the best evidence often comes from the people closest to the classroom. In Karnataka, the District Institutes of Education and Training (DIETs) have studied, district by district, how State programmes reach children: foundational literacy and numeracy, mathematics kits, science laboratories, technology in classrooms, inclusive education, nutrition, and the work of School Development and Monitoring Committees.</w:t>
      </w:r>
    </w:p>
    <w:p>
      <w:pPr>
        <w:spacing w:after="80" w:before="0"/>
        <w:jc w:val="both"/>
      </w:pPr>
      <w:r>
        <w:rPr>
          <w:b w:val="0"/>
          <w:i w:val="0"/>
          <w:u w:val="none"/>
        </w:rPr>
        <w:t>This note brings that work together. It draws on 124 feedback notes prepared from the Research Abstracts Compilation of the Department of State Educational Research and Training (DSERT) and from the State Research Studies Tracker 2026-27. It shows what the studies found, where programmes are working, where they fall short, and how the State is turning scattered studies into a planned, funded and monitored research programme.</w:t>
      </w:r>
    </w:p>
    <w:p>
      <w:pPr>
        <w:spacing w:after="80" w:before="0"/>
        <w:jc w:val="both"/>
      </w:pPr>
      <w:r>
        <w:rPr>
          <w:b w:val="0"/>
          <w:i w:val="0"/>
          <w:u w:val="none"/>
        </w:rPr>
        <w:t>The approach is simple and low in cost. It uses institutions that every State already has. Other States and Union Territories may find it useful as they strengthen their own DIETs and State Councils of Educational Research and Training.</w:t>
      </w:r>
    </w:p>
    <w:p>
      <w:pPr>
        <w:spacing w:after="360" w:before="0"/>
        <w:jc w:val="both"/>
      </w:pPr>
    </w:p>
    <w:p>
      <w:pPr>
        <w:spacing w:after="0" w:before="0"/>
        <w:jc w:val="right"/>
      </w:pPr>
      <w:r>
        <w:rPr>
          <w:b/>
          <w:i w:val="0"/>
          <w:u w:val="none"/>
        </w:rPr>
        <w:t>[Name]</w:t>
      </w:r>
    </w:p>
    <w:p>
      <w:pPr>
        <w:spacing w:after="0" w:before="0"/>
        <w:jc w:val="right"/>
      </w:pPr>
      <w:r>
        <w:rPr>
          <w:b w:val="0"/>
          <w:i w:val="0"/>
          <w:u w:val="none"/>
        </w:rPr>
        <w:t>Secretary, [Ministry/Department]</w:t>
      </w:r>
    </w:p>
    <w:p>
      <w:pPr>
        <w:spacing w:after="0" w:before="0"/>
        <w:jc w:val="right"/>
      </w:pPr>
      <w:r>
        <w:rPr>
          <w:b w:val="0"/>
          <w:i w:val="0"/>
          <w:u w:val="none"/>
        </w:rPr>
        <w:t>Government of India</w:t>
      </w:r>
    </w:p>
    <w:p>
      <w:pPr>
        <w:spacing w:after="0" w:before="0"/>
        <w:jc w:val="right"/>
      </w:pPr>
      <w:r>
        <w:rPr>
          <w:b/>
          <w:i w:val="0"/>
          <w:u w:val="none"/>
        </w:rPr>
        <w:t>[Date]</w:t>
      </w:r>
    </w:p>
    <w:p>
      <w:r>
        <w:br w:type="page"/>
      </w:r>
    </w:p>
    <w:p>
      <w:pPr>
        <w:spacing w:after="120" w:before="0"/>
      </w:pPr>
      <w:r>
        <w:rPr>
          <w:b/>
          <w:i w:val="0"/>
          <w:u w:val="single"/>
        </w:rPr>
        <w:t>Abbreviations</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016"/>
        <w:gridCol w:w="7056"/>
      </w:tblGrid>
      <w:tr>
        <w:trPr>
          <w:cantSplit/>
          <w:tblHeader/>
        </w:trPr>
        <w:tc>
          <w:tcPr>
            <w:tcW w:type="dxa" w:w="2016"/>
            <w:shd w:val="clear" w:color="auto" w:fill="D9D9D9"/>
          </w:tcPr>
          <w:p>
            <w:pPr>
              <w:spacing w:after="20"/>
            </w:pPr>
            <w:r/>
            <w:r>
              <w:rPr>
                <w:b/>
                <w:i w:val="0"/>
                <w:sz w:val="22"/>
                <w:u w:val="none"/>
              </w:rPr>
              <w:t>Abbreviation</w:t>
            </w:r>
          </w:p>
        </w:tc>
        <w:tc>
          <w:tcPr>
            <w:tcW w:type="dxa" w:w="7056"/>
            <w:shd w:val="clear" w:color="auto" w:fill="D9D9D9"/>
          </w:tcPr>
          <w:p>
            <w:pPr>
              <w:spacing w:after="20"/>
            </w:pPr>
            <w:r/>
            <w:r>
              <w:rPr>
                <w:b/>
                <w:i w:val="0"/>
                <w:sz w:val="22"/>
                <w:u w:val="none"/>
              </w:rPr>
              <w:t>Expansion</w:t>
            </w:r>
          </w:p>
        </w:tc>
      </w:tr>
      <w:tr>
        <w:trPr>
          <w:cantSplit/>
        </w:trPr>
        <w:tc>
          <w:tcPr>
            <w:tcW w:type="dxa" w:w="2016"/>
          </w:tcPr>
          <w:p>
            <w:pPr>
              <w:spacing w:after="20"/>
            </w:pPr>
            <w:r/>
            <w:r>
              <w:rPr>
                <w:b w:val="0"/>
                <w:i w:val="0"/>
                <w:sz w:val="22"/>
                <w:u w:val="none"/>
              </w:rPr>
              <w:t>AI</w:t>
            </w:r>
          </w:p>
        </w:tc>
        <w:tc>
          <w:tcPr>
            <w:tcW w:type="dxa" w:w="7056"/>
          </w:tcPr>
          <w:p>
            <w:pPr>
              <w:spacing w:after="20"/>
            </w:pPr>
            <w:r/>
            <w:r>
              <w:rPr>
                <w:b w:val="0"/>
                <w:i w:val="0"/>
                <w:sz w:val="22"/>
                <w:u w:val="none"/>
              </w:rPr>
              <w:t>Artificial Intelligence</w:t>
            </w:r>
          </w:p>
        </w:tc>
      </w:tr>
      <w:tr>
        <w:trPr>
          <w:cantSplit/>
        </w:trPr>
        <w:tc>
          <w:tcPr>
            <w:tcW w:type="dxa" w:w="2016"/>
          </w:tcPr>
          <w:p>
            <w:pPr>
              <w:spacing w:after="20"/>
            </w:pPr>
            <w:r/>
            <w:r>
              <w:rPr>
                <w:b w:val="0"/>
                <w:i w:val="0"/>
                <w:sz w:val="22"/>
                <w:u w:val="none"/>
              </w:rPr>
              <w:t>APA</w:t>
            </w:r>
          </w:p>
        </w:tc>
        <w:tc>
          <w:tcPr>
            <w:tcW w:type="dxa" w:w="7056"/>
          </w:tcPr>
          <w:p>
            <w:pPr>
              <w:spacing w:after="20"/>
            </w:pPr>
            <w:r/>
            <w:r>
              <w:rPr>
                <w:b w:val="0"/>
                <w:i w:val="0"/>
                <w:sz w:val="22"/>
                <w:u w:val="none"/>
              </w:rPr>
              <w:t>American Psychological Association</w:t>
            </w:r>
          </w:p>
        </w:tc>
      </w:tr>
      <w:tr>
        <w:trPr>
          <w:cantSplit/>
        </w:trPr>
        <w:tc>
          <w:tcPr>
            <w:tcW w:type="dxa" w:w="2016"/>
          </w:tcPr>
          <w:p>
            <w:pPr>
              <w:spacing w:after="20"/>
            </w:pPr>
            <w:r/>
            <w:r>
              <w:rPr>
                <w:b w:val="0"/>
                <w:i w:val="0"/>
                <w:sz w:val="22"/>
                <w:u w:val="none"/>
              </w:rPr>
              <w:t>ATL</w:t>
            </w:r>
          </w:p>
        </w:tc>
        <w:tc>
          <w:tcPr>
            <w:tcW w:type="dxa" w:w="7056"/>
          </w:tcPr>
          <w:p>
            <w:pPr>
              <w:spacing w:after="20"/>
            </w:pPr>
            <w:r/>
            <w:r>
              <w:rPr>
                <w:b w:val="0"/>
                <w:i w:val="0"/>
                <w:sz w:val="22"/>
                <w:u w:val="none"/>
              </w:rPr>
              <w:t>Atal Tinkering Lab</w:t>
            </w:r>
          </w:p>
        </w:tc>
      </w:tr>
      <w:tr>
        <w:trPr>
          <w:cantSplit/>
        </w:trPr>
        <w:tc>
          <w:tcPr>
            <w:tcW w:type="dxa" w:w="2016"/>
          </w:tcPr>
          <w:p>
            <w:pPr>
              <w:spacing w:after="20"/>
            </w:pPr>
            <w:r/>
            <w:r>
              <w:rPr>
                <w:b w:val="0"/>
                <w:i w:val="0"/>
                <w:sz w:val="22"/>
                <w:u w:val="none"/>
              </w:rPr>
              <w:t>BRP</w:t>
            </w:r>
          </w:p>
        </w:tc>
        <w:tc>
          <w:tcPr>
            <w:tcW w:type="dxa" w:w="7056"/>
          </w:tcPr>
          <w:p>
            <w:pPr>
              <w:spacing w:after="20"/>
            </w:pPr>
            <w:r/>
            <w:r>
              <w:rPr>
                <w:b w:val="0"/>
                <w:i w:val="0"/>
                <w:sz w:val="22"/>
                <w:u w:val="none"/>
              </w:rPr>
              <w:t>Block Resource Person</w:t>
            </w:r>
          </w:p>
        </w:tc>
      </w:tr>
      <w:tr>
        <w:trPr>
          <w:cantSplit/>
        </w:trPr>
        <w:tc>
          <w:tcPr>
            <w:tcW w:type="dxa" w:w="2016"/>
          </w:tcPr>
          <w:p>
            <w:pPr>
              <w:spacing w:after="20"/>
            </w:pPr>
            <w:r/>
            <w:r>
              <w:rPr>
                <w:b w:val="0"/>
                <w:i w:val="0"/>
                <w:sz w:val="22"/>
                <w:u w:val="none"/>
              </w:rPr>
              <w:t>CPA</w:t>
            </w:r>
          </w:p>
        </w:tc>
        <w:tc>
          <w:tcPr>
            <w:tcW w:type="dxa" w:w="7056"/>
          </w:tcPr>
          <w:p>
            <w:pPr>
              <w:spacing w:after="20"/>
            </w:pPr>
            <w:r/>
            <w:r>
              <w:rPr>
                <w:b w:val="0"/>
                <w:i w:val="0"/>
                <w:sz w:val="22"/>
                <w:u w:val="none"/>
              </w:rPr>
              <w:t>Concrete-Pictorial-Abstract</w:t>
            </w:r>
          </w:p>
        </w:tc>
      </w:tr>
      <w:tr>
        <w:trPr>
          <w:cantSplit/>
        </w:trPr>
        <w:tc>
          <w:tcPr>
            <w:tcW w:type="dxa" w:w="2016"/>
          </w:tcPr>
          <w:p>
            <w:pPr>
              <w:spacing w:after="20"/>
            </w:pPr>
            <w:r/>
            <w:r>
              <w:rPr>
                <w:b w:val="0"/>
                <w:i w:val="0"/>
                <w:sz w:val="22"/>
                <w:u w:val="none"/>
              </w:rPr>
              <w:t>CRC</w:t>
            </w:r>
          </w:p>
        </w:tc>
        <w:tc>
          <w:tcPr>
            <w:tcW w:type="dxa" w:w="7056"/>
          </w:tcPr>
          <w:p>
            <w:pPr>
              <w:spacing w:after="20"/>
            </w:pPr>
            <w:r/>
            <w:r>
              <w:rPr>
                <w:b w:val="0"/>
                <w:i w:val="0"/>
                <w:sz w:val="22"/>
                <w:u w:val="none"/>
              </w:rPr>
              <w:t>Cluster Resource Centre</w:t>
            </w:r>
          </w:p>
        </w:tc>
      </w:tr>
      <w:tr>
        <w:trPr>
          <w:cantSplit/>
        </w:trPr>
        <w:tc>
          <w:tcPr>
            <w:tcW w:type="dxa" w:w="2016"/>
          </w:tcPr>
          <w:p>
            <w:pPr>
              <w:spacing w:after="20"/>
            </w:pPr>
            <w:r/>
            <w:r>
              <w:rPr>
                <w:b w:val="0"/>
                <w:i w:val="0"/>
                <w:sz w:val="22"/>
                <w:u w:val="none"/>
              </w:rPr>
              <w:t>CRP</w:t>
            </w:r>
          </w:p>
        </w:tc>
        <w:tc>
          <w:tcPr>
            <w:tcW w:type="dxa" w:w="7056"/>
          </w:tcPr>
          <w:p>
            <w:pPr>
              <w:spacing w:after="20"/>
            </w:pPr>
            <w:r/>
            <w:r>
              <w:rPr>
                <w:b w:val="0"/>
                <w:i w:val="0"/>
                <w:sz w:val="22"/>
                <w:u w:val="none"/>
              </w:rPr>
              <w:t>Cluster Resource Person</w:t>
            </w:r>
          </w:p>
        </w:tc>
      </w:tr>
      <w:tr>
        <w:trPr>
          <w:cantSplit/>
        </w:trPr>
        <w:tc>
          <w:tcPr>
            <w:tcW w:type="dxa" w:w="2016"/>
          </w:tcPr>
          <w:p>
            <w:pPr>
              <w:spacing w:after="20"/>
            </w:pPr>
            <w:r/>
            <w:r>
              <w:rPr>
                <w:b w:val="0"/>
                <w:i w:val="0"/>
                <w:sz w:val="22"/>
                <w:u w:val="none"/>
              </w:rPr>
              <w:t>CWSN</w:t>
            </w:r>
          </w:p>
        </w:tc>
        <w:tc>
          <w:tcPr>
            <w:tcW w:type="dxa" w:w="7056"/>
          </w:tcPr>
          <w:p>
            <w:pPr>
              <w:spacing w:after="20"/>
            </w:pPr>
            <w:r/>
            <w:r>
              <w:rPr>
                <w:b w:val="0"/>
                <w:i w:val="0"/>
                <w:sz w:val="22"/>
                <w:u w:val="none"/>
              </w:rPr>
              <w:t>Children with Special Needs</w:t>
            </w:r>
          </w:p>
        </w:tc>
      </w:tr>
      <w:tr>
        <w:trPr>
          <w:cantSplit/>
        </w:trPr>
        <w:tc>
          <w:tcPr>
            <w:tcW w:type="dxa" w:w="2016"/>
          </w:tcPr>
          <w:p>
            <w:pPr>
              <w:spacing w:after="20"/>
            </w:pPr>
            <w:r/>
            <w:r>
              <w:rPr>
                <w:b w:val="0"/>
                <w:i w:val="0"/>
                <w:sz w:val="22"/>
                <w:u w:val="none"/>
              </w:rPr>
              <w:t>DIET</w:t>
            </w:r>
          </w:p>
        </w:tc>
        <w:tc>
          <w:tcPr>
            <w:tcW w:type="dxa" w:w="7056"/>
          </w:tcPr>
          <w:p>
            <w:pPr>
              <w:spacing w:after="20"/>
            </w:pPr>
            <w:r/>
            <w:r>
              <w:rPr>
                <w:b w:val="0"/>
                <w:i w:val="0"/>
                <w:sz w:val="22"/>
                <w:u w:val="none"/>
              </w:rPr>
              <w:t>District Institute of Education and Training</w:t>
            </w:r>
          </w:p>
        </w:tc>
      </w:tr>
      <w:tr>
        <w:trPr>
          <w:cantSplit/>
        </w:trPr>
        <w:tc>
          <w:tcPr>
            <w:tcW w:type="dxa" w:w="2016"/>
          </w:tcPr>
          <w:p>
            <w:pPr>
              <w:spacing w:after="20"/>
            </w:pPr>
            <w:r/>
            <w:r>
              <w:rPr>
                <w:b w:val="0"/>
                <w:i w:val="0"/>
                <w:sz w:val="22"/>
                <w:u w:val="none"/>
              </w:rPr>
              <w:t>DSERT</w:t>
            </w:r>
          </w:p>
        </w:tc>
        <w:tc>
          <w:tcPr>
            <w:tcW w:type="dxa" w:w="7056"/>
          </w:tcPr>
          <w:p>
            <w:pPr>
              <w:spacing w:after="20"/>
            </w:pPr>
            <w:r/>
            <w:r>
              <w:rPr>
                <w:b w:val="0"/>
                <w:i w:val="0"/>
                <w:sz w:val="22"/>
                <w:u w:val="none"/>
              </w:rPr>
              <w:t>Department of State Educational Research and Training</w:t>
            </w:r>
          </w:p>
        </w:tc>
      </w:tr>
      <w:tr>
        <w:trPr>
          <w:cantSplit/>
        </w:trPr>
        <w:tc>
          <w:tcPr>
            <w:tcW w:type="dxa" w:w="2016"/>
          </w:tcPr>
          <w:p>
            <w:pPr>
              <w:spacing w:after="20"/>
            </w:pPr>
            <w:r/>
            <w:r>
              <w:rPr>
                <w:b w:val="0"/>
                <w:i w:val="0"/>
                <w:sz w:val="22"/>
                <w:u w:val="none"/>
              </w:rPr>
              <w:t>ECCE</w:t>
            </w:r>
          </w:p>
        </w:tc>
        <w:tc>
          <w:tcPr>
            <w:tcW w:type="dxa" w:w="7056"/>
          </w:tcPr>
          <w:p>
            <w:pPr>
              <w:spacing w:after="20"/>
            </w:pPr>
            <w:r/>
            <w:r>
              <w:rPr>
                <w:b w:val="0"/>
                <w:i w:val="0"/>
                <w:sz w:val="22"/>
                <w:u w:val="none"/>
              </w:rPr>
              <w:t>Early Childhood Care and Education</w:t>
            </w:r>
          </w:p>
        </w:tc>
      </w:tr>
      <w:tr>
        <w:trPr>
          <w:cantSplit/>
        </w:trPr>
        <w:tc>
          <w:tcPr>
            <w:tcW w:type="dxa" w:w="2016"/>
          </w:tcPr>
          <w:p>
            <w:pPr>
              <w:spacing w:after="20"/>
            </w:pPr>
            <w:r/>
            <w:r>
              <w:rPr>
                <w:b w:val="0"/>
                <w:i w:val="0"/>
                <w:sz w:val="22"/>
                <w:u w:val="none"/>
              </w:rPr>
              <w:t>EMTIP</w:t>
            </w:r>
          </w:p>
        </w:tc>
        <w:tc>
          <w:tcPr>
            <w:tcW w:type="dxa" w:w="7056"/>
          </w:tcPr>
          <w:p>
            <w:pPr>
              <w:spacing w:after="20"/>
            </w:pPr>
            <w:r/>
            <w:r>
              <w:rPr>
                <w:b w:val="0"/>
                <w:i w:val="0"/>
                <w:sz w:val="22"/>
                <w:u w:val="none"/>
              </w:rPr>
              <w:t>English Medium Teachers Induction Programme</w:t>
            </w:r>
          </w:p>
        </w:tc>
      </w:tr>
      <w:tr>
        <w:trPr>
          <w:cantSplit/>
        </w:trPr>
        <w:tc>
          <w:tcPr>
            <w:tcW w:type="dxa" w:w="2016"/>
          </w:tcPr>
          <w:p>
            <w:pPr>
              <w:spacing w:after="20"/>
            </w:pPr>
            <w:r/>
            <w:r>
              <w:rPr>
                <w:b w:val="0"/>
                <w:i w:val="0"/>
                <w:sz w:val="22"/>
                <w:u w:val="none"/>
              </w:rPr>
              <w:t>FLN</w:t>
            </w:r>
          </w:p>
        </w:tc>
        <w:tc>
          <w:tcPr>
            <w:tcW w:type="dxa" w:w="7056"/>
          </w:tcPr>
          <w:p>
            <w:pPr>
              <w:spacing w:after="20"/>
            </w:pPr>
            <w:r/>
            <w:r>
              <w:rPr>
                <w:b w:val="0"/>
                <w:i w:val="0"/>
                <w:sz w:val="22"/>
                <w:u w:val="none"/>
              </w:rPr>
              <w:t>Foundational Literacy and Numeracy</w:t>
            </w:r>
          </w:p>
        </w:tc>
      </w:tr>
      <w:tr>
        <w:trPr>
          <w:cantSplit/>
        </w:trPr>
        <w:tc>
          <w:tcPr>
            <w:tcW w:type="dxa" w:w="2016"/>
          </w:tcPr>
          <w:p>
            <w:pPr>
              <w:spacing w:after="20"/>
            </w:pPr>
            <w:r/>
            <w:r>
              <w:rPr>
                <w:b w:val="0"/>
                <w:i w:val="0"/>
                <w:sz w:val="22"/>
                <w:u w:val="none"/>
              </w:rPr>
              <w:t>GKA</w:t>
            </w:r>
          </w:p>
        </w:tc>
        <w:tc>
          <w:tcPr>
            <w:tcW w:type="dxa" w:w="7056"/>
          </w:tcPr>
          <w:p>
            <w:pPr>
              <w:spacing w:after="20"/>
            </w:pPr>
            <w:r/>
            <w:r>
              <w:rPr>
                <w:b w:val="0"/>
                <w:i w:val="0"/>
                <w:sz w:val="22"/>
                <w:u w:val="none"/>
              </w:rPr>
              <w:t>Ganitha Kalika Andolana</w:t>
            </w:r>
          </w:p>
        </w:tc>
      </w:tr>
      <w:tr>
        <w:trPr>
          <w:cantSplit/>
        </w:trPr>
        <w:tc>
          <w:tcPr>
            <w:tcW w:type="dxa" w:w="2016"/>
          </w:tcPr>
          <w:p>
            <w:pPr>
              <w:spacing w:after="20"/>
            </w:pPr>
            <w:r/>
            <w:r>
              <w:rPr>
                <w:b w:val="0"/>
                <w:i w:val="0"/>
                <w:sz w:val="22"/>
                <w:u w:val="none"/>
              </w:rPr>
              <w:t>ICT</w:t>
            </w:r>
          </w:p>
        </w:tc>
        <w:tc>
          <w:tcPr>
            <w:tcW w:type="dxa" w:w="7056"/>
          </w:tcPr>
          <w:p>
            <w:pPr>
              <w:spacing w:after="20"/>
            </w:pPr>
            <w:r/>
            <w:r>
              <w:rPr>
                <w:b w:val="0"/>
                <w:i w:val="0"/>
                <w:sz w:val="22"/>
                <w:u w:val="none"/>
              </w:rPr>
              <w:t>Information and Communication Technology</w:t>
            </w:r>
          </w:p>
        </w:tc>
      </w:tr>
      <w:tr>
        <w:trPr>
          <w:cantSplit/>
        </w:trPr>
        <w:tc>
          <w:tcPr>
            <w:tcW w:type="dxa" w:w="2016"/>
          </w:tcPr>
          <w:p>
            <w:pPr>
              <w:spacing w:after="20"/>
            </w:pPr>
            <w:r/>
            <w:r>
              <w:rPr>
                <w:b w:val="0"/>
                <w:i w:val="0"/>
                <w:sz w:val="22"/>
                <w:u w:val="none"/>
              </w:rPr>
              <w:t>IISc</w:t>
            </w:r>
          </w:p>
        </w:tc>
        <w:tc>
          <w:tcPr>
            <w:tcW w:type="dxa" w:w="7056"/>
          </w:tcPr>
          <w:p>
            <w:pPr>
              <w:spacing w:after="20"/>
            </w:pPr>
            <w:r/>
            <w:r>
              <w:rPr>
                <w:b w:val="0"/>
                <w:i w:val="0"/>
                <w:sz w:val="22"/>
                <w:u w:val="none"/>
              </w:rPr>
              <w:t>Indian Institute of Science</w:t>
            </w:r>
          </w:p>
        </w:tc>
      </w:tr>
      <w:tr>
        <w:trPr>
          <w:cantSplit/>
        </w:trPr>
        <w:tc>
          <w:tcPr>
            <w:tcW w:type="dxa" w:w="2016"/>
          </w:tcPr>
          <w:p>
            <w:pPr>
              <w:spacing w:after="20"/>
            </w:pPr>
            <w:r/>
            <w:r>
              <w:rPr>
                <w:b w:val="0"/>
                <w:i w:val="0"/>
                <w:sz w:val="22"/>
                <w:u w:val="none"/>
              </w:rPr>
              <w:t>KPS</w:t>
            </w:r>
          </w:p>
        </w:tc>
        <w:tc>
          <w:tcPr>
            <w:tcW w:type="dxa" w:w="7056"/>
          </w:tcPr>
          <w:p>
            <w:pPr>
              <w:spacing w:after="20"/>
            </w:pPr>
            <w:r/>
            <w:r>
              <w:rPr>
                <w:b w:val="0"/>
                <w:i w:val="0"/>
                <w:sz w:val="22"/>
                <w:u w:val="none"/>
              </w:rPr>
              <w:t>Karnataka Public Schools</w:t>
            </w:r>
          </w:p>
        </w:tc>
      </w:tr>
      <w:tr>
        <w:trPr>
          <w:cantSplit/>
        </w:trPr>
        <w:tc>
          <w:tcPr>
            <w:tcW w:type="dxa" w:w="2016"/>
          </w:tcPr>
          <w:p>
            <w:pPr>
              <w:spacing w:after="20"/>
            </w:pPr>
            <w:r/>
            <w:r>
              <w:rPr>
                <w:b w:val="0"/>
                <w:i w:val="0"/>
                <w:sz w:val="22"/>
                <w:u w:val="none"/>
              </w:rPr>
              <w:t>NCERT</w:t>
            </w:r>
          </w:p>
        </w:tc>
        <w:tc>
          <w:tcPr>
            <w:tcW w:type="dxa" w:w="7056"/>
          </w:tcPr>
          <w:p>
            <w:pPr>
              <w:spacing w:after="20"/>
            </w:pPr>
            <w:r/>
            <w:r>
              <w:rPr>
                <w:b w:val="0"/>
                <w:i w:val="0"/>
                <w:sz w:val="22"/>
                <w:u w:val="none"/>
              </w:rPr>
              <w:t>National Council of Educational Research and Training</w:t>
            </w:r>
          </w:p>
        </w:tc>
      </w:tr>
      <w:tr>
        <w:trPr>
          <w:cantSplit/>
        </w:trPr>
        <w:tc>
          <w:tcPr>
            <w:tcW w:type="dxa" w:w="2016"/>
          </w:tcPr>
          <w:p>
            <w:pPr>
              <w:spacing w:after="20"/>
            </w:pPr>
            <w:r/>
            <w:r>
              <w:rPr>
                <w:b w:val="0"/>
                <w:i w:val="0"/>
                <w:sz w:val="22"/>
                <w:u w:val="none"/>
              </w:rPr>
              <w:t>NEP</w:t>
            </w:r>
          </w:p>
        </w:tc>
        <w:tc>
          <w:tcPr>
            <w:tcW w:type="dxa" w:w="7056"/>
          </w:tcPr>
          <w:p>
            <w:pPr>
              <w:spacing w:after="20"/>
            </w:pPr>
            <w:r/>
            <w:r>
              <w:rPr>
                <w:b w:val="0"/>
                <w:i w:val="0"/>
                <w:sz w:val="22"/>
                <w:u w:val="none"/>
              </w:rPr>
              <w:t>National Education Policy 2020</w:t>
            </w:r>
          </w:p>
        </w:tc>
      </w:tr>
      <w:tr>
        <w:trPr>
          <w:cantSplit/>
        </w:trPr>
        <w:tc>
          <w:tcPr>
            <w:tcW w:type="dxa" w:w="2016"/>
          </w:tcPr>
          <w:p>
            <w:pPr>
              <w:spacing w:after="20"/>
            </w:pPr>
            <w:r/>
            <w:r>
              <w:rPr>
                <w:b w:val="0"/>
                <w:i w:val="0"/>
                <w:sz w:val="22"/>
                <w:u w:val="none"/>
              </w:rPr>
              <w:t>NMMS</w:t>
            </w:r>
          </w:p>
        </w:tc>
        <w:tc>
          <w:tcPr>
            <w:tcW w:type="dxa" w:w="7056"/>
          </w:tcPr>
          <w:p>
            <w:pPr>
              <w:spacing w:after="20"/>
            </w:pPr>
            <w:r/>
            <w:r>
              <w:rPr>
                <w:b w:val="0"/>
                <w:i w:val="0"/>
                <w:sz w:val="22"/>
                <w:u w:val="none"/>
              </w:rPr>
              <w:t>National Means-cum-Merit Scholarship</w:t>
            </w:r>
          </w:p>
        </w:tc>
      </w:tr>
      <w:tr>
        <w:trPr>
          <w:cantSplit/>
        </w:trPr>
        <w:tc>
          <w:tcPr>
            <w:tcW w:type="dxa" w:w="2016"/>
          </w:tcPr>
          <w:p>
            <w:pPr>
              <w:spacing w:after="20"/>
            </w:pPr>
            <w:r/>
            <w:r>
              <w:rPr>
                <w:b w:val="0"/>
                <w:i w:val="0"/>
                <w:sz w:val="22"/>
                <w:u w:val="none"/>
              </w:rPr>
              <w:t>NSQF</w:t>
            </w:r>
          </w:p>
        </w:tc>
        <w:tc>
          <w:tcPr>
            <w:tcW w:type="dxa" w:w="7056"/>
          </w:tcPr>
          <w:p>
            <w:pPr>
              <w:spacing w:after="20"/>
            </w:pPr>
            <w:r/>
            <w:r>
              <w:rPr>
                <w:b w:val="0"/>
                <w:i w:val="0"/>
                <w:sz w:val="22"/>
                <w:u w:val="none"/>
              </w:rPr>
              <w:t>National Skills Qualifications Framework</w:t>
            </w:r>
          </w:p>
        </w:tc>
      </w:tr>
      <w:tr>
        <w:trPr>
          <w:cantSplit/>
        </w:trPr>
        <w:tc>
          <w:tcPr>
            <w:tcW w:type="dxa" w:w="2016"/>
          </w:tcPr>
          <w:p>
            <w:pPr>
              <w:spacing w:after="20"/>
            </w:pPr>
            <w:r/>
            <w:r>
              <w:rPr>
                <w:b w:val="0"/>
                <w:i w:val="0"/>
                <w:sz w:val="22"/>
                <w:u w:val="none"/>
              </w:rPr>
              <w:t>PARAKH</w:t>
            </w:r>
          </w:p>
        </w:tc>
        <w:tc>
          <w:tcPr>
            <w:tcW w:type="dxa" w:w="7056"/>
          </w:tcPr>
          <w:p>
            <w:pPr>
              <w:spacing w:after="20"/>
            </w:pPr>
            <w:r/>
            <w:r>
              <w:rPr>
                <w:b w:val="0"/>
                <w:i w:val="0"/>
                <w:sz w:val="22"/>
                <w:u w:val="none"/>
              </w:rPr>
              <w:t>Performance Assessment, Review and Analysis of Knowledge for Holistic Development</w:t>
            </w:r>
          </w:p>
        </w:tc>
      </w:tr>
      <w:tr>
        <w:trPr>
          <w:cantSplit/>
        </w:trPr>
        <w:tc>
          <w:tcPr>
            <w:tcW w:type="dxa" w:w="2016"/>
          </w:tcPr>
          <w:p>
            <w:pPr>
              <w:spacing w:after="20"/>
            </w:pPr>
            <w:r/>
            <w:r>
              <w:rPr>
                <w:b w:val="0"/>
                <w:i w:val="0"/>
                <w:sz w:val="22"/>
                <w:u w:val="none"/>
              </w:rPr>
              <w:t>PM POSHAN</w:t>
            </w:r>
          </w:p>
        </w:tc>
        <w:tc>
          <w:tcPr>
            <w:tcW w:type="dxa" w:w="7056"/>
          </w:tcPr>
          <w:p>
            <w:pPr>
              <w:spacing w:after="20"/>
            </w:pPr>
            <w:r/>
            <w:r>
              <w:rPr>
                <w:b w:val="0"/>
                <w:i w:val="0"/>
                <w:sz w:val="22"/>
                <w:u w:val="none"/>
              </w:rPr>
              <w:t>Pradhan Mantri Poshan Shakti Nirman</w:t>
            </w:r>
          </w:p>
        </w:tc>
      </w:tr>
      <w:tr>
        <w:trPr>
          <w:cantSplit/>
        </w:trPr>
        <w:tc>
          <w:tcPr>
            <w:tcW w:type="dxa" w:w="2016"/>
          </w:tcPr>
          <w:p>
            <w:pPr>
              <w:spacing w:after="20"/>
            </w:pPr>
            <w:r/>
            <w:r>
              <w:rPr>
                <w:b w:val="0"/>
                <w:i w:val="0"/>
                <w:sz w:val="22"/>
                <w:u w:val="none"/>
              </w:rPr>
              <w:t>SATS</w:t>
            </w:r>
          </w:p>
        </w:tc>
        <w:tc>
          <w:tcPr>
            <w:tcW w:type="dxa" w:w="7056"/>
          </w:tcPr>
          <w:p>
            <w:pPr>
              <w:spacing w:after="20"/>
            </w:pPr>
            <w:r/>
            <w:r>
              <w:rPr>
                <w:b w:val="0"/>
                <w:i w:val="0"/>
                <w:sz w:val="22"/>
                <w:u w:val="none"/>
              </w:rPr>
              <w:t>Student Achievement Tracking System</w:t>
            </w:r>
          </w:p>
        </w:tc>
      </w:tr>
      <w:tr>
        <w:trPr>
          <w:cantSplit/>
        </w:trPr>
        <w:tc>
          <w:tcPr>
            <w:tcW w:type="dxa" w:w="2016"/>
          </w:tcPr>
          <w:p>
            <w:pPr>
              <w:spacing w:after="20"/>
            </w:pPr>
            <w:r/>
            <w:r>
              <w:rPr>
                <w:b w:val="0"/>
                <w:i w:val="0"/>
                <w:sz w:val="22"/>
                <w:u w:val="none"/>
              </w:rPr>
              <w:t>SDMC</w:t>
            </w:r>
          </w:p>
        </w:tc>
        <w:tc>
          <w:tcPr>
            <w:tcW w:type="dxa" w:w="7056"/>
          </w:tcPr>
          <w:p>
            <w:pPr>
              <w:spacing w:after="20"/>
            </w:pPr>
            <w:r/>
            <w:r>
              <w:rPr>
                <w:b w:val="0"/>
                <w:i w:val="0"/>
                <w:sz w:val="22"/>
                <w:u w:val="none"/>
              </w:rPr>
              <w:t>School Development and Monitoring Committee</w:t>
            </w:r>
          </w:p>
        </w:tc>
      </w:tr>
      <w:tr>
        <w:trPr>
          <w:cantSplit/>
        </w:trPr>
        <w:tc>
          <w:tcPr>
            <w:tcW w:type="dxa" w:w="2016"/>
          </w:tcPr>
          <w:p>
            <w:pPr>
              <w:spacing w:after="20"/>
            </w:pPr>
            <w:r/>
            <w:r>
              <w:rPr>
                <w:b w:val="0"/>
                <w:i w:val="0"/>
                <w:sz w:val="22"/>
                <w:u w:val="none"/>
              </w:rPr>
              <w:t>SSLC</w:t>
            </w:r>
          </w:p>
        </w:tc>
        <w:tc>
          <w:tcPr>
            <w:tcW w:type="dxa" w:w="7056"/>
          </w:tcPr>
          <w:p>
            <w:pPr>
              <w:spacing w:after="20"/>
            </w:pPr>
            <w:r/>
            <w:r>
              <w:rPr>
                <w:b w:val="0"/>
                <w:i w:val="0"/>
                <w:sz w:val="22"/>
                <w:u w:val="none"/>
              </w:rPr>
              <w:t>Secondary School Leaving Certificate</w:t>
            </w:r>
          </w:p>
        </w:tc>
      </w:tr>
      <w:tr>
        <w:trPr>
          <w:cantSplit/>
        </w:trPr>
        <w:tc>
          <w:tcPr>
            <w:tcW w:type="dxa" w:w="2016"/>
          </w:tcPr>
          <w:p>
            <w:pPr>
              <w:spacing w:after="20"/>
            </w:pPr>
            <w:r/>
            <w:r>
              <w:rPr>
                <w:b w:val="0"/>
                <w:i w:val="0"/>
                <w:sz w:val="22"/>
                <w:u w:val="none"/>
              </w:rPr>
              <w:t>TALP</w:t>
            </w:r>
          </w:p>
        </w:tc>
        <w:tc>
          <w:tcPr>
            <w:tcW w:type="dxa" w:w="7056"/>
          </w:tcPr>
          <w:p>
            <w:pPr>
              <w:spacing w:after="20"/>
            </w:pPr>
            <w:r/>
            <w:r>
              <w:rPr>
                <w:b w:val="0"/>
                <w:i w:val="0"/>
                <w:sz w:val="22"/>
                <w:u w:val="none"/>
              </w:rPr>
              <w:t>Technology Assisted Learning Programme</w:t>
            </w:r>
          </w:p>
        </w:tc>
      </w:tr>
      <w:tr>
        <w:trPr>
          <w:cantSplit/>
        </w:trPr>
        <w:tc>
          <w:tcPr>
            <w:tcW w:type="dxa" w:w="2016"/>
          </w:tcPr>
          <w:p>
            <w:pPr>
              <w:spacing w:after="20"/>
            </w:pPr>
            <w:r/>
            <w:r>
              <w:rPr>
                <w:b w:val="0"/>
                <w:i w:val="0"/>
                <w:sz w:val="22"/>
                <w:u w:val="none"/>
              </w:rPr>
              <w:t>TLM</w:t>
            </w:r>
          </w:p>
        </w:tc>
        <w:tc>
          <w:tcPr>
            <w:tcW w:type="dxa" w:w="7056"/>
          </w:tcPr>
          <w:p>
            <w:pPr>
              <w:spacing w:after="20"/>
            </w:pPr>
            <w:r/>
            <w:r>
              <w:rPr>
                <w:b w:val="0"/>
                <w:i w:val="0"/>
                <w:sz w:val="22"/>
                <w:u w:val="none"/>
              </w:rPr>
              <w:t>Teaching-Learning Materials</w:t>
            </w:r>
          </w:p>
        </w:tc>
      </w:tr>
    </w:tbl>
    <w:p>
      <w:r>
        <w:br w:type="page"/>
      </w:r>
    </w:p>
    <w:p>
      <w:pPr>
        <w:spacing w:after="120" w:before="0"/>
      </w:pPr>
      <w:r>
        <w:rPr>
          <w:b/>
          <w:i w:val="0"/>
          <w:u w:val="single"/>
        </w:rPr>
        <w:t>Synopsis</w:t>
      </w:r>
    </w:p>
    <w:p>
      <w:pPr>
        <w:spacing w:after="80" w:before="0"/>
        <w:jc w:val="both"/>
      </w:pPr>
      <w:r>
        <w:rPr>
          <w:b w:val="0"/>
          <w:i w:val="0"/>
          <w:u w:val="none"/>
        </w:rPr>
        <w:t>Karnataka has thirty-five research units (DSERT and the DIETs) that study how State programmes work in schools. The Research Abstracts Compilation 2024-25 and 2025-26 brings together 234 studies (128 from 2024-25 and 106 from 2025-26), and the State Research Studies Tracker 2026-27 records 331 studies in the current year (two by DSERT and 329 by the DIETs), with a proposed budget of Rs 2.66 crore across eighteen approved Research Areas.</w:t>
      </w:r>
    </w:p>
    <w:p>
      <w:pPr>
        <w:spacing w:after="80" w:before="0"/>
        <w:jc w:val="both"/>
      </w:pPr>
      <w:r>
        <w:rPr>
          <w:b w:val="0"/>
          <w:i w:val="0"/>
          <w:u w:val="none"/>
        </w:rPr>
        <w:t>The 124 feedback notes summarised here show five things:</w:t>
      </w:r>
    </w:p>
    <w:p>
      <w:pPr>
        <w:spacing w:after="60"/>
        <w:ind w:left="432" w:hanging="288"/>
        <w:jc w:val="both"/>
      </w:pPr>
      <w:r>
        <w:t xml:space="preserve">•  </w:t>
      </w:r>
      <w:r>
        <w:rPr>
          <w:b/>
          <w:i w:val="0"/>
          <w:u w:val="none"/>
        </w:rPr>
        <w:t>Hands-on learning works.</w:t>
      </w:r>
      <w:r>
        <w:rPr>
          <w:b w:val="0"/>
          <w:i w:val="0"/>
          <w:u w:val="none"/>
        </w:rPr>
        <w:t xml:space="preserve"> Experimental studies of mathematics kits, the Concrete-Pictorial-Abstract approach and science experiments recorded large gains in learning.</w:t>
      </w:r>
    </w:p>
    <w:p>
      <w:pPr>
        <w:spacing w:after="60"/>
        <w:ind w:left="432" w:hanging="288"/>
        <w:jc w:val="both"/>
      </w:pPr>
      <w:r>
        <w:t xml:space="preserve">•  </w:t>
      </w:r>
      <w:r>
        <w:rPr>
          <w:b/>
          <w:i w:val="0"/>
          <w:u w:val="none"/>
        </w:rPr>
        <w:t>Equipment is ahead of use.</w:t>
      </w:r>
      <w:r>
        <w:rPr>
          <w:b w:val="0"/>
          <w:i w:val="0"/>
          <w:u w:val="none"/>
        </w:rPr>
        <w:t xml:space="preserve"> Laboratories, smart classes and TALP equipment have reached many schools, but power, internet, maintenance and teacher confidence hold back their use.</w:t>
      </w:r>
    </w:p>
    <w:p>
      <w:pPr>
        <w:spacing w:after="60"/>
        <w:ind w:left="432" w:hanging="288"/>
        <w:jc w:val="both"/>
      </w:pPr>
      <w:r>
        <w:t xml:space="preserve">•  </w:t>
      </w:r>
      <w:r>
        <w:rPr>
          <w:b/>
          <w:i w:val="0"/>
          <w:u w:val="none"/>
        </w:rPr>
        <w:t>Disadvantage persists.</w:t>
      </w:r>
      <w:r>
        <w:rPr>
          <w:b w:val="0"/>
          <w:i w:val="0"/>
          <w:u w:val="none"/>
        </w:rPr>
        <w:t xml:space="preserve"> Tribal children, first-generation learners, children with special needs and children from low-income families still lag behind.</w:t>
      </w:r>
    </w:p>
    <w:p>
      <w:pPr>
        <w:spacing w:after="60"/>
        <w:ind w:left="432" w:hanging="288"/>
        <w:jc w:val="both"/>
      </w:pPr>
      <w:r>
        <w:t xml:space="preserve">•  </w:t>
      </w:r>
      <w:r>
        <w:rPr>
          <w:b/>
          <w:i w:val="0"/>
          <w:u w:val="none"/>
        </w:rPr>
        <w:t>Teacher support matters most.</w:t>
      </w:r>
      <w:r>
        <w:rPr>
          <w:b w:val="0"/>
          <w:i w:val="0"/>
          <w:u w:val="none"/>
        </w:rPr>
        <w:t xml:space="preserve"> Cluster sharing meetings, mentoring and follow-up after training made the difference between training and changed practice.</w:t>
      </w:r>
    </w:p>
    <w:p>
      <w:pPr>
        <w:spacing w:after="60"/>
        <w:ind w:left="432" w:hanging="288"/>
        <w:jc w:val="both"/>
      </w:pPr>
      <w:r>
        <w:t xml:space="preserve">•  </w:t>
      </w:r>
      <w:r>
        <w:rPr>
          <w:b/>
          <w:i w:val="0"/>
          <w:u w:val="none"/>
        </w:rPr>
        <w:t>Research needs a system.</w:t>
      </w:r>
      <w:r>
        <w:rPr>
          <w:b w:val="0"/>
          <w:i w:val="0"/>
          <w:u w:val="none"/>
        </w:rPr>
        <w:t xml:space="preserve"> Topics were scattered, most studies were descriptive surveys, and findings rarely reached plans and policy. The State has responded with research guidelines, assured funding, a tracker, quality and ethics checks and online orientation.</w:t>
      </w:r>
    </w:p>
    <w:p>
      <w:pPr>
        <w:spacing w:after="80" w:before="0"/>
        <w:jc w:val="both"/>
      </w:pPr>
      <w:r>
        <w:rPr>
          <w:b w:val="0"/>
          <w:i w:val="0"/>
          <w:u w:val="none"/>
        </w:rPr>
        <w:t>The note proposes a five-year programme to link district research to State planning, raise the quality of studies, and use findings to reduce learning gaps.</w:t>
      </w:r>
    </w:p>
    <w:p>
      <w:r>
        <w:br w:type="page"/>
      </w:r>
    </w:p>
    <w:p>
      <w:pPr>
        <w:spacing w:after="160" w:before="0"/>
      </w:pPr>
      <w:r>
        <w:rPr>
          <w:b/>
          <w:i w:val="0"/>
          <w:u w:val="single"/>
        </w:rPr>
        <w:t>Background Note</w:t>
      </w:r>
    </w:p>
    <w:p>
      <w:pPr>
        <w:spacing w:after="40" w:before="200"/>
      </w:pPr>
      <w:r>
        <w:rPr>
          <w:b/>
          <w:i w:val="0"/>
          <w:u w:val="none"/>
        </w:rPr>
        <w:t>1. Introduction</w:t>
      </w:r>
    </w:p>
    <w:p>
      <w:pPr>
        <w:spacing w:after="80" w:before="0"/>
      </w:pPr>
      <w:r>
        <w:rPr>
          <w:b w:val="0"/>
          <w:i/>
          <w:sz w:val="22"/>
          <w:u w:val="none"/>
        </w:rPr>
        <w:t>(Why is this topic important for the States/ UTs? Highlight the data evidence to support the same)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80" w:before="0"/>
              <w:jc w:val="both"/>
            </w:pPr>
            <w:r>
              <w:rPr>
                <w:b w:val="0"/>
                <w:i w:val="0"/>
                <w:u w:val="none"/>
              </w:rPr>
              <w:t>Every State spends large sums on school programmes, yet it often has little district-level evidence on whether these programmes reach children and change learning. DIETs are placed to provide that evidence. They train teachers, visit schools and know local conditions, and the National Education Policy 2020 expects them to become centres of research and innovation.</w:t>
            </w:r>
          </w:p>
          <w:p>
            <w:pPr>
              <w:spacing w:after="80" w:before="0"/>
              <w:jc w:val="both"/>
            </w:pPr>
            <w:r>
              <w:rPr>
                <w:b w:val="0"/>
                <w:i w:val="0"/>
                <w:u w:val="none"/>
              </w:rPr>
              <w:t>Karnataka's experience shows how much this evidence can tell a State. National and State surveys show that learning gaps remain. In PARAKH Rashtriya Sarvekshan 2024, language results in Kalaburagi fell from Grade 3 to Grade 6 to Grade 9, and the district was below the State average in Mathematics (DIET Kalaburagi, 2025-26). In Hassan, achievement fell in the same survey (DIET Hassan, 2025-26). District studies explain why, school by school, and point to what works.</w:t>
            </w:r>
          </w:p>
          <w:p>
            <w:pPr>
              <w:spacing w:after="60" w:before="80"/>
            </w:pPr>
            <w:r>
              <w:rPr>
                <w:b/>
                <w:i w:val="0"/>
                <w:u w:val="none"/>
              </w:rPr>
              <w:t>Evidence that district research can guide policy</w:t>
            </w:r>
          </w:p>
          <w:p>
            <w:pPr>
              <w:spacing w:after="60"/>
              <w:ind w:left="432" w:hanging="288"/>
              <w:jc w:val="both"/>
            </w:pPr>
            <w:r>
              <w:t xml:space="preserve">•  </w:t>
            </w:r>
            <w:r>
              <w:rPr>
                <w:b w:val="0"/>
                <w:i w:val="0"/>
                <w:u w:val="none"/>
              </w:rPr>
              <w:t>DIET Ballari's experimental study of Ganitha Kalika Andolana found post-test gains thirty to forty per cent higher than in the control group (DIET Ballari, 2024-25).</w:t>
            </w:r>
          </w:p>
          <w:p>
            <w:pPr>
              <w:spacing w:after="60"/>
              <w:ind w:left="432" w:hanging="288"/>
              <w:jc w:val="both"/>
            </w:pPr>
            <w:r>
              <w:t xml:space="preserve">•  </w:t>
            </w:r>
            <w:r>
              <w:rPr>
                <w:b w:val="0"/>
                <w:i w:val="0"/>
                <w:u w:val="none"/>
              </w:rPr>
              <w:t>DIET Dakshina Kannada's action research on the Concrete-Pictorial-Abstract approach raised mean scores from fifty-two to seventy-eight out of 100, a gain of fifty per cent (DIET Dakshina Kannada, 2024-25).</w:t>
            </w:r>
          </w:p>
          <w:p>
            <w:pPr>
              <w:spacing w:after="60"/>
              <w:ind w:left="432" w:hanging="288"/>
              <w:jc w:val="both"/>
            </w:pPr>
            <w:r>
              <w:t xml:space="preserve">•  </w:t>
            </w:r>
            <w:r>
              <w:rPr>
                <w:b w:val="0"/>
                <w:i w:val="0"/>
                <w:u w:val="none"/>
              </w:rPr>
              <w:t>In Kalaburagi, students who joined Karnataka Public Schools at the pre-primary stage did better in Class 4 than similar students who had not (DIET Kalaburagi, 2025-26).</w:t>
            </w:r>
          </w:p>
          <w:p>
            <w:pPr>
              <w:spacing w:after="60"/>
              <w:ind w:left="432" w:hanging="288"/>
              <w:jc w:val="both"/>
            </w:pPr>
            <w:r>
              <w:t xml:space="preserve">•  </w:t>
            </w:r>
            <w:r>
              <w:rPr>
                <w:b w:val="0"/>
                <w:i w:val="0"/>
                <w:u w:val="none"/>
              </w:rPr>
              <w:t>In Ilkal, schools that held regular coaching and practice tests had NMMS pass percentages nearly double those of schools without them (DIET Ilkal, 2024-25).</w:t>
            </w:r>
          </w:p>
          <w:p>
            <w:pPr>
              <w:spacing w:after="60" w:before="80"/>
            </w:pPr>
            <w:r>
              <w:rPr>
                <w:b/>
                <w:i w:val="0"/>
                <w:u w:val="none"/>
              </w:rPr>
              <w:t>Scale of the work</w:t>
            </w:r>
          </w:p>
          <w:p>
            <w:pPr>
              <w:spacing w:after="60"/>
              <w:ind w:left="432" w:hanging="288"/>
              <w:jc w:val="both"/>
            </w:pPr>
            <w:r>
              <w:t xml:space="preserve">•  </w:t>
            </w:r>
            <w:r>
              <w:rPr>
                <w:b w:val="0"/>
                <w:i w:val="0"/>
                <w:u w:val="none"/>
              </w:rPr>
              <w:t>234 studies in the Research Abstracts Compilation 2024-25 and 2025-26 (DSERT, 2026a).</w:t>
            </w:r>
          </w:p>
          <w:p>
            <w:pPr>
              <w:spacing w:after="60"/>
              <w:ind w:left="432" w:hanging="288"/>
              <w:jc w:val="both"/>
            </w:pPr>
            <w:r>
              <w:t xml:space="preserve">•  </w:t>
            </w:r>
            <w:r>
              <w:rPr>
                <w:b w:val="0"/>
                <w:i w:val="0"/>
                <w:u w:val="none"/>
              </w:rPr>
              <w:t>A compendium of 188 abstracts from DSERT and the DIETs of twenty districts in APA format (DSERT, 2026a).</w:t>
            </w:r>
          </w:p>
          <w:p>
            <w:pPr>
              <w:spacing w:after="60"/>
              <w:ind w:left="432" w:hanging="288"/>
              <w:jc w:val="both"/>
            </w:pPr>
            <w:r>
              <w:t xml:space="preserve">•  </w:t>
            </w:r>
            <w:r>
              <w:rPr>
                <w:b w:val="0"/>
                <w:i w:val="0"/>
                <w:u w:val="none"/>
              </w:rPr>
              <w:t>331 studies in 2026-27 across thirty-five research units, with every one of the eighteen Research Areas covered by at least one study (DSERT, 2026c).</w:t>
            </w:r>
          </w:p>
          <w:p>
            <w:pPr>
              <w:spacing w:after="80" w:before="0"/>
              <w:jc w:val="both"/>
            </w:pPr>
            <w:r>
              <w:rPr>
                <w:b w:val="0"/>
                <w:i w:val="0"/>
                <w:u w:val="none"/>
              </w:rPr>
              <w:t>Such evidence matters for every State because it is local, timely and low in cost, and because it comes from institutions that already exist.</w:t>
            </w:r>
          </w:p>
        </w:tc>
      </w:tr>
    </w:tbl>
    <w:p>
      <w:pPr>
        <w:spacing w:after="40" w:before="200"/>
      </w:pPr>
      <w:r>
        <w:rPr>
          <w:b/>
          <w:i w:val="0"/>
          <w:u w:val="none"/>
        </w:rPr>
        <w:t>2. Current Situation</w:t>
      </w:r>
    </w:p>
    <w:p>
      <w:pPr>
        <w:spacing w:after="80" w:before="0"/>
      </w:pPr>
      <w:r>
        <w:rPr>
          <w:b w:val="0"/>
          <w:i/>
          <w:sz w:val="22"/>
          <w:u w:val="none"/>
        </w:rPr>
        <w:t>(Current policy landscape, programmes, schemes and their progress)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before="80"/>
            </w:pPr>
            <w:r>
              <w:rPr>
                <w:b/>
                <w:i w:val="0"/>
                <w:u w:val="none"/>
              </w:rPr>
              <w:t>Policy framework</w:t>
            </w:r>
          </w:p>
          <w:p>
            <w:pPr>
              <w:spacing w:after="80" w:before="0"/>
              <w:jc w:val="both"/>
            </w:pPr>
            <w:r>
              <w:rPr>
                <w:b w:val="0"/>
                <w:i w:val="0"/>
                <w:u w:val="none"/>
              </w:rPr>
              <w:t>The Research Studies Guidelines 2026-27 approve eighteen Research Areas, among them Foundational Literacy and Numeracy, Teacher Professional Development, Subject-Specific Pedagogy, ICT in Education, Inclusive Education, ECCE, School Leadership, Assessment, Mental Health and Well-being, Flagship Schools and AI in Education. Each DIET may spend up to Rs 10 lakh, with a maximum of Rs 1 lakh for each study, and DSERT has been approved Rs 10 lakh under Samagra Shiksha (DSERT, 2026b).</w:t>
            </w:r>
          </w:p>
          <w:p>
            <w:pPr>
              <w:spacing w:after="60" w:before="80"/>
            </w:pPr>
            <w:r>
              <w:rPr>
                <w:b/>
                <w:i w:val="0"/>
                <w:u w:val="none"/>
              </w:rPr>
              <w:t>Progress in 2026-27 (as on 13 October 2026)</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rPr>
                <w:cantSplit/>
                <w:tblHeader/>
              </w:trPr>
              <w:tc>
                <w:tcPr>
                  <w:tcW w:type="dxa" w:w="4513"/>
                  <w:shd w:val="clear" w:color="auto" w:fill="D9D9D9"/>
                </w:tcPr>
                <w:p>
                  <w:pPr>
                    <w:spacing w:after="20"/>
                  </w:pPr>
                  <w:r/>
                  <w:r>
                    <w:rPr>
                      <w:b/>
                      <w:i w:val="0"/>
                      <w:sz w:val="22"/>
                      <w:u w:val="none"/>
                    </w:rPr>
                    <w:t>Indicator</w:t>
                  </w:r>
                </w:p>
              </w:tc>
              <w:tc>
                <w:tcPr>
                  <w:tcW w:type="dxa" w:w="4513"/>
                  <w:shd w:val="clear" w:color="auto" w:fill="D9D9D9"/>
                </w:tcPr>
                <w:p>
                  <w:pPr>
                    <w:spacing w:after="20"/>
                  </w:pPr>
                  <w:r/>
                  <w:r>
                    <w:rPr>
                      <w:b/>
                      <w:i w:val="0"/>
                      <w:sz w:val="22"/>
                      <w:u w:val="none"/>
                    </w:rPr>
                    <w:t>Status</w:t>
                  </w:r>
                </w:p>
              </w:tc>
            </w:tr>
            <w:tr>
              <w:trPr>
                <w:cantSplit/>
              </w:trPr>
              <w:tc>
                <w:tcPr>
                  <w:tcW w:type="dxa" w:w="4513"/>
                </w:tcPr>
                <w:p>
                  <w:pPr>
                    <w:spacing w:after="20"/>
                  </w:pPr>
                  <w:r/>
                  <w:r>
                    <w:rPr>
                      <w:b w:val="0"/>
                      <w:i w:val="0"/>
                      <w:sz w:val="22"/>
                      <w:u w:val="none"/>
                    </w:rPr>
                    <w:t>Studies recorded in the tracker</w:t>
                  </w:r>
                </w:p>
              </w:tc>
              <w:tc>
                <w:tcPr>
                  <w:tcW w:type="dxa" w:w="4513"/>
                </w:tcPr>
                <w:p>
                  <w:pPr>
                    <w:spacing w:after="20"/>
                  </w:pPr>
                  <w:r/>
                  <w:r>
                    <w:rPr>
                      <w:b w:val="0"/>
                      <w:i w:val="0"/>
                      <w:sz w:val="22"/>
                      <w:u w:val="none"/>
                    </w:rPr>
                    <w:t>331 (two by DSERT, 329 by DIETs)</w:t>
                  </w:r>
                </w:p>
              </w:tc>
            </w:tr>
            <w:tr>
              <w:trPr>
                <w:cantSplit/>
              </w:trPr>
              <w:tc>
                <w:tcPr>
                  <w:tcW w:type="dxa" w:w="4513"/>
                </w:tcPr>
                <w:p>
                  <w:pPr>
                    <w:spacing w:after="20"/>
                  </w:pPr>
                  <w:r/>
                  <w:r>
                    <w:rPr>
                      <w:b w:val="0"/>
                      <w:i w:val="0"/>
                      <w:sz w:val="22"/>
                      <w:u w:val="none"/>
                    </w:rPr>
                    <w:t>Research units</w:t>
                  </w:r>
                </w:p>
              </w:tc>
              <w:tc>
                <w:tcPr>
                  <w:tcW w:type="dxa" w:w="4513"/>
                </w:tcPr>
                <w:p>
                  <w:pPr>
                    <w:spacing w:after="20"/>
                  </w:pPr>
                  <w:r/>
                  <w:r>
                    <w:rPr>
                      <w:b w:val="0"/>
                      <w:i w:val="0"/>
                      <w:sz w:val="22"/>
                      <w:u w:val="none"/>
                    </w:rPr>
                    <w:t>Thirty-five; twenty-seven had entered their studies</w:t>
                  </w:r>
                </w:p>
              </w:tc>
            </w:tr>
            <w:tr>
              <w:trPr>
                <w:cantSplit/>
              </w:trPr>
              <w:tc>
                <w:tcPr>
                  <w:tcW w:type="dxa" w:w="4513"/>
                </w:tcPr>
                <w:p>
                  <w:pPr>
                    <w:spacing w:after="20"/>
                  </w:pPr>
                  <w:r/>
                  <w:r>
                    <w:rPr>
                      <w:b w:val="0"/>
                      <w:i w:val="0"/>
                      <w:sz w:val="22"/>
                      <w:u w:val="none"/>
                    </w:rPr>
                    <w:t>Proposed budget</w:t>
                  </w:r>
                </w:p>
              </w:tc>
              <w:tc>
                <w:tcPr>
                  <w:tcW w:type="dxa" w:w="4513"/>
                </w:tcPr>
                <w:p>
                  <w:pPr>
                    <w:spacing w:after="20"/>
                  </w:pPr>
                  <w:r/>
                  <w:r>
                    <w:rPr>
                      <w:b w:val="0"/>
                      <w:i w:val="0"/>
                      <w:sz w:val="22"/>
                      <w:u w:val="none"/>
                    </w:rPr>
                    <w:t>Rs 2.66 crore</w:t>
                  </w:r>
                </w:p>
              </w:tc>
            </w:tr>
            <w:tr>
              <w:trPr>
                <w:cantSplit/>
              </w:trPr>
              <w:tc>
                <w:tcPr>
                  <w:tcW w:type="dxa" w:w="4513"/>
                </w:tcPr>
                <w:p>
                  <w:pPr>
                    <w:spacing w:after="20"/>
                  </w:pPr>
                  <w:r/>
                  <w:r>
                    <w:rPr>
                      <w:b w:val="0"/>
                      <w:i w:val="0"/>
                      <w:sz w:val="22"/>
                      <w:u w:val="none"/>
                    </w:rPr>
                    <w:t>Research Areas with at least one study</w:t>
                  </w:r>
                </w:p>
              </w:tc>
              <w:tc>
                <w:tcPr>
                  <w:tcW w:type="dxa" w:w="4513"/>
                </w:tcPr>
                <w:p>
                  <w:pPr>
                    <w:spacing w:after="20"/>
                  </w:pPr>
                  <w:r/>
                  <w:r>
                    <w:rPr>
                      <w:b w:val="0"/>
                      <w:i w:val="0"/>
                      <w:sz w:val="22"/>
                      <w:u w:val="none"/>
                    </w:rPr>
                    <w:t>All eighteen</w:t>
                  </w:r>
                </w:p>
              </w:tc>
            </w:tr>
            <w:tr>
              <w:trPr>
                <w:cantSplit/>
              </w:trPr>
              <w:tc>
                <w:tcPr>
                  <w:tcW w:type="dxa" w:w="4513"/>
                </w:tcPr>
                <w:p>
                  <w:pPr>
                    <w:spacing w:after="20"/>
                  </w:pPr>
                  <w:r/>
                  <w:r>
                    <w:rPr>
                      <w:b w:val="0"/>
                      <w:i w:val="0"/>
                      <w:sz w:val="22"/>
                      <w:u w:val="none"/>
                    </w:rPr>
                    <w:t>Districts selecting ten or more Research Areas</w:t>
                  </w:r>
                </w:p>
              </w:tc>
              <w:tc>
                <w:tcPr>
                  <w:tcW w:type="dxa" w:w="4513"/>
                </w:tcPr>
                <w:p>
                  <w:pPr>
                    <w:spacing w:after="20"/>
                  </w:pPr>
                  <w:r/>
                  <w:r>
                    <w:rPr>
                      <w:b w:val="0"/>
                      <w:i w:val="0"/>
                      <w:sz w:val="22"/>
                      <w:u w:val="none"/>
                    </w:rPr>
                    <w:t>Eleven</w:t>
                  </w:r>
                </w:p>
              </w:tc>
            </w:tr>
            <w:tr>
              <w:trPr>
                <w:cantSplit/>
              </w:trPr>
              <w:tc>
                <w:tcPr>
                  <w:tcW w:type="dxa" w:w="4513"/>
                </w:tcPr>
                <w:p>
                  <w:pPr>
                    <w:spacing w:after="20"/>
                  </w:pPr>
                  <w:r/>
                  <w:r>
                    <w:rPr>
                      <w:b w:val="0"/>
                      <w:i w:val="0"/>
                      <w:sz w:val="22"/>
                      <w:u w:val="none"/>
                    </w:rPr>
                    <w:t>Overlapping proposals found at planning stage</w:t>
                  </w:r>
                </w:p>
              </w:tc>
              <w:tc>
                <w:tcPr>
                  <w:tcW w:type="dxa" w:w="4513"/>
                </w:tcPr>
                <w:p>
                  <w:pPr>
                    <w:spacing w:after="20"/>
                  </w:pPr>
                  <w:r/>
                  <w:r>
                    <w:rPr>
                      <w:b w:val="0"/>
                      <w:i w:val="0"/>
                      <w:sz w:val="22"/>
                      <w:u w:val="none"/>
                    </w:rPr>
                    <w:t>Fifty-four</w:t>
                  </w:r>
                </w:p>
              </w:tc>
            </w:tr>
            <w:tr>
              <w:trPr>
                <w:cantSplit/>
              </w:trPr>
              <w:tc>
                <w:tcPr>
                  <w:tcW w:type="dxa" w:w="4513"/>
                </w:tcPr>
                <w:p>
                  <w:pPr>
                    <w:spacing w:after="20"/>
                  </w:pPr>
                  <w:r/>
                  <w:r>
                    <w:rPr>
                      <w:b w:val="0"/>
                      <w:i w:val="0"/>
                      <w:sz w:val="22"/>
                      <w:u w:val="none"/>
                    </w:rPr>
                    <w:t>Quality and ethics criteria applied to each study</w:t>
                  </w:r>
                </w:p>
              </w:tc>
              <w:tc>
                <w:tcPr>
                  <w:tcW w:type="dxa" w:w="4513"/>
                </w:tcPr>
                <w:p>
                  <w:pPr>
                    <w:spacing w:after="20"/>
                  </w:pPr>
                  <w:r/>
                  <w:r>
                    <w:rPr>
                      <w:b w:val="0"/>
                      <w:i w:val="0"/>
                      <w:sz w:val="22"/>
                      <w:u w:val="none"/>
                    </w:rPr>
                    <w:t>Twenty-four</w:t>
                  </w:r>
                </w:p>
              </w:tc>
            </w:tr>
          </w:tbl>
          <w:p/>
          <w:p>
            <w:pPr>
              <w:spacing w:after="40"/>
            </w:pPr>
          </w:p>
          <w:p>
            <w:pPr>
              <w:spacing w:after="80" w:before="0"/>
              <w:jc w:val="both"/>
            </w:pPr>
            <w:r>
              <w:rPr>
                <w:b w:val="0"/>
                <w:i w:val="0"/>
                <w:u w:val="none"/>
              </w:rPr>
              <w:t>Source: DSERT (2026c).</w:t>
            </w:r>
          </w:p>
          <w:p>
            <w:pPr>
              <w:spacing w:after="60" w:before="80"/>
            </w:pPr>
            <w:r>
              <w:rPr>
                <w:b/>
                <w:i w:val="0"/>
                <w:u w:val="none"/>
              </w:rPr>
              <w:t>State-level studies led by DSERT</w:t>
            </w:r>
          </w:p>
          <w:p>
            <w:pPr>
              <w:spacing w:after="60"/>
              <w:ind w:left="432" w:hanging="288"/>
              <w:jc w:val="both"/>
            </w:pPr>
            <w:r>
              <w:t xml:space="preserve">•  </w:t>
            </w:r>
            <w:r>
              <w:rPr>
                <w:b w:val="0"/>
                <w:i w:val="0"/>
                <w:u w:val="none"/>
              </w:rPr>
              <w:t>A study of teaching methods in Government schools: eight districts, 200 schools, 600 teachers and 400 classroom observations.</w:t>
            </w:r>
          </w:p>
          <w:p>
            <w:pPr>
              <w:spacing w:after="60"/>
              <w:ind w:left="432" w:hanging="288"/>
              <w:jc w:val="both"/>
            </w:pPr>
            <w:r>
              <w:t xml:space="preserve">•  </w:t>
            </w:r>
            <w:r>
              <w:rPr>
                <w:b w:val="0"/>
                <w:i w:val="0"/>
                <w:u w:val="none"/>
              </w:rPr>
              <w:t>A study of the needs of mental health programmes: eight districts, 160 schools, 3,200 students and 480 teachers.</w:t>
            </w:r>
          </w:p>
          <w:p>
            <w:pPr>
              <w:spacing w:after="60" w:before="80"/>
            </w:pPr>
            <w:r>
              <w:rPr>
                <w:b/>
                <w:i w:val="0"/>
                <w:u w:val="none"/>
              </w:rPr>
              <w:t>Capacity building</w:t>
            </w:r>
          </w:p>
          <w:p>
            <w:pPr>
              <w:spacing w:after="80" w:before="0"/>
              <w:jc w:val="both"/>
            </w:pPr>
            <w:r>
              <w:rPr>
                <w:b w:val="0"/>
                <w:i w:val="0"/>
                <w:u w:val="none"/>
              </w:rPr>
              <w:t>DSERT is holding six online orientation sessions on Research Mindedness for teacher educators from September 2026 to February 2027, timed to support each stage of the research cycle (DSERT, 2026d).</w:t>
            </w:r>
          </w:p>
          <w:p>
            <w:pPr>
              <w:spacing w:after="60" w:before="80"/>
            </w:pPr>
            <w:r>
              <w:rPr>
                <w:b/>
                <w:i w:val="0"/>
                <w:u w:val="none"/>
              </w:rPr>
              <w:t>What the district studies cover</w:t>
            </w:r>
          </w:p>
          <w:p>
            <w:pPr>
              <w:spacing w:after="80" w:before="0"/>
              <w:jc w:val="both"/>
            </w:pPr>
            <w:r>
              <w:rPr>
                <w:b w:val="0"/>
                <w:i w:val="0"/>
                <w:u w:val="none"/>
              </w:rPr>
              <w:t>The 124 notes span foundational learning and Sethubandha; PARAKH and SSLC results; mathematics kits and subject pedagogy; science laboratories and Atal Tinkering Labs; TALP, smart classes and digital content; English-medium and bilingual sections; pre-primary education and Vidya Pravesha; inclusive education; tribal and first-generation learners; dropout and enrolment; PM POSHAN; SDMCs and community participation; cluster support and in-service training; Sambhrama Shanivara; life skills, adolescent health and mental health; NSQF skill education; NMMS; Eco Clubs; and child protection.</w:t>
            </w:r>
          </w:p>
        </w:tc>
      </w:tr>
    </w:tbl>
    <w:p>
      <w:pPr>
        <w:spacing w:after="40" w:before="200"/>
      </w:pPr>
      <w:r>
        <w:rPr>
          <w:b/>
          <w:i w:val="0"/>
          <w:u w:val="none"/>
        </w:rPr>
        <w:t>3. Challenges</w:t>
      </w:r>
    </w:p>
    <w:p>
      <w:pPr>
        <w:spacing w:after="80" w:before="0"/>
      </w:pPr>
      <w:r>
        <w:rPr>
          <w:b w:val="0"/>
          <w:i/>
          <w:sz w:val="22"/>
          <w:u w:val="none"/>
        </w:rPr>
        <w:t>(Major policy, programmatic and capacity building gaps affecting the working of the States/ UTs Administration)</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before="80"/>
            </w:pPr>
            <w:r>
              <w:rPr>
                <w:b/>
                <w:i w:val="0"/>
                <w:u w:val="none"/>
              </w:rPr>
              <w:t>Gaps in the research system</w:t>
            </w:r>
          </w:p>
          <w:p>
            <w:pPr>
              <w:spacing w:after="60"/>
              <w:ind w:left="432" w:hanging="288"/>
              <w:jc w:val="both"/>
            </w:pPr>
            <w:r>
              <w:t xml:space="preserve">•  </w:t>
            </w:r>
            <w:r>
              <w:rPr>
                <w:b w:val="0"/>
                <w:i w:val="0"/>
                <w:u w:val="none"/>
              </w:rPr>
              <w:t>Topics were chosen by individual faculty members, so studies gathered around a few themes. When studies were mapped against forty-eight priority areas, thirteen had no study, among them the accuracy of SATS data, Holistic Progress Cards and teachers' readiness for AI (DSERT, 2026b).</w:t>
            </w:r>
          </w:p>
          <w:p>
            <w:pPr>
              <w:spacing w:after="60"/>
              <w:ind w:left="432" w:hanging="288"/>
              <w:jc w:val="both"/>
            </w:pPr>
            <w:r>
              <w:t xml:space="preserve">•  </w:t>
            </w:r>
            <w:r>
              <w:rPr>
                <w:b w:val="0"/>
                <w:i w:val="0"/>
                <w:u w:val="none"/>
              </w:rPr>
              <w:t>Many DIET faculty have had little training in sampling, validated tools, statistical analysis and research ethics; most studies are descriptive surveys and some reports are incomplete (DSERT, 2026d).</w:t>
            </w:r>
          </w:p>
          <w:p>
            <w:pPr>
              <w:spacing w:after="60"/>
              <w:ind w:left="432" w:hanging="288"/>
              <w:jc w:val="both"/>
            </w:pPr>
            <w:r>
              <w:t xml:space="preserve">•  </w:t>
            </w:r>
            <w:r>
              <w:rPr>
                <w:b w:val="0"/>
                <w:i w:val="0"/>
                <w:u w:val="none"/>
              </w:rPr>
              <w:t>Reports were scattered across institutions and findings did not reach teachers, district officers and State decision-makers in a usable form (DSERT, 2026a).</w:t>
            </w:r>
          </w:p>
          <w:p>
            <w:pPr>
              <w:spacing w:after="60"/>
              <w:ind w:left="432" w:hanging="288"/>
              <w:jc w:val="both"/>
            </w:pPr>
            <w:r>
              <w:t xml:space="preserve">•  </w:t>
            </w:r>
            <w:r>
              <w:rPr>
                <w:b w:val="0"/>
                <w:i w:val="0"/>
                <w:u w:val="none"/>
              </w:rPr>
              <w:t>With more than 300 studies a year, research could not be monitored by hand, and duplicate studies wasted money (DSERT, 2026c).</w:t>
            </w:r>
          </w:p>
          <w:p>
            <w:pPr>
              <w:spacing w:after="60" w:before="80"/>
            </w:pPr>
            <w:r>
              <w:rPr>
                <w:b/>
                <w:i w:val="0"/>
                <w:u w:val="none"/>
              </w:rPr>
              <w:t>Gaps in programmes found by the studies</w:t>
            </w:r>
          </w:p>
          <w:p>
            <w:pPr>
              <w:spacing w:after="60"/>
              <w:ind w:left="432" w:hanging="288"/>
              <w:jc w:val="both"/>
            </w:pPr>
            <w:r>
              <w:t xml:space="preserve">•  </w:t>
            </w:r>
            <w:r>
              <w:rPr>
                <w:b/>
                <w:i w:val="0"/>
                <w:u w:val="none"/>
              </w:rPr>
              <w:t>Science laboratories.</w:t>
            </w:r>
            <w:r>
              <w:rPr>
                <w:b w:val="0"/>
                <w:i w:val="0"/>
                <w:u w:val="none"/>
              </w:rPr>
              <w:t xml:space="preserve"> Only forty per cent of schools studied in Bengaluru Rural had fully functional laboratories (DIET Bengaluru Rural, 2024-25). Eighty per cent of high schools studied in Dakshina Kannada had no dedicated laboratory room (DIET Dakshina Kannada, 2024-25). Eighty-one per cent of teachers trained at IISc in Bagalkot district found it hard to apply their training for lack of laboratory facilities (DIET Ilkal, 2025-26).</w:t>
            </w:r>
          </w:p>
          <w:p>
            <w:pPr>
              <w:spacing w:after="60"/>
              <w:ind w:left="432" w:hanging="288"/>
              <w:jc w:val="both"/>
            </w:pPr>
            <w:r>
              <w:t xml:space="preserve">•  </w:t>
            </w:r>
            <w:r>
              <w:rPr>
                <w:b/>
                <w:i w:val="0"/>
                <w:u w:val="none"/>
              </w:rPr>
              <w:t>Technology.</w:t>
            </w:r>
            <w:r>
              <w:rPr>
                <w:b w:val="0"/>
                <w:i w:val="0"/>
                <w:u w:val="none"/>
              </w:rPr>
              <w:t xml:space="preserve"> Only three of fifteen schools studied in Chamarajanagar had an inverter or Uninterruptible Power Supply (DIET Chamarajanagar, 2024-25). Only 43.5 per cent of TALP schools in Kodagu had all the necessary infrastructure (DIET Kodagu, 2024-25). Malnad schools face problems of internet and electricity (DIET Chikkamagaluru, 2024-25).</w:t>
            </w:r>
          </w:p>
          <w:p>
            <w:pPr>
              <w:spacing w:after="60"/>
              <w:ind w:left="432" w:hanging="288"/>
              <w:jc w:val="both"/>
            </w:pPr>
            <w:r>
              <w:t xml:space="preserve">•  </w:t>
            </w:r>
            <w:r>
              <w:rPr>
                <w:b/>
                <w:i w:val="0"/>
                <w:u w:val="none"/>
              </w:rPr>
              <w:t>Equity.</w:t>
            </w:r>
            <w:r>
              <w:rPr>
                <w:b w:val="0"/>
                <w:i w:val="0"/>
                <w:u w:val="none"/>
              </w:rPr>
              <w:t xml:space="preserve"> Over sixty per cent of 150 tribal students in Hassan struggled to understand lessons (DIET Hassan, 2025-26). Seventy-five per cent of dropouts studied in Bagalkot district came from low-income families (DIET Ilkal, 2024-25). Lambani children in Huvina Hadagali had lower Kannada proficiency and attendance than the district average (DIET Ballari, 2024-25).</w:t>
            </w:r>
          </w:p>
          <w:p>
            <w:pPr>
              <w:spacing w:after="60"/>
              <w:ind w:left="432" w:hanging="288"/>
              <w:jc w:val="both"/>
            </w:pPr>
            <w:r>
              <w:t xml:space="preserve">•  </w:t>
            </w:r>
            <w:r>
              <w:rPr>
                <w:b/>
                <w:i w:val="0"/>
                <w:u w:val="none"/>
              </w:rPr>
              <w:t>Inclusive education.</w:t>
            </w:r>
            <w:r>
              <w:rPr>
                <w:b w:val="0"/>
                <w:i w:val="0"/>
                <w:u w:val="none"/>
              </w:rPr>
              <w:t xml:space="preserve"> In eight of forty schools studied in Koppal, teachers handling inclusive classrooms had not been trained (DIET Koppal, 2024-25). Many schools lack assistive devices and accessible buildings (DIET Hassan, 2025-26).</w:t>
            </w:r>
          </w:p>
          <w:p>
            <w:pPr>
              <w:spacing w:after="60"/>
              <w:ind w:left="432" w:hanging="288"/>
              <w:jc w:val="both"/>
            </w:pPr>
            <w:r>
              <w:t xml:space="preserve">•  </w:t>
            </w:r>
            <w:r>
              <w:rPr>
                <w:b/>
                <w:i w:val="0"/>
                <w:u w:val="none"/>
              </w:rPr>
              <w:t>Academic support.</w:t>
            </w:r>
            <w:r>
              <w:rPr>
                <w:b w:val="0"/>
                <w:i w:val="0"/>
                <w:u w:val="none"/>
              </w:rPr>
              <w:t xml:space="preserve"> Only forty-five per cent of teachers in Chikkamagaluru high schools received timely and constructive feedback from supervision (DIET Chikkamagaluru, 2024-25). A quarter of teachers in Dakshina Kannada did not attend cluster sharing meetings (DIET Dakshina Kannada, 2024-25).</w:t>
            </w:r>
          </w:p>
          <w:p>
            <w:pPr>
              <w:spacing w:after="60"/>
              <w:ind w:left="432" w:hanging="288"/>
              <w:jc w:val="both"/>
            </w:pPr>
            <w:r>
              <w:t xml:space="preserve">•  </w:t>
            </w:r>
            <w:r>
              <w:rPr>
                <w:b/>
                <w:i w:val="0"/>
                <w:u w:val="none"/>
              </w:rPr>
              <w:t>Well-being.</w:t>
            </w:r>
            <w:r>
              <w:rPr>
                <w:b w:val="0"/>
                <w:i w:val="0"/>
                <w:u w:val="none"/>
              </w:rPr>
              <w:t xml:space="preserve"> Of the Class 9 and 10 students studied in Kalaburagi, 51.25 per cent reported stress, mainly from academic pressure (DIET Kalaburagi, 2024-25). In Kodagu, forty-two per cent of headmasters noticed students' concentration and interest falling with the use of the internet and social media (DIET Kodagu, 2025-26).</w:t>
            </w:r>
          </w:p>
          <w:p>
            <w:pPr>
              <w:spacing w:after="60"/>
              <w:ind w:left="432" w:hanging="288"/>
              <w:jc w:val="both"/>
            </w:pPr>
            <w:r>
              <w:t xml:space="preserve">•  </w:t>
            </w:r>
            <w:r>
              <w:rPr>
                <w:b/>
                <w:i w:val="0"/>
                <w:u w:val="none"/>
              </w:rPr>
              <w:t>Enrolment.</w:t>
            </w:r>
            <w:r>
              <w:rPr>
                <w:b w:val="0"/>
                <w:i w:val="0"/>
                <w:u w:val="none"/>
              </w:rPr>
              <w:t xml:space="preserve"> Government schools for linguistic minorities in Mandya saw enrolment fall over three years (DIET Mandya, 2024-25).</w:t>
            </w:r>
          </w:p>
          <w:p>
            <w:pPr>
              <w:spacing w:after="60" w:before="80"/>
            </w:pPr>
            <w:r>
              <w:rPr>
                <w:b/>
                <w:i w:val="0"/>
                <w:u w:val="none"/>
              </w:rPr>
              <w:t>Capacity gaps</w:t>
            </w:r>
          </w:p>
          <w:p>
            <w:pPr>
              <w:spacing w:after="60"/>
              <w:ind w:left="432" w:hanging="288"/>
              <w:jc w:val="both"/>
            </w:pPr>
            <w:r>
              <w:t xml:space="preserve">•  </w:t>
            </w:r>
            <w:r>
              <w:rPr>
                <w:b w:val="0"/>
                <w:i w:val="0"/>
                <w:u w:val="none"/>
              </w:rPr>
              <w:t>Training often ends without follow-up in the classroom, so new methods are not sustained.</w:t>
            </w:r>
          </w:p>
          <w:p>
            <w:pPr>
              <w:spacing w:after="60"/>
              <w:ind w:left="432" w:hanging="288"/>
              <w:jc w:val="both"/>
            </w:pPr>
            <w:r>
              <w:t xml:space="preserve">•  </w:t>
            </w:r>
            <w:r>
              <w:rPr>
                <w:b w:val="0"/>
                <w:i w:val="0"/>
                <w:u w:val="none"/>
              </w:rPr>
              <w:t>Funds for maintenance, internet and consumables are not assured after equipment is supplied.</w:t>
            </w:r>
          </w:p>
          <w:p>
            <w:pPr>
              <w:spacing w:after="60"/>
              <w:ind w:left="432" w:hanging="288"/>
              <w:jc w:val="both"/>
            </w:pPr>
            <w:r>
              <w:t xml:space="preserve">•  </w:t>
            </w:r>
            <w:r>
              <w:rPr>
                <w:b w:val="0"/>
                <w:i w:val="0"/>
                <w:u w:val="none"/>
              </w:rPr>
              <w:t>Findings are not yet linked to training calendars, district plans or the annual Samagra Shiksha plan.</w:t>
            </w:r>
          </w:p>
        </w:tc>
      </w:tr>
    </w:tbl>
    <w:p>
      <w:pPr>
        <w:spacing w:after="40" w:before="200"/>
      </w:pPr>
      <w:r>
        <w:rPr>
          <w:b/>
          <w:i w:val="0"/>
          <w:u w:val="none"/>
        </w:rPr>
        <w:t>4. Possible Solutions</w:t>
      </w:r>
    </w:p>
    <w:p>
      <w:pPr>
        <w:spacing w:after="80" w:before="0"/>
      </w:pPr>
      <w:r>
        <w:rPr>
          <w:b w:val="0"/>
          <w:i/>
          <w:sz w:val="22"/>
          <w:u w:val="none"/>
        </w:rPr>
        <w:t>(Proposed ideas, actions that can be undertaken by different stakeholders. Scope for convergence with other schemes/ programmes)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before="80"/>
            </w:pPr>
            <w:r>
              <w:rPr>
                <w:b/>
                <w:i w:val="0"/>
                <w:u w:val="none"/>
              </w:rPr>
              <w:t>State Government and DSERT</w:t>
            </w:r>
          </w:p>
          <w:p>
            <w:pPr>
              <w:spacing w:after="60"/>
              <w:ind w:left="432" w:hanging="288"/>
              <w:jc w:val="both"/>
            </w:pPr>
            <w:r>
              <w:t xml:space="preserve">•  </w:t>
            </w:r>
            <w:r>
              <w:rPr>
                <w:b w:val="0"/>
                <w:i w:val="0"/>
                <w:u w:val="none"/>
              </w:rPr>
              <w:t>Approve a State research agenda each year, with Research Areas drawn from State priorities and from gaps found in earlier studies.</w:t>
            </w:r>
          </w:p>
          <w:p>
            <w:pPr>
              <w:spacing w:after="60"/>
              <w:ind w:left="432" w:hanging="288"/>
              <w:jc w:val="both"/>
            </w:pPr>
            <w:r>
              <w:t xml:space="preserve">•  </w:t>
            </w:r>
            <w:r>
              <w:rPr>
                <w:b w:val="0"/>
                <w:i w:val="0"/>
                <w:u w:val="none"/>
              </w:rPr>
              <w:t>Provide assured funding for research by DSERT and the DIETs, with a fixed ceiling per study and standard budget heads.</w:t>
            </w:r>
          </w:p>
          <w:p>
            <w:pPr>
              <w:spacing w:after="60"/>
              <w:ind w:left="432" w:hanging="288"/>
              <w:jc w:val="both"/>
            </w:pPr>
            <w:r>
              <w:t xml:space="preserve">•  </w:t>
            </w:r>
            <w:r>
              <w:rPr>
                <w:b w:val="0"/>
                <w:i w:val="0"/>
                <w:u w:val="none"/>
              </w:rPr>
              <w:t>Require standard templates, ethics review for studies with children, quarterly progress reports and final reports by the end of the year.</w:t>
            </w:r>
          </w:p>
          <w:p>
            <w:pPr>
              <w:spacing w:after="60"/>
              <w:ind w:left="432" w:hanging="288"/>
              <w:jc w:val="both"/>
            </w:pPr>
            <w:r>
              <w:t xml:space="preserve">•  </w:t>
            </w:r>
            <w:r>
              <w:rPr>
                <w:b w:val="0"/>
                <w:i w:val="0"/>
                <w:u w:val="none"/>
              </w:rPr>
              <w:t>Publish the Research Abstracts Compilation every year and prepare short policy briefs for each Research Area.</w:t>
            </w:r>
          </w:p>
          <w:p>
            <w:pPr>
              <w:spacing w:after="60"/>
              <w:ind w:left="432" w:hanging="288"/>
              <w:jc w:val="both"/>
            </w:pPr>
            <w:r>
              <w:t xml:space="preserve">•  </w:t>
            </w:r>
            <w:r>
              <w:rPr>
                <w:b w:val="0"/>
                <w:i w:val="0"/>
                <w:u w:val="none"/>
              </w:rPr>
              <w:t>Hold a State research symposium every year where findings are presented to programme officers.</w:t>
            </w:r>
          </w:p>
          <w:p>
            <w:pPr>
              <w:spacing w:after="60" w:before="80"/>
            </w:pPr>
            <w:r>
              <w:rPr>
                <w:b/>
                <w:i w:val="0"/>
                <w:u w:val="none"/>
              </w:rPr>
              <w:t>DIETs</w:t>
            </w:r>
          </w:p>
          <w:p>
            <w:pPr>
              <w:spacing w:after="60"/>
              <w:ind w:left="432" w:hanging="288"/>
              <w:jc w:val="both"/>
            </w:pPr>
            <w:r>
              <w:t xml:space="preserve">•  </w:t>
            </w:r>
            <w:r>
              <w:rPr>
                <w:b w:val="0"/>
                <w:i w:val="0"/>
                <w:u w:val="none"/>
              </w:rPr>
              <w:t>Choose at least ten Research Areas, so that studies are broad and linked to district needs.</w:t>
            </w:r>
          </w:p>
          <w:p>
            <w:pPr>
              <w:spacing w:after="60"/>
              <w:ind w:left="432" w:hanging="288"/>
              <w:jc w:val="both"/>
            </w:pPr>
            <w:r>
              <w:t xml:space="preserve">•  </w:t>
            </w:r>
            <w:r>
              <w:rPr>
                <w:b w:val="0"/>
                <w:i w:val="0"/>
                <w:u w:val="none"/>
              </w:rPr>
              <w:t>Use experimental, quasi-experimental and longitudinal designs where possible, as Ballari, Dakshina Kannada and Madhugiri have done.</w:t>
            </w:r>
          </w:p>
          <w:p>
            <w:pPr>
              <w:spacing w:after="60"/>
              <w:ind w:left="432" w:hanging="288"/>
              <w:jc w:val="both"/>
            </w:pPr>
            <w:r>
              <w:t xml:space="preserve">•  </w:t>
            </w:r>
            <w:r>
              <w:rPr>
                <w:b w:val="0"/>
                <w:i w:val="0"/>
                <w:u w:val="none"/>
              </w:rPr>
              <w:t>Share findings with Block Education Officers, Cluster Resource Persons and headmasters, and use them in training plans.</w:t>
            </w:r>
          </w:p>
          <w:p>
            <w:pPr>
              <w:spacing w:after="60" w:before="80"/>
            </w:pPr>
            <w:r>
              <w:rPr>
                <w:b/>
                <w:i w:val="0"/>
                <w:u w:val="none"/>
              </w:rPr>
              <w:t>District administration and schools</w:t>
            </w:r>
          </w:p>
          <w:p>
            <w:pPr>
              <w:spacing w:after="60"/>
              <w:ind w:left="432" w:hanging="288"/>
              <w:jc w:val="both"/>
            </w:pPr>
            <w:r>
              <w:t xml:space="preserve">•  </w:t>
            </w:r>
            <w:r>
              <w:rPr>
                <w:b w:val="0"/>
                <w:i w:val="0"/>
                <w:u w:val="none"/>
              </w:rPr>
              <w:t>Use DIET findings in district education plans, especially for laboratories, ICT maintenance, inclusive education and dropout.</w:t>
            </w:r>
          </w:p>
          <w:p>
            <w:pPr>
              <w:spacing w:after="60"/>
              <w:ind w:left="432" w:hanging="288"/>
              <w:jc w:val="both"/>
            </w:pPr>
            <w:r>
              <w:t xml:space="preserve">•  </w:t>
            </w:r>
            <w:r>
              <w:rPr>
                <w:b w:val="0"/>
                <w:i w:val="0"/>
                <w:u w:val="none"/>
              </w:rPr>
              <w:t>Act on study findings through SDMCs and parents' meetings.</w:t>
            </w:r>
          </w:p>
          <w:p>
            <w:pPr>
              <w:spacing w:after="60" w:before="80"/>
            </w:pPr>
            <w:r>
              <w:rPr>
                <w:b/>
                <w:i w:val="0"/>
                <w:u w:val="none"/>
              </w:rPr>
              <w:t>Programme-level solutions from the studies</w:t>
            </w:r>
          </w:p>
          <w:p>
            <w:pPr>
              <w:spacing w:after="60"/>
              <w:ind w:left="432" w:hanging="288"/>
              <w:jc w:val="both"/>
            </w:pPr>
            <w:r>
              <w:t xml:space="preserve">•  </w:t>
            </w:r>
            <w:r>
              <w:rPr>
                <w:b w:val="0"/>
                <w:i w:val="0"/>
                <w:u w:val="none"/>
              </w:rPr>
              <w:t>Pair every supply of kits, laboratories or smart classes with teacher training, a maintenance fund and follow-up visits.</w:t>
            </w:r>
          </w:p>
          <w:p>
            <w:pPr>
              <w:spacing w:after="60"/>
              <w:ind w:left="432" w:hanging="288"/>
              <w:jc w:val="both"/>
            </w:pPr>
            <w:r>
              <w:t xml:space="preserve">•  </w:t>
            </w:r>
            <w:r>
              <w:rPr>
                <w:b w:val="0"/>
                <w:i w:val="0"/>
                <w:u w:val="none"/>
              </w:rPr>
              <w:t>Strengthen cluster sharing meetings and peer learning, which teachers rated highly (DIET Dakshina Kannada, 2024-25).</w:t>
            </w:r>
          </w:p>
          <w:p>
            <w:pPr>
              <w:spacing w:after="60"/>
              <w:ind w:left="432" w:hanging="288"/>
              <w:jc w:val="both"/>
            </w:pPr>
            <w:r>
              <w:t xml:space="preserve">•  </w:t>
            </w:r>
            <w:r>
              <w:rPr>
                <w:b w:val="0"/>
                <w:i w:val="0"/>
                <w:u w:val="none"/>
              </w:rPr>
              <w:t>Provide bilingual support and home-language bridges for tribal children.</w:t>
            </w:r>
          </w:p>
          <w:p>
            <w:pPr>
              <w:spacing w:after="60"/>
              <w:ind w:left="432" w:hanging="288"/>
              <w:jc w:val="both"/>
            </w:pPr>
            <w:r>
              <w:t xml:space="preserve">•  </w:t>
            </w:r>
            <w:r>
              <w:rPr>
                <w:b w:val="0"/>
                <w:i w:val="0"/>
                <w:u w:val="none"/>
              </w:rPr>
              <w:t>Provide trained teachers, assistive devices and accessible buildings for children with special needs.</w:t>
            </w:r>
          </w:p>
          <w:p>
            <w:pPr>
              <w:spacing w:after="60"/>
              <w:ind w:left="432" w:hanging="288"/>
              <w:jc w:val="both"/>
            </w:pPr>
            <w:r>
              <w:t xml:space="preserve">•  </w:t>
            </w:r>
            <w:r>
              <w:rPr>
                <w:b w:val="0"/>
                <w:i w:val="0"/>
                <w:u w:val="none"/>
              </w:rPr>
              <w:t>Build counselling and stress-coping support into high schools.</w:t>
            </w:r>
          </w:p>
          <w:p>
            <w:pPr>
              <w:spacing w:after="60" w:before="80"/>
            </w:pPr>
            <w:r>
              <w:rPr>
                <w:b/>
                <w:i w:val="0"/>
                <w:u w:val="none"/>
              </w:rPr>
              <w:t>Convergence</w:t>
            </w:r>
          </w:p>
          <w:p>
            <w:pPr>
              <w:spacing w:after="60"/>
              <w:ind w:left="432" w:hanging="288"/>
              <w:jc w:val="both"/>
            </w:pPr>
            <w:r>
              <w:t xml:space="preserve">•  </w:t>
            </w:r>
            <w:r>
              <w:rPr>
                <w:b w:val="0"/>
                <w:i w:val="0"/>
                <w:u w:val="none"/>
              </w:rPr>
              <w:t>Samagra Shiksha: funding for research, teacher training, inclusive education and ICT.</w:t>
            </w:r>
          </w:p>
          <w:p>
            <w:pPr>
              <w:spacing w:after="60"/>
              <w:ind w:left="432" w:hanging="288"/>
              <w:jc w:val="both"/>
            </w:pPr>
            <w:r>
              <w:t xml:space="preserve">•  </w:t>
            </w:r>
            <w:r>
              <w:rPr>
                <w:b w:val="0"/>
                <w:i w:val="0"/>
                <w:u w:val="none"/>
              </w:rPr>
              <w:t>PM SHRI schools: model sites for testing interventions.</w:t>
            </w:r>
          </w:p>
          <w:p>
            <w:pPr>
              <w:spacing w:after="60"/>
              <w:ind w:left="432" w:hanging="288"/>
              <w:jc w:val="both"/>
            </w:pPr>
            <w:r>
              <w:t xml:space="preserve">•  </w:t>
            </w:r>
            <w:r>
              <w:rPr>
                <w:b w:val="0"/>
                <w:i w:val="0"/>
                <w:u w:val="none"/>
              </w:rPr>
              <w:t>PM POSHAN and the Department of Health: nutrition and adolescent health studies.</w:t>
            </w:r>
          </w:p>
          <w:p>
            <w:pPr>
              <w:spacing w:after="60"/>
              <w:ind w:left="432" w:hanging="288"/>
              <w:jc w:val="both"/>
            </w:pPr>
            <w:r>
              <w:t xml:space="preserve">•  </w:t>
            </w:r>
            <w:r>
              <w:rPr>
                <w:b w:val="0"/>
                <w:i w:val="0"/>
                <w:u w:val="none"/>
              </w:rPr>
              <w:t>Department of Tribal Welfare: Ashram schools and tribal learners.</w:t>
            </w:r>
          </w:p>
          <w:p>
            <w:pPr>
              <w:spacing w:after="60"/>
              <w:ind w:left="432" w:hanging="288"/>
              <w:jc w:val="both"/>
            </w:pPr>
            <w:r>
              <w:t xml:space="preserve">•  </w:t>
            </w:r>
            <w:r>
              <w:rPr>
                <w:b w:val="0"/>
                <w:i w:val="0"/>
                <w:u w:val="none"/>
              </w:rPr>
              <w:t>Higher education institutions and IISc: research mentoring and validation of tools.</w:t>
            </w:r>
          </w:p>
          <w:p>
            <w:pPr>
              <w:spacing w:after="60"/>
              <w:ind w:left="432" w:hanging="288"/>
              <w:jc w:val="both"/>
            </w:pPr>
            <w:r>
              <w:t xml:space="preserve">•  </w:t>
            </w:r>
            <w:r>
              <w:rPr>
                <w:b w:val="0"/>
                <w:i w:val="0"/>
                <w:u w:val="none"/>
              </w:rPr>
              <w:t>Corporate Social Responsibility and non-governmental partners: laboratories, reading programmes and digital devices.</w:t>
            </w:r>
          </w:p>
        </w:tc>
      </w:tr>
    </w:tbl>
    <w:p>
      <w:pPr>
        <w:spacing w:after="40" w:before="200"/>
      </w:pPr>
      <w:r>
        <w:rPr>
          <w:b/>
          <w:i w:val="0"/>
          <w:u w:val="none"/>
        </w:rPr>
        <w:t>5. Best Practices</w:t>
      </w:r>
    </w:p>
    <w:p>
      <w:pPr>
        <w:spacing w:after="80" w:before="0"/>
      </w:pPr>
      <w:r>
        <w:rPr>
          <w:b w:val="0"/>
          <w:i/>
          <w:sz w:val="22"/>
          <w:u w:val="none"/>
        </w:rPr>
        <w:t>(International (if any), Major Initiatives undertaken by States/ UTs Administration. May also include initiatives for training and capacity-building that have been taken for effective implementation; Strategic communication campaigns undertaken to disseminate the programme; convergence; new technologies used for effective implementation)</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before="80"/>
            </w:pPr>
            <w:r>
              <w:rPr>
                <w:b/>
                <w:i w:val="0"/>
                <w:u w:val="none"/>
              </w:rPr>
              <w:t>State initiatives</w:t>
            </w:r>
          </w:p>
          <w:p>
            <w:pPr>
              <w:spacing w:after="60"/>
              <w:ind w:left="432" w:hanging="288"/>
              <w:jc w:val="both"/>
            </w:pPr>
            <w:r>
              <w:t xml:space="preserve">•  </w:t>
            </w:r>
            <w:r>
              <w:rPr>
                <w:b/>
                <w:i w:val="0"/>
                <w:u w:val="none"/>
              </w:rPr>
              <w:t>State Research Studies Tracker 2026-27 (DSERT).</w:t>
            </w:r>
            <w:r>
              <w:rPr>
                <w:b w:val="0"/>
                <w:i w:val="0"/>
                <w:u w:val="none"/>
              </w:rPr>
              <w:t xml:space="preserve"> A single workbook records every study against twenty milestones, with a budget ledger, a district coverage matrix, a log of changes and an automatic dashboard. Its Duplication and Convergence Register found fifty-four overlapping proposals before any money was spent, and its Quality and Ethics Checklist scores each study on twenty-four criteria (DSERT, 2026c).</w:t>
            </w:r>
          </w:p>
          <w:p>
            <w:pPr>
              <w:spacing w:after="60"/>
              <w:ind w:left="432" w:hanging="288"/>
              <w:jc w:val="both"/>
            </w:pPr>
            <w:r>
              <w:t xml:space="preserve">•  </w:t>
            </w:r>
            <w:r>
              <w:rPr>
                <w:b/>
                <w:i w:val="0"/>
                <w:u w:val="none"/>
              </w:rPr>
              <w:t>Research Abstracts Compilation (DSERT).</w:t>
            </w:r>
            <w:r>
              <w:rPr>
                <w:b w:val="0"/>
                <w:i w:val="0"/>
                <w:u w:val="none"/>
              </w:rPr>
              <w:t xml:space="preserve"> For the first time, district research can be searched, compared and used for policy. DIET-wise feedback notes for this Conference were prepared from it (DSERT, 2026a).</w:t>
            </w:r>
          </w:p>
          <w:p>
            <w:pPr>
              <w:spacing w:after="60"/>
              <w:ind w:left="432" w:hanging="288"/>
              <w:jc w:val="both"/>
            </w:pPr>
            <w:r>
              <w:t xml:space="preserve">•  </w:t>
            </w:r>
            <w:r>
              <w:rPr>
                <w:b/>
                <w:i w:val="0"/>
                <w:u w:val="none"/>
              </w:rPr>
              <w:t>Online orientation on Research Mindedness.</w:t>
            </w:r>
            <w:r>
              <w:rPr>
                <w:b w:val="0"/>
                <w:i w:val="0"/>
                <w:u w:val="none"/>
              </w:rPr>
              <w:t xml:space="preserve"> Low-cost sessions for teacher educators across the State, aligned with the research cycle (DSERT, 2026d).</w:t>
            </w:r>
          </w:p>
          <w:p>
            <w:pPr>
              <w:spacing w:after="60" w:before="80"/>
            </w:pPr>
            <w:r>
              <w:rPr>
                <w:b/>
                <w:i w:val="0"/>
                <w:u w:val="none"/>
              </w:rPr>
              <w:t>District practices with strong evidence</w:t>
            </w:r>
          </w:p>
          <w:p>
            <w:pPr>
              <w:spacing w:after="60"/>
              <w:ind w:left="432" w:hanging="288"/>
              <w:jc w:val="both"/>
            </w:pPr>
            <w:r>
              <w:t xml:space="preserve">•  </w:t>
            </w:r>
            <w:r>
              <w:rPr>
                <w:b/>
                <w:i w:val="0"/>
                <w:u w:val="none"/>
              </w:rPr>
              <w:t>Concrete-Pictorial-Abstract mathematics (Dakshina Kannada).</w:t>
            </w:r>
            <w:r>
              <w:rPr>
                <w:b w:val="0"/>
                <w:i w:val="0"/>
                <w:u w:val="none"/>
              </w:rPr>
              <w:t xml:space="preserve"> A fifty per cent improvement in mean scores (DIET Dakshina Kannada, 2024-25).</w:t>
            </w:r>
          </w:p>
          <w:p>
            <w:pPr>
              <w:spacing w:after="60"/>
              <w:ind w:left="432" w:hanging="288"/>
              <w:jc w:val="both"/>
            </w:pPr>
            <w:r>
              <w:t xml:space="preserve">•  </w:t>
            </w:r>
            <w:r>
              <w:rPr>
                <w:b/>
                <w:i w:val="0"/>
                <w:u w:val="none"/>
              </w:rPr>
              <w:t>Ganitha Kalika Andolana (Ballari, Chitradurga).</w:t>
            </w:r>
            <w:r>
              <w:rPr>
                <w:b w:val="0"/>
                <w:i w:val="0"/>
                <w:u w:val="none"/>
              </w:rPr>
              <w:t xml:space="preserve"> Gains thirty to forty per cent higher than the control group in Ballari, and a significant positive correlation between kit use and achievement among 600 Grade 5 students in Chitradurga (DIET Ballari, 2024-25; DIET Chitradurga, 2024-25).</w:t>
            </w:r>
          </w:p>
          <w:p>
            <w:pPr>
              <w:spacing w:after="60"/>
              <w:ind w:left="432" w:hanging="288"/>
              <w:jc w:val="both"/>
            </w:pPr>
            <w:r>
              <w:t xml:space="preserve">•  </w:t>
            </w:r>
            <w:r>
              <w:rPr>
                <w:b/>
                <w:i w:val="0"/>
                <w:u w:val="none"/>
              </w:rPr>
              <w:t>Cluster sharing meetings (Dakshina Kannada).</w:t>
            </w:r>
            <w:r>
              <w:rPr>
                <w:b w:val="0"/>
                <w:i w:val="0"/>
                <w:u w:val="none"/>
              </w:rPr>
              <w:t xml:space="preserve"> Ninety-four per cent of teachers said their subject knowledge and teaching strategies had improved, and eighty-nine per cent used new strategies (DIET Dakshina Kannada, 2024-25).</w:t>
            </w:r>
          </w:p>
          <w:p>
            <w:pPr>
              <w:spacing w:after="60"/>
              <w:ind w:left="432" w:hanging="288"/>
              <w:jc w:val="both"/>
            </w:pPr>
            <w:r>
              <w:t xml:space="preserve">•  </w:t>
            </w:r>
            <w:r>
              <w:rPr>
                <w:b/>
                <w:i w:val="0"/>
                <w:u w:val="none"/>
              </w:rPr>
              <w:t>Room to Read (Bengaluru Urban).</w:t>
            </w:r>
            <w:r>
              <w:rPr>
                <w:b w:val="0"/>
                <w:i w:val="0"/>
                <w:u w:val="none"/>
              </w:rPr>
              <w:t xml:space="preserve"> Eighty-four per cent of students said their reading habits had improved (DIET Bengaluru Urban, 2024-25).</w:t>
            </w:r>
          </w:p>
          <w:p>
            <w:pPr>
              <w:spacing w:after="60"/>
              <w:ind w:left="432" w:hanging="288"/>
              <w:jc w:val="both"/>
            </w:pPr>
            <w:r>
              <w:t xml:space="preserve">•  </w:t>
            </w:r>
            <w:r>
              <w:rPr>
                <w:b/>
                <w:i w:val="0"/>
                <w:u w:val="none"/>
              </w:rPr>
              <w:t>Six-year NMMS cohort study (Madhugiri).</w:t>
            </w:r>
            <w:r>
              <w:rPr>
                <w:b w:val="0"/>
                <w:i w:val="0"/>
                <w:u w:val="none"/>
              </w:rPr>
              <w:t xml:space="preserve"> A longitudinal study that followed scholarship recipients from 2018-19 to 2024-25, a model for programme evaluation (DIET Madhugiri, 2024-25).</w:t>
            </w:r>
          </w:p>
          <w:p>
            <w:pPr>
              <w:spacing w:after="60"/>
              <w:ind w:left="432" w:hanging="288"/>
              <w:jc w:val="both"/>
            </w:pPr>
            <w:r>
              <w:t xml:space="preserve">•  </w:t>
            </w:r>
            <w:r>
              <w:rPr>
                <w:b/>
                <w:i w:val="0"/>
                <w:u w:val="none"/>
              </w:rPr>
              <w:t>Community contribution (Bagalkot).</w:t>
            </w:r>
            <w:r>
              <w:rPr>
                <w:b w:val="0"/>
                <w:i w:val="0"/>
                <w:u w:val="none"/>
              </w:rPr>
              <w:t xml:space="preserve"> Seventy-five per cent of schools studied received community support in money, materials or volunteer work (DIET Ilkal, 2024-25).</w:t>
            </w:r>
          </w:p>
          <w:p>
            <w:pPr>
              <w:spacing w:after="60"/>
              <w:ind w:left="432" w:hanging="288"/>
              <w:jc w:val="both"/>
            </w:pPr>
            <w:r>
              <w:t xml:space="preserve">•  </w:t>
            </w:r>
            <w:r>
              <w:rPr>
                <w:b/>
                <w:i w:val="0"/>
                <w:u w:val="none"/>
              </w:rPr>
              <w:t>Inclusive practice (Koppal).</w:t>
            </w:r>
            <w:r>
              <w:rPr>
                <w:b w:val="0"/>
                <w:i w:val="0"/>
                <w:u w:val="none"/>
              </w:rPr>
              <w:t xml:space="preserve"> A study of forty schools with 1,944 children with disabilities identified practices worth spreading across the district (DIET Koppal, 2024-25).</w:t>
            </w:r>
          </w:p>
          <w:p>
            <w:pPr>
              <w:spacing w:after="60" w:before="80"/>
            </w:pPr>
            <w:r>
              <w:rPr>
                <w:b/>
                <w:i w:val="0"/>
                <w:u w:val="none"/>
              </w:rPr>
              <w:t>Communication and dissemination</w:t>
            </w:r>
          </w:p>
          <w:p>
            <w:pPr>
              <w:spacing w:after="60"/>
              <w:ind w:left="432" w:hanging="288"/>
              <w:jc w:val="both"/>
            </w:pPr>
            <w:r>
              <w:t xml:space="preserve">•  </w:t>
            </w:r>
            <w:r>
              <w:rPr>
                <w:b w:val="0"/>
                <w:i w:val="0"/>
                <w:u w:val="none"/>
              </w:rPr>
              <w:t>Feedback notes for each DIET, policy briefs and a State research symposium.</w:t>
            </w:r>
          </w:p>
          <w:p>
            <w:pPr>
              <w:spacing w:after="60"/>
              <w:ind w:left="432" w:hanging="288"/>
              <w:jc w:val="both"/>
            </w:pPr>
            <w:r>
              <w:t xml:space="preserve">•  </w:t>
            </w:r>
            <w:r>
              <w:rPr>
                <w:b w:val="0"/>
                <w:i w:val="0"/>
                <w:u w:val="none"/>
              </w:rPr>
              <w:t>Use of the tracker dashboard in quarterly reviews at DSERT.</w:t>
            </w:r>
          </w:p>
        </w:tc>
      </w:tr>
    </w:tbl>
    <w:p>
      <w:pPr>
        <w:spacing w:after="40" w:before="200"/>
      </w:pPr>
      <w:r>
        <w:rPr>
          <w:b/>
          <w:i w:val="0"/>
          <w:u w:val="none"/>
        </w:rPr>
        <w:t>6. Priority Areas</w:t>
      </w:r>
    </w:p>
    <w:p>
      <w:pPr>
        <w:spacing w:after="80" w:before="0"/>
      </w:pPr>
      <w:r>
        <w:rPr>
          <w:b w:val="0"/>
          <w:i/>
          <w:sz w:val="22"/>
          <w:u w:val="none"/>
        </w:rPr>
        <w:t>(Selected for implementation by the States in the next 5 years)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rPr>
                <w:cantSplit/>
                <w:tblHeader/>
              </w:trPr>
              <w:tc>
                <w:tcPr>
                  <w:tcW w:type="dxa" w:w="3009"/>
                  <w:shd w:val="clear" w:color="auto" w:fill="D9D9D9"/>
                </w:tcPr>
                <w:p>
                  <w:pPr>
                    <w:spacing w:after="20"/>
                  </w:pPr>
                  <w:r/>
                  <w:r>
                    <w:rPr>
                      <w:b/>
                      <w:i w:val="0"/>
                      <w:sz w:val="22"/>
                      <w:u w:val="none"/>
                    </w:rPr>
                    <w:t>Priority area</w:t>
                  </w:r>
                </w:p>
              </w:tc>
              <w:tc>
                <w:tcPr>
                  <w:tcW w:type="dxa" w:w="3009"/>
                  <w:shd w:val="clear" w:color="auto" w:fill="D9D9D9"/>
                </w:tcPr>
                <w:p>
                  <w:pPr>
                    <w:spacing w:after="20"/>
                  </w:pPr>
                  <w:r/>
                  <w:r>
                    <w:rPr>
                      <w:b/>
                      <w:i w:val="0"/>
                      <w:sz w:val="22"/>
                      <w:u w:val="none"/>
                    </w:rPr>
                    <w:t>Action, 2027-2031</w:t>
                  </w:r>
                </w:p>
              </w:tc>
              <w:tc>
                <w:tcPr>
                  <w:tcW w:type="dxa" w:w="3009"/>
                  <w:shd w:val="clear" w:color="auto" w:fill="D9D9D9"/>
                </w:tcPr>
                <w:p>
                  <w:pPr>
                    <w:spacing w:after="20"/>
                  </w:pPr>
                  <w:r/>
                  <w:r>
                    <w:rPr>
                      <w:b/>
                      <w:i w:val="0"/>
                      <w:sz w:val="22"/>
                      <w:u w:val="none"/>
                    </w:rPr>
                    <w:t>Target by 2031</w:t>
                  </w:r>
                </w:p>
              </w:tc>
            </w:tr>
            <w:tr>
              <w:trPr>
                <w:cantSplit/>
              </w:trPr>
              <w:tc>
                <w:tcPr>
                  <w:tcW w:type="dxa" w:w="3009"/>
                </w:tcPr>
                <w:p>
                  <w:pPr>
                    <w:spacing w:after="20"/>
                  </w:pPr>
                  <w:r/>
                  <w:r>
                    <w:rPr>
                      <w:b w:val="0"/>
                      <w:i w:val="0"/>
                      <w:sz w:val="22"/>
                      <w:u w:val="none"/>
                    </w:rPr>
                    <w:t>Planned State research agenda</w:t>
                  </w:r>
                </w:p>
              </w:tc>
              <w:tc>
                <w:tcPr>
                  <w:tcW w:type="dxa" w:w="3009"/>
                </w:tcPr>
                <w:p>
                  <w:pPr>
                    <w:spacing w:after="20"/>
                  </w:pPr>
                  <w:r/>
                  <w:r>
                    <w:rPr>
                      <w:b w:val="0"/>
                      <w:i w:val="0"/>
                      <w:sz w:val="22"/>
                      <w:u w:val="none"/>
                    </w:rPr>
                    <w:t>Annual Research Areas linked to State priorities and gaps</w:t>
                  </w:r>
                </w:p>
              </w:tc>
              <w:tc>
                <w:tcPr>
                  <w:tcW w:type="dxa" w:w="3009"/>
                </w:tcPr>
                <w:p>
                  <w:pPr>
                    <w:spacing w:after="20"/>
                  </w:pPr>
                  <w:r/>
                  <w:r>
                    <w:rPr>
                      <w:b w:val="0"/>
                      <w:i w:val="0"/>
                      <w:sz w:val="22"/>
                      <w:u w:val="none"/>
                    </w:rPr>
                    <w:t>Every Research Area covered each year; no unplanned duplication</w:t>
                  </w:r>
                </w:p>
              </w:tc>
            </w:tr>
            <w:tr>
              <w:trPr>
                <w:cantSplit/>
              </w:trPr>
              <w:tc>
                <w:tcPr>
                  <w:tcW w:type="dxa" w:w="3009"/>
                </w:tcPr>
                <w:p>
                  <w:pPr>
                    <w:spacing w:after="20"/>
                  </w:pPr>
                  <w:r/>
                  <w:r>
                    <w:rPr>
                      <w:b w:val="0"/>
                      <w:i w:val="0"/>
                      <w:sz w:val="22"/>
                      <w:u w:val="none"/>
                    </w:rPr>
                    <w:t>Quality of research</w:t>
                  </w:r>
                </w:p>
              </w:tc>
              <w:tc>
                <w:tcPr>
                  <w:tcW w:type="dxa" w:w="3009"/>
                </w:tcPr>
                <w:p>
                  <w:pPr>
                    <w:spacing w:after="20"/>
                  </w:pPr>
                  <w:r/>
                  <w:r>
                    <w:rPr>
                      <w:b w:val="0"/>
                      <w:i w:val="0"/>
                      <w:sz w:val="22"/>
                      <w:u w:val="none"/>
                    </w:rPr>
                    <w:t>Training in design, tools, statistics and ethics; mentoring by universities</w:t>
                  </w:r>
                </w:p>
              </w:tc>
              <w:tc>
                <w:tcPr>
                  <w:tcW w:type="dxa" w:w="3009"/>
                </w:tcPr>
                <w:p>
                  <w:pPr>
                    <w:spacing w:after="20"/>
                  </w:pPr>
                  <w:r/>
                  <w:r>
                    <w:rPr>
                      <w:b w:val="0"/>
                      <w:i w:val="0"/>
                      <w:sz w:val="22"/>
                      <w:u w:val="none"/>
                    </w:rPr>
                    <w:t>At least one-third of studies experimental, quasi-experimental or longitudinal</w:t>
                  </w:r>
                </w:p>
              </w:tc>
            </w:tr>
            <w:tr>
              <w:trPr>
                <w:cantSplit/>
              </w:trPr>
              <w:tc>
                <w:tcPr>
                  <w:tcW w:type="dxa" w:w="3009"/>
                </w:tcPr>
                <w:p>
                  <w:pPr>
                    <w:spacing w:after="20"/>
                  </w:pPr>
                  <w:r/>
                  <w:r>
                    <w:rPr>
                      <w:b w:val="0"/>
                      <w:i w:val="0"/>
                      <w:sz w:val="22"/>
                      <w:u w:val="none"/>
                    </w:rPr>
                    <w:t>Use of findings</w:t>
                  </w:r>
                </w:p>
              </w:tc>
              <w:tc>
                <w:tcPr>
                  <w:tcW w:type="dxa" w:w="3009"/>
                </w:tcPr>
                <w:p>
                  <w:pPr>
                    <w:spacing w:after="20"/>
                  </w:pPr>
                  <w:r/>
                  <w:r>
                    <w:rPr>
                      <w:b w:val="0"/>
                      <w:i w:val="0"/>
                      <w:sz w:val="22"/>
                      <w:u w:val="none"/>
                    </w:rPr>
                    <w:t>Policy briefs, symposium, links to district plans and training calendars</w:t>
                  </w:r>
                </w:p>
              </w:tc>
              <w:tc>
                <w:tcPr>
                  <w:tcW w:type="dxa" w:w="3009"/>
                </w:tcPr>
                <w:p>
                  <w:pPr>
                    <w:spacing w:after="20"/>
                  </w:pPr>
                  <w:r/>
                  <w:r>
                    <w:rPr>
                      <w:b w:val="0"/>
                      <w:i w:val="0"/>
                      <w:sz w:val="22"/>
                      <w:u w:val="none"/>
                    </w:rPr>
                    <w:t>Every DIET plan cites its own findings</w:t>
                  </w:r>
                </w:p>
              </w:tc>
            </w:tr>
            <w:tr>
              <w:trPr>
                <w:cantSplit/>
              </w:trPr>
              <w:tc>
                <w:tcPr>
                  <w:tcW w:type="dxa" w:w="3009"/>
                </w:tcPr>
                <w:p>
                  <w:pPr>
                    <w:spacing w:after="20"/>
                  </w:pPr>
                  <w:r/>
                  <w:r>
                    <w:rPr>
                      <w:b w:val="0"/>
                      <w:i w:val="0"/>
                      <w:sz w:val="22"/>
                      <w:u w:val="none"/>
                    </w:rPr>
                    <w:t>Foundational and early learning</w:t>
                  </w:r>
                </w:p>
              </w:tc>
              <w:tc>
                <w:tcPr>
                  <w:tcW w:type="dxa" w:w="3009"/>
                </w:tcPr>
                <w:p>
                  <w:pPr>
                    <w:spacing w:after="20"/>
                  </w:pPr>
                  <w:r/>
                  <w:r>
                    <w:rPr>
                      <w:b w:val="0"/>
                      <w:i w:val="0"/>
                      <w:sz w:val="22"/>
                      <w:u w:val="none"/>
                    </w:rPr>
                    <w:t>Studies of FLN, Vidya Pravesha, ECCE and PARAKH gaps</w:t>
                  </w:r>
                </w:p>
              </w:tc>
              <w:tc>
                <w:tcPr>
                  <w:tcW w:type="dxa" w:w="3009"/>
                </w:tcPr>
                <w:p>
                  <w:pPr>
                    <w:spacing w:after="20"/>
                  </w:pPr>
                  <w:r/>
                  <w:r>
                    <w:rPr>
                      <w:b w:val="0"/>
                      <w:i w:val="0"/>
                      <w:sz w:val="22"/>
                      <w:u w:val="none"/>
                    </w:rPr>
                    <w:t>District-wise evidence on learning gaps from Grade 3 to Grade 9</w:t>
                  </w:r>
                </w:p>
              </w:tc>
            </w:tr>
            <w:tr>
              <w:trPr>
                <w:cantSplit/>
              </w:trPr>
              <w:tc>
                <w:tcPr>
                  <w:tcW w:type="dxa" w:w="3009"/>
                </w:tcPr>
                <w:p>
                  <w:pPr>
                    <w:spacing w:after="20"/>
                  </w:pPr>
                  <w:r/>
                  <w:r>
                    <w:rPr>
                      <w:b w:val="0"/>
                      <w:i w:val="0"/>
                      <w:sz w:val="22"/>
                      <w:u w:val="none"/>
                    </w:rPr>
                    <w:t>Hands-on learning</w:t>
                  </w:r>
                </w:p>
              </w:tc>
              <w:tc>
                <w:tcPr>
                  <w:tcW w:type="dxa" w:w="3009"/>
                </w:tcPr>
                <w:p>
                  <w:pPr>
                    <w:spacing w:after="20"/>
                  </w:pPr>
                  <w:r/>
                  <w:r>
                    <w:rPr>
                      <w:b w:val="0"/>
                      <w:i w:val="0"/>
                      <w:sz w:val="22"/>
                      <w:u w:val="none"/>
                    </w:rPr>
                    <w:t>Scale up kits, laboratories and CPA methods with training and maintenance</w:t>
                  </w:r>
                </w:p>
              </w:tc>
              <w:tc>
                <w:tcPr>
                  <w:tcW w:type="dxa" w:w="3009"/>
                </w:tcPr>
                <w:p>
                  <w:pPr>
                    <w:spacing w:after="20"/>
                  </w:pPr>
                  <w:r/>
                  <w:r>
                    <w:rPr>
                      <w:b w:val="0"/>
                      <w:i w:val="0"/>
                      <w:sz w:val="22"/>
                      <w:u w:val="none"/>
                    </w:rPr>
                    <w:t>Functional laboratories in all government high schools studied</w:t>
                  </w:r>
                </w:p>
              </w:tc>
            </w:tr>
            <w:tr>
              <w:trPr>
                <w:cantSplit/>
              </w:trPr>
              <w:tc>
                <w:tcPr>
                  <w:tcW w:type="dxa" w:w="3009"/>
                </w:tcPr>
                <w:p>
                  <w:pPr>
                    <w:spacing w:after="20"/>
                  </w:pPr>
                  <w:r/>
                  <w:r>
                    <w:rPr>
                      <w:b w:val="0"/>
                      <w:i w:val="0"/>
                      <w:sz w:val="22"/>
                      <w:u w:val="none"/>
                    </w:rPr>
                    <w:t>Equity and inclusion</w:t>
                  </w:r>
                </w:p>
              </w:tc>
              <w:tc>
                <w:tcPr>
                  <w:tcW w:type="dxa" w:w="3009"/>
                </w:tcPr>
                <w:p>
                  <w:pPr>
                    <w:spacing w:after="20"/>
                  </w:pPr>
                  <w:r/>
                  <w:r>
                    <w:rPr>
                      <w:b w:val="0"/>
                      <w:i w:val="0"/>
                      <w:sz w:val="22"/>
                      <w:u w:val="none"/>
                    </w:rPr>
                    <w:t>Studies and action for tribal, first-generation, CWSN and low-income learners</w:t>
                  </w:r>
                </w:p>
              </w:tc>
              <w:tc>
                <w:tcPr>
                  <w:tcW w:type="dxa" w:w="3009"/>
                </w:tcPr>
                <w:p>
                  <w:pPr>
                    <w:spacing w:after="20"/>
                  </w:pPr>
                  <w:r/>
                  <w:r>
                    <w:rPr>
                      <w:b w:val="0"/>
                      <w:i w:val="0"/>
                      <w:sz w:val="22"/>
                      <w:u w:val="none"/>
                    </w:rPr>
                    <w:t>Reduced dropout and learning gaps in priority blocks</w:t>
                  </w:r>
                </w:p>
              </w:tc>
            </w:tr>
            <w:tr>
              <w:trPr>
                <w:cantSplit/>
              </w:trPr>
              <w:tc>
                <w:tcPr>
                  <w:tcW w:type="dxa" w:w="3009"/>
                </w:tcPr>
                <w:p>
                  <w:pPr>
                    <w:spacing w:after="20"/>
                  </w:pPr>
                  <w:r/>
                  <w:r>
                    <w:rPr>
                      <w:b w:val="0"/>
                      <w:i w:val="0"/>
                      <w:sz w:val="22"/>
                      <w:u w:val="none"/>
                    </w:rPr>
                    <w:t>Technology in education</w:t>
                  </w:r>
                </w:p>
              </w:tc>
              <w:tc>
                <w:tcPr>
                  <w:tcW w:type="dxa" w:w="3009"/>
                </w:tcPr>
                <w:p>
                  <w:pPr>
                    <w:spacing w:after="20"/>
                  </w:pPr>
                  <w:r/>
                  <w:r>
                    <w:rPr>
                      <w:b w:val="0"/>
                      <w:i w:val="0"/>
                      <w:sz w:val="22"/>
                      <w:u w:val="none"/>
                    </w:rPr>
                    <w:t>Studies of TALP, smart classes, digital content and AI readiness</w:t>
                  </w:r>
                </w:p>
              </w:tc>
              <w:tc>
                <w:tcPr>
                  <w:tcW w:type="dxa" w:w="3009"/>
                </w:tcPr>
                <w:p>
                  <w:pPr>
                    <w:spacing w:after="20"/>
                  </w:pPr>
                  <w:r/>
                  <w:r>
                    <w:rPr>
                      <w:b w:val="0"/>
                      <w:i w:val="0"/>
                      <w:sz w:val="22"/>
                      <w:u w:val="none"/>
                    </w:rPr>
                    <w:t>Power backup, internet and maintenance funds in all ICT schools</w:t>
                  </w:r>
                </w:p>
              </w:tc>
            </w:tr>
            <w:tr>
              <w:trPr>
                <w:cantSplit/>
              </w:trPr>
              <w:tc>
                <w:tcPr>
                  <w:tcW w:type="dxa" w:w="3009"/>
                </w:tcPr>
                <w:p>
                  <w:pPr>
                    <w:spacing w:after="20"/>
                  </w:pPr>
                  <w:r/>
                  <w:r>
                    <w:rPr>
                      <w:b w:val="0"/>
                      <w:i w:val="0"/>
                      <w:sz w:val="22"/>
                      <w:u w:val="none"/>
                    </w:rPr>
                    <w:t>Teacher support</w:t>
                  </w:r>
                </w:p>
              </w:tc>
              <w:tc>
                <w:tcPr>
                  <w:tcW w:type="dxa" w:w="3009"/>
                </w:tcPr>
                <w:p>
                  <w:pPr>
                    <w:spacing w:after="20"/>
                  </w:pPr>
                  <w:r/>
                  <w:r>
                    <w:rPr>
                      <w:b w:val="0"/>
                      <w:i w:val="0"/>
                      <w:sz w:val="22"/>
                      <w:u w:val="none"/>
                    </w:rPr>
                    <w:t>Studies of cluster meetings, mentoring and follow-up after training</w:t>
                  </w:r>
                </w:p>
              </w:tc>
              <w:tc>
                <w:tcPr>
                  <w:tcW w:type="dxa" w:w="3009"/>
                </w:tcPr>
                <w:p>
                  <w:pPr>
                    <w:spacing w:after="20"/>
                  </w:pPr>
                  <w:r/>
                  <w:r>
                    <w:rPr>
                      <w:b w:val="0"/>
                      <w:i w:val="0"/>
                      <w:sz w:val="22"/>
                      <w:u w:val="none"/>
                    </w:rPr>
                    <w:t>Follow-up support after every major training programme</w:t>
                  </w:r>
                </w:p>
              </w:tc>
            </w:tr>
            <w:tr>
              <w:trPr>
                <w:cantSplit/>
              </w:trPr>
              <w:tc>
                <w:tcPr>
                  <w:tcW w:type="dxa" w:w="3009"/>
                </w:tcPr>
                <w:p>
                  <w:pPr>
                    <w:spacing w:after="20"/>
                  </w:pPr>
                  <w:r/>
                  <w:r>
                    <w:rPr>
                      <w:b w:val="0"/>
                      <w:i w:val="0"/>
                      <w:sz w:val="22"/>
                      <w:u w:val="none"/>
                    </w:rPr>
                    <w:t>Well-being</w:t>
                  </w:r>
                </w:p>
              </w:tc>
              <w:tc>
                <w:tcPr>
                  <w:tcW w:type="dxa" w:w="3009"/>
                </w:tcPr>
                <w:p>
                  <w:pPr>
                    <w:spacing w:after="20"/>
                  </w:pPr>
                  <w:r/>
                  <w:r>
                    <w:rPr>
                      <w:b w:val="0"/>
                      <w:i w:val="0"/>
                      <w:sz w:val="22"/>
                      <w:u w:val="none"/>
                    </w:rPr>
                    <w:t>Studies of stress, mental health, adolescent health and child protection</w:t>
                  </w:r>
                </w:p>
              </w:tc>
              <w:tc>
                <w:tcPr>
                  <w:tcW w:type="dxa" w:w="3009"/>
                </w:tcPr>
                <w:p>
                  <w:pPr>
                    <w:spacing w:after="20"/>
                  </w:pPr>
                  <w:r/>
                  <w:r>
                    <w:rPr>
                      <w:b w:val="0"/>
                      <w:i w:val="0"/>
                      <w:sz w:val="22"/>
                      <w:u w:val="none"/>
                    </w:rPr>
                    <w:t>Counselling support in every high school</w:t>
                  </w:r>
                </w:p>
              </w:tc>
            </w:tr>
            <w:tr>
              <w:trPr>
                <w:cantSplit/>
              </w:trPr>
              <w:tc>
                <w:tcPr>
                  <w:tcW w:type="dxa" w:w="3009"/>
                </w:tcPr>
                <w:p>
                  <w:pPr>
                    <w:spacing w:after="20"/>
                  </w:pPr>
                  <w:r/>
                  <w:r>
                    <w:rPr>
                      <w:b w:val="0"/>
                      <w:i w:val="0"/>
                      <w:sz w:val="22"/>
                      <w:u w:val="none"/>
                    </w:rPr>
                    <w:t>Data systems</w:t>
                  </w:r>
                </w:p>
              </w:tc>
              <w:tc>
                <w:tcPr>
                  <w:tcW w:type="dxa" w:w="3009"/>
                </w:tcPr>
                <w:p>
                  <w:pPr>
                    <w:spacing w:after="20"/>
                  </w:pPr>
                  <w:r/>
                  <w:r>
                    <w:rPr>
                      <w:b w:val="0"/>
                      <w:i w:val="0"/>
                      <w:sz w:val="22"/>
                      <w:u w:val="none"/>
                    </w:rPr>
                    <w:t>Studies of SATS data accuracy and Holistic Progress Cards</w:t>
                  </w:r>
                </w:p>
              </w:tc>
              <w:tc>
                <w:tcPr>
                  <w:tcW w:type="dxa" w:w="3009"/>
                </w:tcPr>
                <w:p>
                  <w:pPr>
                    <w:spacing w:after="20"/>
                  </w:pPr>
                  <w:r/>
                  <w:r>
                    <w:rPr>
                      <w:b w:val="0"/>
                      <w:i w:val="0"/>
                      <w:sz w:val="22"/>
                      <w:u w:val="none"/>
                    </w:rPr>
                    <w:t>Validated data used for school and district planning</w:t>
                  </w:r>
                </w:p>
              </w:tc>
            </w:tr>
          </w:tbl>
          <w:p/>
          <w:p>
            <w:pPr>
              <w:spacing w:after="40"/>
            </w:pPr>
          </w:p>
        </w:tc>
      </w:tr>
    </w:tbl>
    <w:p>
      <w:pPr>
        <w:spacing w:after="40" w:before="200"/>
      </w:pPr>
      <w:r>
        <w:rPr>
          <w:b/>
          <w:i w:val="0"/>
          <w:u w:val="none"/>
        </w:rPr>
        <w:t>7. Way Forward – Strategy for Implementation</w:t>
      </w:r>
    </w:p>
    <w:p>
      <w:pPr>
        <w:spacing w:after="80" w:before="0"/>
      </w:pPr>
      <w:r>
        <w:rPr>
          <w:b w:val="0"/>
          <w:i/>
          <w:sz w:val="22"/>
          <w:u w:val="none"/>
        </w:rPr>
        <w:t>(Modality for implementation – Legal, Administrative, Technological, Budgetary reforms required for implementation)</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before="80"/>
            </w:pPr>
            <w:r>
              <w:rPr>
                <w:b/>
                <w:i w:val="0"/>
                <w:u w:val="none"/>
              </w:rPr>
              <w:t>Legal</w:t>
            </w:r>
          </w:p>
          <w:p>
            <w:pPr>
              <w:spacing w:after="60"/>
              <w:ind w:left="432" w:hanging="288"/>
              <w:jc w:val="both"/>
            </w:pPr>
            <w:r>
              <w:t xml:space="preserve">•  </w:t>
            </w:r>
            <w:r>
              <w:rPr>
                <w:b w:val="0"/>
                <w:i w:val="0"/>
                <w:u w:val="none"/>
              </w:rPr>
              <w:t>Issue a Government Order making the annual State research agenda, the tracker and the quality and ethics checklist mandatory for DSERT and all DIETs.</w:t>
            </w:r>
          </w:p>
          <w:p>
            <w:pPr>
              <w:spacing w:after="60"/>
              <w:ind w:left="432" w:hanging="288"/>
              <w:jc w:val="both"/>
            </w:pPr>
            <w:r>
              <w:t xml:space="preserve">•  </w:t>
            </w:r>
            <w:r>
              <w:rPr>
                <w:b w:val="0"/>
                <w:i w:val="0"/>
                <w:u w:val="none"/>
              </w:rPr>
              <w:t>Adopt an ethics protocol for research with children, consistent with child-protection law and the Right of Children to Free and Compulsory Education Act 2009.</w:t>
            </w:r>
          </w:p>
          <w:p>
            <w:pPr>
              <w:spacing w:after="60"/>
              <w:ind w:left="432" w:hanging="288"/>
              <w:jc w:val="both"/>
            </w:pPr>
            <w:r>
              <w:t xml:space="preserve">•  </w:t>
            </w:r>
            <w:r>
              <w:rPr>
                <w:b w:val="0"/>
                <w:i w:val="0"/>
                <w:u w:val="none"/>
              </w:rPr>
              <w:t>Provide for open publication of research abstracts and findings, with protection of personal data.</w:t>
            </w:r>
          </w:p>
          <w:p>
            <w:pPr>
              <w:spacing w:after="60" w:before="80"/>
            </w:pPr>
            <w:r>
              <w:rPr>
                <w:b/>
                <w:i w:val="0"/>
                <w:u w:val="none"/>
              </w:rPr>
              <w:t>Administrative</w:t>
            </w:r>
          </w:p>
          <w:p>
            <w:pPr>
              <w:spacing w:after="60"/>
              <w:ind w:left="432" w:hanging="288"/>
              <w:jc w:val="both"/>
            </w:pPr>
            <w:r>
              <w:t xml:space="preserve">•  </w:t>
            </w:r>
            <w:r>
              <w:rPr>
                <w:b w:val="0"/>
                <w:i w:val="0"/>
                <w:u w:val="none"/>
              </w:rPr>
              <w:t>Constitute a State Research Advisory Committee at DSERT, with members from universities and the Department.</w:t>
            </w:r>
          </w:p>
          <w:p>
            <w:pPr>
              <w:spacing w:after="60"/>
              <w:ind w:left="432" w:hanging="288"/>
              <w:jc w:val="both"/>
            </w:pPr>
            <w:r>
              <w:t xml:space="preserve">•  </w:t>
            </w:r>
            <w:r>
              <w:rPr>
                <w:b w:val="0"/>
                <w:i w:val="0"/>
                <w:u w:val="none"/>
              </w:rPr>
              <w:t>Designate a research coordinator in each DIET and include research outcomes in the performance review of DIETs.</w:t>
            </w:r>
          </w:p>
          <w:p>
            <w:pPr>
              <w:spacing w:after="60"/>
              <w:ind w:left="432" w:hanging="288"/>
              <w:jc w:val="both"/>
            </w:pPr>
            <w:r>
              <w:t xml:space="preserve">•  </w:t>
            </w:r>
            <w:r>
              <w:rPr>
                <w:b w:val="0"/>
                <w:i w:val="0"/>
                <w:u w:val="none"/>
              </w:rPr>
              <w:t>Review the tracker every quarter and share feedback with each DIET.</w:t>
            </w:r>
          </w:p>
          <w:p>
            <w:pPr>
              <w:spacing w:after="60"/>
              <w:ind w:left="432" w:hanging="288"/>
              <w:jc w:val="both"/>
            </w:pPr>
            <w:r>
              <w:t xml:space="preserve">•  </w:t>
            </w:r>
            <w:r>
              <w:rPr>
                <w:b w:val="0"/>
                <w:i w:val="0"/>
                <w:u w:val="none"/>
              </w:rPr>
              <w:t>Require district education plans and training calendars to show how they use DIET findings.</w:t>
            </w:r>
          </w:p>
          <w:p>
            <w:pPr>
              <w:spacing w:after="60"/>
              <w:ind w:left="432" w:hanging="288"/>
              <w:jc w:val="both"/>
            </w:pPr>
            <w:r>
              <w:t xml:space="preserve">•  </w:t>
            </w:r>
            <w:r>
              <w:rPr>
                <w:b w:val="0"/>
                <w:i w:val="0"/>
                <w:u w:val="none"/>
              </w:rPr>
              <w:t>Build partnerships with universities, IISc and NCERT for mentoring and validation of tools.</w:t>
            </w:r>
          </w:p>
          <w:p>
            <w:pPr>
              <w:spacing w:after="60" w:before="80"/>
            </w:pPr>
            <w:r>
              <w:rPr>
                <w:b/>
                <w:i w:val="0"/>
                <w:u w:val="none"/>
              </w:rPr>
              <w:t>Technological</w:t>
            </w:r>
          </w:p>
          <w:p>
            <w:pPr>
              <w:spacing w:after="60"/>
              <w:ind w:left="432" w:hanging="288"/>
              <w:jc w:val="both"/>
            </w:pPr>
            <w:r>
              <w:t xml:space="preserve">•  </w:t>
            </w:r>
            <w:r>
              <w:rPr>
                <w:b w:val="0"/>
                <w:i w:val="0"/>
                <w:u w:val="none"/>
              </w:rPr>
              <w:t>Develop the tracker into an online portal with a public dashboard by district, Research Area and stage.</w:t>
            </w:r>
          </w:p>
          <w:p>
            <w:pPr>
              <w:spacing w:after="60"/>
              <w:ind w:left="432" w:hanging="288"/>
              <w:jc w:val="both"/>
            </w:pPr>
            <w:r>
              <w:t xml:space="preserve">•  </w:t>
            </w:r>
            <w:r>
              <w:rPr>
                <w:b w:val="0"/>
                <w:i w:val="0"/>
                <w:u w:val="none"/>
              </w:rPr>
              <w:t>Create a searchable digital repository of all DIET and DSERT studies, linked to the Research Abstracts Compilation.</w:t>
            </w:r>
          </w:p>
          <w:p>
            <w:pPr>
              <w:spacing w:after="60"/>
              <w:ind w:left="432" w:hanging="288"/>
              <w:jc w:val="both"/>
            </w:pPr>
            <w:r>
              <w:t xml:space="preserve">•  </w:t>
            </w:r>
            <w:r>
              <w:rPr>
                <w:b w:val="0"/>
                <w:i w:val="0"/>
                <w:u w:val="none"/>
              </w:rPr>
              <w:t>Link research data with SATS and other school data systems, with safeguards for privacy.</w:t>
            </w:r>
          </w:p>
          <w:p>
            <w:pPr>
              <w:spacing w:after="60"/>
              <w:ind w:left="432" w:hanging="288"/>
              <w:jc w:val="both"/>
            </w:pPr>
            <w:r>
              <w:t xml:space="preserve">•  </w:t>
            </w:r>
            <w:r>
              <w:rPr>
                <w:b w:val="0"/>
                <w:i w:val="0"/>
                <w:u w:val="none"/>
              </w:rPr>
              <w:t>Use online platforms for orientation, peer review and dissemination of findings.</w:t>
            </w:r>
          </w:p>
          <w:p>
            <w:pPr>
              <w:spacing w:after="60" w:before="80"/>
            </w:pPr>
            <w:r>
              <w:rPr>
                <w:b/>
                <w:i w:val="0"/>
                <w:u w:val="none"/>
              </w:rPr>
              <w:t>Budgetary</w:t>
            </w:r>
          </w:p>
          <w:p>
            <w:pPr>
              <w:spacing w:after="60"/>
              <w:ind w:left="432" w:hanging="288"/>
              <w:jc w:val="both"/>
            </w:pPr>
            <w:r>
              <w:t xml:space="preserve">•  </w:t>
            </w:r>
            <w:r>
              <w:rPr>
                <w:b w:val="0"/>
                <w:i w:val="0"/>
                <w:u w:val="none"/>
              </w:rPr>
              <w:t>Continue assured funding under Samagra Shiksha: up to Rs 10 lakh for each DIET and Rs 1 lakh for each study, with Rs 10 lakh for DSERT.</w:t>
            </w:r>
          </w:p>
          <w:p>
            <w:pPr>
              <w:spacing w:after="60"/>
              <w:ind w:left="432" w:hanging="288"/>
              <w:jc w:val="both"/>
            </w:pPr>
            <w:r>
              <w:t xml:space="preserve">•  </w:t>
            </w:r>
            <w:r>
              <w:rPr>
                <w:b w:val="0"/>
                <w:i w:val="0"/>
                <w:u w:val="none"/>
              </w:rPr>
              <w:t>Earmark funds for State-level studies, the annual symposium and policy briefs.</w:t>
            </w:r>
          </w:p>
          <w:p>
            <w:pPr>
              <w:spacing w:after="60"/>
              <w:ind w:left="432" w:hanging="288"/>
              <w:jc w:val="both"/>
            </w:pPr>
            <w:r>
              <w:t xml:space="preserve">•  </w:t>
            </w:r>
            <w:r>
              <w:rPr>
                <w:b w:val="0"/>
                <w:i w:val="0"/>
                <w:u w:val="none"/>
              </w:rPr>
              <w:t>Provide funds for the follow-up actions that studies recommend, such as maintenance of laboratories and ICT equipment.</w:t>
            </w:r>
          </w:p>
          <w:p>
            <w:pPr>
              <w:spacing w:after="60"/>
              <w:ind w:left="432" w:hanging="288"/>
              <w:jc w:val="both"/>
            </w:pPr>
            <w:r>
              <w:t xml:space="preserve">•  </w:t>
            </w:r>
            <w:r>
              <w:rPr>
                <w:b w:val="0"/>
                <w:i w:val="0"/>
                <w:u w:val="none"/>
              </w:rPr>
              <w:t>Seek convergence funding from PM SHRI, PM POSHAN and Corporate Social Responsibility partners for intervention studies.</w:t>
            </w:r>
          </w:p>
        </w:tc>
      </w:tr>
    </w:tbl>
    <w:p>
      <w:pPr>
        <w:spacing w:after="120" w:before="280"/>
      </w:pPr>
      <w:r>
        <w:rPr>
          <w:b/>
          <w:i w:val="0"/>
          <w:u w:val="single"/>
        </w:rPr>
        <w:t>References</w:t>
      </w:r>
    </w:p>
    <w:p>
      <w:pPr>
        <w:spacing w:after="60" w:before="0"/>
        <w:ind w:left="576" w:hanging="576"/>
        <w:jc w:val="both"/>
      </w:pPr>
      <w:r>
        <w:rPr>
          <w:b w:val="0"/>
          <w:i w:val="0"/>
          <w:u w:val="none"/>
        </w:rPr>
        <w:t>Department of State Educational Research and Training. (2026a). Research abstracts compilation 2024-25 and 2025-26. DSERT, Bengaluru.</w:t>
      </w:r>
    </w:p>
    <w:p>
      <w:pPr>
        <w:spacing w:after="60" w:before="0"/>
        <w:ind w:left="576" w:hanging="576"/>
        <w:jc w:val="both"/>
      </w:pPr>
      <w:r>
        <w:rPr>
          <w:b w:val="0"/>
          <w:i w:val="0"/>
          <w:u w:val="none"/>
        </w:rPr>
        <w:t>Department of State Educational Research and Training. (2026b). Research studies guidelines 2026-27. DSERT, Bengaluru.</w:t>
      </w:r>
    </w:p>
    <w:p>
      <w:pPr>
        <w:spacing w:after="60" w:before="0"/>
        <w:ind w:left="576" w:hanging="576"/>
        <w:jc w:val="both"/>
      </w:pPr>
      <w:r>
        <w:rPr>
          <w:b w:val="0"/>
          <w:i w:val="0"/>
          <w:u w:val="none"/>
        </w:rPr>
        <w:t>Department of State Educational Research and Training. (2026c). State research studies tracker 2026-27 (data as on 13 October 2026). DSERT, Bengaluru.</w:t>
      </w:r>
    </w:p>
    <w:p>
      <w:pPr>
        <w:spacing w:after="60" w:before="0"/>
        <w:ind w:left="576" w:hanging="576"/>
        <w:jc w:val="both"/>
      </w:pPr>
      <w:r>
        <w:rPr>
          <w:b w:val="0"/>
          <w:i w:val="0"/>
          <w:u w:val="none"/>
        </w:rPr>
        <w:t>Department of State Educational Research and Training. (2026d). Online orientation on research mindedness for teacher educators, 2026-27. DSERT, Bengaluru.</w:t>
      </w:r>
    </w:p>
    <w:p>
      <w:pPr>
        <w:spacing w:after="60" w:before="0"/>
        <w:ind w:left="576" w:hanging="576"/>
        <w:jc w:val="both"/>
      </w:pPr>
      <w:r>
        <w:rPr>
          <w:b w:val="0"/>
          <w:i w:val="0"/>
          <w:u w:val="none"/>
        </w:rPr>
        <w:t>DIET Ballari. (2024-25). Effectiveness of Ganitha Kalika Andolana (GKA) 1.0; Barriers to Kannada language learning among Lambani tribal students in Huvina Hadagali block. DIET, Ballari.</w:t>
      </w:r>
    </w:p>
    <w:p>
      <w:pPr>
        <w:spacing w:after="60" w:before="0"/>
        <w:ind w:left="576" w:hanging="576"/>
        <w:jc w:val="both"/>
      </w:pPr>
      <w:r>
        <w:rPr>
          <w:b w:val="0"/>
          <w:i w:val="0"/>
          <w:u w:val="none"/>
        </w:rPr>
        <w:t>DIET Bengaluru Rural. (2024-25). A study on the use of science laboratories in government higher primary schools of Bengaluru Rural district. DIET, Bengaluru Rural.</w:t>
      </w:r>
    </w:p>
    <w:p>
      <w:pPr>
        <w:spacing w:after="60" w:before="0"/>
        <w:ind w:left="576" w:hanging="576"/>
        <w:jc w:val="both"/>
      </w:pPr>
      <w:r>
        <w:rPr>
          <w:b w:val="0"/>
          <w:i w:val="0"/>
          <w:u w:val="none"/>
        </w:rPr>
        <w:t>DIET Bengaluru Urban. (2024-25). Impact study of Room to Read programme on government primary school students in Bengaluru Urban district. DIET, Bengaluru Urban.</w:t>
      </w:r>
    </w:p>
    <w:p>
      <w:pPr>
        <w:spacing w:after="60" w:before="0"/>
        <w:ind w:left="576" w:hanging="576"/>
        <w:jc w:val="both"/>
      </w:pPr>
      <w:r>
        <w:rPr>
          <w:b w:val="0"/>
          <w:i w:val="0"/>
          <w:u w:val="none"/>
        </w:rPr>
        <w:t>DIET Chamarajanagar. (2024-25). A study on the effective implementation of TALP training in selected government high schools of Chamarajanagar district. DIET, Chamarajanagar.</w:t>
      </w:r>
    </w:p>
    <w:p>
      <w:pPr>
        <w:spacing w:after="60" w:before="0"/>
        <w:ind w:left="576" w:hanging="576"/>
        <w:jc w:val="both"/>
      </w:pPr>
      <w:r>
        <w:rPr>
          <w:b w:val="0"/>
          <w:i w:val="0"/>
          <w:u w:val="none"/>
        </w:rPr>
        <w:t>DIET Chikkamagaluru. (2024-25). Studies on TALP in KPS pre-primary schools and on instructional supervision in government high schools. DIET, Chikkamagaluru.</w:t>
      </w:r>
    </w:p>
    <w:p>
      <w:pPr>
        <w:spacing w:after="60" w:before="0"/>
        <w:ind w:left="576" w:hanging="576"/>
        <w:jc w:val="both"/>
      </w:pPr>
      <w:r>
        <w:rPr>
          <w:b w:val="0"/>
          <w:i w:val="0"/>
          <w:u w:val="none"/>
        </w:rPr>
        <w:t>DIET Chitradurga. (2024-25). Correlation between the usage of Ganitha Kalika Andolana kit and learning achievement. DIET, Chitradurga.</w:t>
      </w:r>
    </w:p>
    <w:p>
      <w:pPr>
        <w:spacing w:after="60" w:before="0"/>
        <w:ind w:left="576" w:hanging="576"/>
        <w:jc w:val="both"/>
      </w:pPr>
      <w:r>
        <w:rPr>
          <w:b w:val="0"/>
          <w:i w:val="0"/>
          <w:u w:val="none"/>
        </w:rPr>
        <w:t>DIET Dakshina Kannada. (2024-25). Studies on the Concrete-Pictorial-Abstract approach, cluster sharing meetings and science laboratories. DIET, Dakshina Kannada.</w:t>
      </w:r>
    </w:p>
    <w:p>
      <w:pPr>
        <w:spacing w:after="60" w:before="0"/>
        <w:ind w:left="576" w:hanging="576"/>
        <w:jc w:val="both"/>
      </w:pPr>
      <w:r>
        <w:rPr>
          <w:b w:val="0"/>
          <w:i w:val="0"/>
          <w:u w:val="none"/>
        </w:rPr>
        <w:t>DIET Hassan. (2025-26). Studies on PARAKH survey implementation, tribal students and students with special needs. DIET, Hassan.</w:t>
      </w:r>
    </w:p>
    <w:p>
      <w:pPr>
        <w:spacing w:after="60" w:before="0"/>
        <w:ind w:left="576" w:hanging="576"/>
        <w:jc w:val="both"/>
      </w:pPr>
      <w:r>
        <w:rPr>
          <w:b w:val="0"/>
          <w:i w:val="0"/>
          <w:u w:val="none"/>
        </w:rPr>
        <w:t>DIET Ilkal (Bagalkote). (2024-25). Studies on dropout children, community contribution and NMMS 2024 results. DIET, Ilkal.</w:t>
      </w:r>
    </w:p>
    <w:p>
      <w:pPr>
        <w:spacing w:after="60" w:before="0"/>
        <w:ind w:left="576" w:hanging="576"/>
        <w:jc w:val="both"/>
      </w:pPr>
      <w:r>
        <w:rPr>
          <w:b w:val="0"/>
          <w:i w:val="0"/>
          <w:u w:val="none"/>
        </w:rPr>
        <w:t>DIET Ilkal (Bagalkote). (2025-26). A study on IISc training of high school teachers in science and mathematics of Bagalkot district. DIET, Ilkal.</w:t>
      </w:r>
    </w:p>
    <w:p>
      <w:pPr>
        <w:spacing w:after="60" w:before="0"/>
        <w:ind w:left="576" w:hanging="576"/>
        <w:jc w:val="both"/>
      </w:pPr>
      <w:r>
        <w:rPr>
          <w:b w:val="0"/>
          <w:i w:val="0"/>
          <w:u w:val="none"/>
        </w:rPr>
        <w:t>DIET Kalaburagi. (2024-25). Study on stress coping awareness among Class 9 and 10 students in Kalaburagi district. DIET, Kalaburagi.</w:t>
      </w:r>
    </w:p>
    <w:p>
      <w:pPr>
        <w:spacing w:after="60" w:before="0"/>
        <w:ind w:left="576" w:hanging="576"/>
        <w:jc w:val="both"/>
      </w:pPr>
      <w:r>
        <w:rPr>
          <w:b w:val="0"/>
          <w:i w:val="0"/>
          <w:u w:val="none"/>
        </w:rPr>
        <w:t>DIET Kalaburagi. (2025-26). Analysis of PARAKH National Survey 2024 results; comparative study of students with and without pre-primary education. DIET, Kalaburagi.</w:t>
      </w:r>
    </w:p>
    <w:p>
      <w:pPr>
        <w:spacing w:after="60" w:before="0"/>
        <w:ind w:left="576" w:hanging="576"/>
        <w:jc w:val="both"/>
      </w:pPr>
      <w:r>
        <w:rPr>
          <w:b w:val="0"/>
          <w:i w:val="0"/>
          <w:u w:val="none"/>
        </w:rPr>
        <w:t>DIET Kodagu. (2024-25). A study on the implementation of TALP in selected government high schools of Kodagu district. DIET, Kodagu.</w:t>
      </w:r>
    </w:p>
    <w:p>
      <w:pPr>
        <w:spacing w:after="60" w:before="0"/>
        <w:ind w:left="576" w:hanging="576"/>
        <w:jc w:val="both"/>
      </w:pPr>
      <w:r>
        <w:rPr>
          <w:b w:val="0"/>
          <w:i w:val="0"/>
          <w:u w:val="none"/>
        </w:rPr>
        <w:t>DIET Kodagu. (2025-26). A study on the uses, impacts and challenges of internet and social media among students in Kodagu district. DIET, Kodagu.</w:t>
      </w:r>
    </w:p>
    <w:p>
      <w:pPr>
        <w:spacing w:after="60" w:before="0"/>
        <w:ind w:left="576" w:hanging="576"/>
        <w:jc w:val="both"/>
      </w:pPr>
      <w:r>
        <w:rPr>
          <w:b w:val="0"/>
          <w:i w:val="0"/>
          <w:u w:val="none"/>
        </w:rPr>
        <w:t>DIET Koppal. (2024-25). A study on the effectiveness of general education for special needs students in Koppal district. DIET, Koppal.</w:t>
      </w:r>
    </w:p>
    <w:p>
      <w:pPr>
        <w:spacing w:after="60" w:before="0"/>
        <w:ind w:left="576" w:hanging="576"/>
        <w:jc w:val="both"/>
      </w:pPr>
      <w:r>
        <w:rPr>
          <w:b w:val="0"/>
          <w:i w:val="0"/>
          <w:u w:val="none"/>
        </w:rPr>
        <w:t>DIET Madhugiri. (2024-25). Six-year study of educational achievement of NMMS scholarship recipients from the 2018-19 cohort. DIET, Madhugiri.</w:t>
      </w:r>
    </w:p>
    <w:p>
      <w:pPr>
        <w:spacing w:after="60" w:before="0"/>
        <w:ind w:left="576" w:hanging="576"/>
        <w:jc w:val="both"/>
      </w:pPr>
      <w:r>
        <w:rPr>
          <w:b w:val="0"/>
          <w:i w:val="0"/>
          <w:u w:val="none"/>
        </w:rPr>
        <w:t>DIET Mandya. (2024-25). Decline in enrolment in government schools for linguistic minorities in Mandya district. DIET, Mandya.</w:t>
      </w:r>
    </w:p>
    <w:p>
      <w:pPr>
        <w:spacing w:after="60" w:before="0"/>
        <w:ind w:left="576" w:hanging="576"/>
        <w:jc w:val="both"/>
      </w:pPr>
      <w:r>
        <w:rPr>
          <w:b w:val="0"/>
          <w:i w:val="0"/>
          <w:u w:val="none"/>
        </w:rPr>
        <w:t>Ministry of Education. (2020). National Education Policy 2020. Government of India, New Delhi.</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8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