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0b0d7677ba054a40f483c29033d94ef0a15f88"/>
    <w:p>
      <w:pPr>
        <w:pStyle w:val="Heading1"/>
      </w:pPr>
      <w:r>
        <w:t xml:space="preserve">Status of Government School Libraries in Karnataka: A Study</w:t>
      </w:r>
    </w:p>
    <w:p>
      <w:pPr>
        <w:pStyle w:val="FirstParagraph"/>
      </w:pPr>
      <w:r>
        <w:t xml:space="preserve">*Prabha D. Sudagade, Library Officer, DSERT, Bangalore, Karnataka</w:t>
      </w:r>
      <w:r>
        <w:t xml:space="preserve"> </w:t>
      </w:r>
      <w:r>
        <w:t xml:space="preserve">librarydsert.ka@gmail.com, sprabha.ten@gmail.com</w:t>
      </w:r>
    </w:p>
    <w:p>
      <w:pPr>
        <w:pStyle w:val="BodyText"/>
      </w:pPr>
      <w:r>
        <w:t xml:space="preserve">**Dr. S. Nagaraja, Deputy Librarian (Retd.), RIE, NCERT, Mysuru-570006</w:t>
      </w:r>
      <w:r>
        <w:t xml:space="preserve"> </w:t>
      </w:r>
      <w:r>
        <w:t xml:space="preserve">snraj@rediffmail.com</w:t>
      </w:r>
    </w:p>
    <w:bookmarkStart w:id="20" w:name="abstract"/>
    <w:p>
      <w:pPr>
        <w:pStyle w:val="Heading2"/>
      </w:pPr>
      <w:r>
        <w:t xml:space="preserve">ABSTRACT</w:t>
      </w:r>
    </w:p>
    <w:p>
      <w:pPr>
        <w:pStyle w:val="FirstParagraph"/>
      </w:pPr>
      <w:r>
        <w:t xml:space="preserve">The school library is a core part of the school education system. It supports teaching and learning, and it works well only when it has its own space, a balanced collection of books, proper infrastructure and furniture, and professionally qualified staff. The Department of State Educational Research and Training (DSERT), Karnataka, studied the status of government school libraries across all 34 districts of the State, collecting data from 5,597 schools. The District Institutes of Education and Training (DIETs) and knowledge partners took an active part in data collection and processing. This paper presents the findings on library space, infrastructure, furniture, collections, functioning and student access, supported by tables and figures.</w:t>
      </w:r>
    </w:p>
    <w:p>
      <w:pPr>
        <w:pStyle w:val="BodyText"/>
      </w:pPr>
      <w:r>
        <w:rPr>
          <w:bCs/>
          <w:b/>
        </w:rPr>
        <w:t xml:space="preserve">Keywords:</w:t>
      </w:r>
      <w:r>
        <w:t xml:space="preserve"> </w:t>
      </w:r>
      <w:r>
        <w:t xml:space="preserve">School Library, Government Schools – Karnataka, School Library Collection, Library Infrastructure.</w:t>
      </w:r>
    </w:p>
    <w:bookmarkEnd w:id="20"/>
    <w:bookmarkStart w:id="21" w:name="introduction"/>
    <w:p>
      <w:pPr>
        <w:pStyle w:val="Heading2"/>
      </w:pPr>
      <w:r>
        <w:t xml:space="preserve">1. INTRODUCTION</w:t>
      </w:r>
    </w:p>
    <w:p>
      <w:pPr>
        <w:pStyle w:val="FirstParagraph"/>
      </w:pPr>
      <w:r>
        <w:t xml:space="preserve">Education shapes the nation, the individual and the economy. In the formative years, it is the school that builds critical thinking, lifelong learning and the habit of reading. The National Education Policy (NEP) 2020 calls for well-resourced school libraries to support foundational literacy and joyful learning. On the ground, however, the libraries in our government schools are in a very poor state.</w:t>
      </w:r>
    </w:p>
    <w:p>
      <w:pPr>
        <w:pStyle w:val="BodyText"/>
      </w:pPr>
      <w:r>
        <w:t xml:space="preserve">In Karnataka, government schools serve millions of rural and economically disadvantaged children and help to bridge socio-economic gaps. Yet there has been little or no systematic data on the condition of their libraries. To fill this gap and to inform policy, the study conducted an extensive online survey of government schools in Karnataka. It examined library infrastructure, resources, management, use, challenges and the views of stakeholders. These findings give a foundation for planned, systematic interventions to improve school library services across the State.</w:t>
      </w:r>
    </w:p>
    <w:bookmarkEnd w:id="21"/>
    <w:bookmarkStart w:id="22" w:name="X86166a0b2539821ce5792bb754ec4b5312cb7d6"/>
    <w:p>
      <w:pPr>
        <w:pStyle w:val="Heading2"/>
      </w:pPr>
      <w:r>
        <w:t xml:space="preserve">2. Government School Education System in Karnataka</w:t>
      </w:r>
    </w:p>
    <w:p>
      <w:pPr>
        <w:pStyle w:val="FirstParagraph"/>
      </w:pPr>
      <w:r>
        <w:t xml:space="preserve">Government schools in Karnataka range from pre-primary to secondary levels. Their library needs differ by type, and the findings must be read with this structure in mind.</w:t>
      </w:r>
    </w:p>
    <w:p>
      <w:pPr>
        <w:numPr>
          <w:ilvl w:val="0"/>
          <w:numId w:val="1001"/>
        </w:numPr>
        <w:pStyle w:val="Compact"/>
      </w:pPr>
      <w:r>
        <w:rPr>
          <w:bCs/>
          <w:b/>
        </w:rPr>
        <w:t xml:space="preserve">Lower Primary Schools (LPS):</w:t>
      </w:r>
      <w:r>
        <w:t xml:space="preserve"> </w:t>
      </w:r>
      <w:r>
        <w:t xml:space="preserve">These serve Classes 1–5 (ages 6–10) and form the largest group of government schools. Most are in rural areas, with small enrolments. Many run with minimal staff, sometimes a single teacher, and limited facilities. At this stage, children need picture books, storybooks, early readers and other materials for foundational literacy.</w:t>
      </w:r>
    </w:p>
    <w:p>
      <w:pPr>
        <w:numPr>
          <w:ilvl w:val="0"/>
          <w:numId w:val="1001"/>
        </w:numPr>
        <w:pStyle w:val="Compact"/>
      </w:pPr>
      <w:r>
        <w:rPr>
          <w:bCs/>
          <w:b/>
        </w:rPr>
        <w:t xml:space="preserve">Higher Primary Schools (HPS):</w:t>
      </w:r>
      <w:r>
        <w:t xml:space="preserve"> </w:t>
      </w:r>
      <w:r>
        <w:t xml:space="preserve">These serve Classes 1–8 or Classes 6–8, depending on how they are organised. They are the second-largest group, with higher enrolments and more teachers than LPS. Their libraries need a wider range of materials, including subject resources and reference books for upper primary learners.</w:t>
      </w:r>
    </w:p>
    <w:p>
      <w:pPr>
        <w:numPr>
          <w:ilvl w:val="0"/>
          <w:numId w:val="1001"/>
        </w:numPr>
        <w:pStyle w:val="Compact"/>
      </w:pPr>
      <w:r>
        <w:rPr>
          <w:bCs/>
          <w:b/>
        </w:rPr>
        <w:t xml:space="preserve">High Schools (HS):</w:t>
      </w:r>
      <w:r>
        <w:t xml:space="preserve"> </w:t>
      </w:r>
      <w:r>
        <w:t xml:space="preserve">These serve Classes 8–10 and usually have better infrastructure and more teachers. Their libraries need advanced reference materials and examination resources that also meet adolescents’ interests and the curriculum.</w:t>
      </w:r>
    </w:p>
    <w:p>
      <w:pPr>
        <w:numPr>
          <w:ilvl w:val="0"/>
          <w:numId w:val="1001"/>
        </w:numPr>
        <w:pStyle w:val="Compact"/>
      </w:pPr>
      <w:r>
        <w:rPr>
          <w:bCs/>
          <w:b/>
        </w:rPr>
        <w:t xml:space="preserve">Specialised Schools:</w:t>
      </w:r>
    </w:p>
    <w:p>
      <w:pPr>
        <w:numPr>
          <w:ilvl w:val="1"/>
          <w:numId w:val="1002"/>
        </w:numPr>
        <w:pStyle w:val="Compact"/>
      </w:pPr>
      <w:r>
        <w:rPr>
          <w:bCs/>
          <w:b/>
        </w:rPr>
        <w:t xml:space="preserve">PM Shri Schools:</w:t>
      </w:r>
      <w:r>
        <w:t xml:space="preserve"> </w:t>
      </w:r>
      <w:r>
        <w:t xml:space="preserve">recently designated model schools that receive additional resources.</w:t>
      </w:r>
    </w:p>
    <w:p>
      <w:pPr>
        <w:numPr>
          <w:ilvl w:val="1"/>
          <w:numId w:val="1002"/>
        </w:numPr>
        <w:pStyle w:val="Compact"/>
      </w:pPr>
      <w:r>
        <w:rPr>
          <w:bCs/>
          <w:b/>
        </w:rPr>
        <w:t xml:space="preserve">Adarsha Vidyalayas:</w:t>
      </w:r>
      <w:r>
        <w:t xml:space="preserve"> </w:t>
      </w:r>
      <w:r>
        <w:t xml:space="preserve">benchmark model schools with enhanced facilities.</w:t>
      </w:r>
    </w:p>
    <w:p>
      <w:pPr>
        <w:numPr>
          <w:ilvl w:val="1"/>
          <w:numId w:val="1002"/>
        </w:numPr>
        <w:pStyle w:val="Compact"/>
      </w:pPr>
      <w:r>
        <w:rPr>
          <w:bCs/>
          <w:b/>
        </w:rPr>
        <w:t xml:space="preserve">Kasturba Gandhi Balika Vidyalayas (KGBVs):</w:t>
      </w:r>
      <w:r>
        <w:t xml:space="preserve"> </w:t>
      </w:r>
      <w:r>
        <w:t xml:space="preserve">residential schools for girls from marginalised communities.</w:t>
      </w:r>
    </w:p>
    <w:p>
      <w:pPr>
        <w:numPr>
          <w:ilvl w:val="1"/>
          <w:numId w:val="1002"/>
        </w:numPr>
        <w:pStyle w:val="Compact"/>
      </w:pPr>
      <w:r>
        <w:rPr>
          <w:bCs/>
          <w:b/>
        </w:rPr>
        <w:t xml:space="preserve">Karnataka Public Schools (KPS):</w:t>
      </w:r>
      <w:r>
        <w:t xml:space="preserve"> </w:t>
      </w:r>
      <w:r>
        <w:t xml:space="preserve">schools working under varied administrative arrangements.</w:t>
      </w:r>
    </w:p>
    <w:bookmarkEnd w:id="22"/>
    <w:bookmarkStart w:id="23" w:name="need-and-significance-of-the-study"/>
    <w:p>
      <w:pPr>
        <w:pStyle w:val="Heading2"/>
      </w:pPr>
      <w:r>
        <w:t xml:space="preserve">3. Need and Significance of the Study</w:t>
      </w:r>
    </w:p>
    <w:p>
      <w:pPr>
        <w:pStyle w:val="FirstParagraph"/>
      </w:pPr>
      <w:r>
        <w:t xml:space="preserve">Government schools in Karnataka mainly serve rural communities and children from low-income families. For these children, the school library is often the only source of reading material beyond the textbook. When the library fails, the child loses twice: there are no books at home, and there is no support at school. Assessing library services is therefore a question of equity, of ensuring that every child, whatever the family’s circumstances, has access to good reading material.</w:t>
      </w:r>
    </w:p>
    <w:p>
      <w:pPr>
        <w:pStyle w:val="BodyText"/>
      </w:pPr>
      <w:r>
        <w:t xml:space="preserve">Reading habits formed in the early years shape later academic achievement. Studying how school libraries work, and where they fail to build a culture of reading, is the first step towards effective intervention.</w:t>
      </w:r>
    </w:p>
    <w:p>
      <w:pPr>
        <w:pStyle w:val="BodyText"/>
      </w:pPr>
      <w:r>
        <w:t xml:space="preserve">School libraries are accepted as essential to quality education, yet there is little detailed record of their facilities, resources, management and use in Karnataka’s government schools. This gap creates three problems:</w:t>
      </w:r>
    </w:p>
    <w:p>
      <w:pPr>
        <w:numPr>
          <w:ilvl w:val="0"/>
          <w:numId w:val="1003"/>
        </w:numPr>
        <w:pStyle w:val="Compact"/>
      </w:pPr>
      <w:r>
        <w:t xml:space="preserve">Without baseline data, policymakers cannot decide where resources are most needed. Money is spent on libraries without knowing where the gaps are or which interventions will help.</w:t>
      </w:r>
    </w:p>
    <w:p>
      <w:pPr>
        <w:numPr>
          <w:ilvl w:val="0"/>
          <w:numId w:val="1003"/>
        </w:numPr>
        <w:pStyle w:val="Compact"/>
      </w:pPr>
      <w:r>
        <w:t xml:space="preserve">Without assessment, successful models and practices cannot be identified and replicated. Good library programmes go unrecognised.</w:t>
      </w:r>
    </w:p>
    <w:p>
      <w:pPr>
        <w:numPr>
          <w:ilvl w:val="0"/>
          <w:numId w:val="1003"/>
        </w:numPr>
        <w:pStyle w:val="Compact"/>
      </w:pPr>
      <w:r>
        <w:t xml:space="preserve">Equity in library access has not been examined. Differences in library quality across school types, regions and rural–urban settings may be deepening educational inequality, but without data these patterns remain hidden.</w:t>
      </w:r>
    </w:p>
    <w:p>
      <w:pPr>
        <w:pStyle w:val="FirstParagraph"/>
      </w:pPr>
      <w:r>
        <w:t xml:space="preserve">This study addresses these gaps through a State-wide survey of government school libraries, giving an evidence base for planning and improvement.</w:t>
      </w:r>
    </w:p>
    <w:bookmarkEnd w:id="23"/>
    <w:bookmarkStart w:id="24" w:name="review-of-related-literature"/>
    <w:p>
      <w:pPr>
        <w:pStyle w:val="Heading2"/>
      </w:pPr>
      <w:r>
        <w:t xml:space="preserve">4. Review of Related Literature</w:t>
      </w:r>
    </w:p>
    <w:p>
      <w:pPr>
        <w:pStyle w:val="FirstParagraph"/>
      </w:pPr>
      <w:r>
        <w:t xml:space="preserve">Libraries are widely recognised in education as supports for teaching, for reading habits and for independent, inquiry-based learning. International studies have linked school libraries with better academic outcomes and higher literacy.</w:t>
      </w:r>
    </w:p>
    <w:p>
      <w:pPr>
        <w:pStyle w:val="BodyText"/>
      </w:pPr>
      <w:r>
        <w:t xml:space="preserve">In India, research and policy documents both acknowledge the value of school libraries and the persistent problems they face, especially in government schools. National data from DISE/UDISE+ show that many schools report having a library, but the term often means a small collection kept where children cannot reach it, and functioning varies widely. Studies from Tamil Nadu, Rajasthan, Kerala and the North-East point to the same recurring problems:</w:t>
      </w:r>
    </w:p>
    <w:p>
      <w:pPr>
        <w:numPr>
          <w:ilvl w:val="0"/>
          <w:numId w:val="1004"/>
        </w:numPr>
        <w:pStyle w:val="Compact"/>
      </w:pPr>
      <w:r>
        <w:t xml:space="preserve">no dedicated library space or suitable furniture;</w:t>
      </w:r>
    </w:p>
    <w:p>
      <w:pPr>
        <w:numPr>
          <w:ilvl w:val="0"/>
          <w:numId w:val="1004"/>
        </w:numPr>
        <w:pStyle w:val="Compact"/>
      </w:pPr>
      <w:r>
        <w:t xml:space="preserve">collections that are too small, outdated or unsuited to the children’s ages;</w:t>
      </w:r>
    </w:p>
    <w:p>
      <w:pPr>
        <w:numPr>
          <w:ilvl w:val="0"/>
          <w:numId w:val="1004"/>
        </w:numPr>
        <w:pStyle w:val="Compact"/>
      </w:pPr>
      <w:r>
        <w:t xml:space="preserve">no trained librarians, so teachers manage the library as an extra duty;</w:t>
      </w:r>
    </w:p>
    <w:p>
      <w:pPr>
        <w:numPr>
          <w:ilvl w:val="0"/>
          <w:numId w:val="1004"/>
        </w:numPr>
        <w:pStyle w:val="Compact"/>
      </w:pPr>
      <w:r>
        <w:t xml:space="preserve">poor organisation and circulation, and irregular or token use of library periods;</w:t>
      </w:r>
    </w:p>
    <w:p>
      <w:pPr>
        <w:numPr>
          <w:ilvl w:val="0"/>
          <w:numId w:val="1004"/>
        </w:numPr>
        <w:pStyle w:val="Compact"/>
      </w:pPr>
      <w:r>
        <w:t xml:space="preserve">weak links between the library and classroom teaching;</w:t>
      </w:r>
    </w:p>
    <w:p>
      <w:pPr>
        <w:numPr>
          <w:ilvl w:val="0"/>
          <w:numId w:val="1004"/>
        </w:numPr>
        <w:pStyle w:val="Compact"/>
      </w:pPr>
      <w:r>
        <w:t xml:space="preserve">few digital resources and little professional support.</w:t>
      </w:r>
    </w:p>
    <w:p>
      <w:pPr>
        <w:pStyle w:val="FirstParagraph"/>
      </w:pPr>
      <w:r>
        <w:t xml:space="preserve">The literature also records practices that work: classroom libraries, reading corners, community-supported mobile libraries and student-led reading clubs. These show how school leadership and community participation can strengthen library provision.</w:t>
      </w:r>
    </w:p>
    <w:p>
      <w:pPr>
        <w:pStyle w:val="BodyText"/>
      </w:pPr>
      <w:r>
        <w:t xml:space="preserve">Karnataka shows the same pattern. Libraries work better where they are part of school activities such as storytelling sessions and book discussions, but they are held back by lack of space, shortage of staff and irregular use of library periods. Earlier evaluations in the State were fragmented, often limited to a few districts or a single aspect, and a comprehensive assessment has long been needed.</w:t>
      </w:r>
    </w:p>
    <w:p>
      <w:pPr>
        <w:pStyle w:val="BodyText"/>
      </w:pPr>
      <w:r>
        <w:t xml:space="preserve">National policy gives increasing weight to libraries for foundational literacy and holistic learning:</w:t>
      </w:r>
    </w:p>
    <w:p>
      <w:pPr>
        <w:numPr>
          <w:ilvl w:val="0"/>
          <w:numId w:val="1005"/>
        </w:numPr>
        <w:pStyle w:val="Compact"/>
      </w:pPr>
      <w:r>
        <w:rPr>
          <w:bCs/>
          <w:b/>
        </w:rPr>
        <w:t xml:space="preserve">NEP 2020</w:t>
      </w:r>
      <w:r>
        <w:t xml:space="preserve"> </w:t>
      </w:r>
      <w:r>
        <w:t xml:space="preserve">sets the goal of foundational literacy by Grade 3, calls for access to quality books in local languages, and recognises libraries as resource centres for inquiry-based learning, including through digital tools.</w:t>
      </w:r>
    </w:p>
    <w:p>
      <w:pPr>
        <w:numPr>
          <w:ilvl w:val="0"/>
          <w:numId w:val="1005"/>
        </w:numPr>
        <w:pStyle w:val="Compact"/>
      </w:pPr>
      <w:r>
        <w:rPr>
          <w:bCs/>
          <w:b/>
        </w:rPr>
        <w:t xml:space="preserve">Samagra Shiksha</w:t>
      </w:r>
      <w:r>
        <w:t xml:space="preserve"> </w:t>
      </w:r>
      <w:r>
        <w:t xml:space="preserve">provides grants for library development and promotes classroom reading corners, though implementation varies across states and districts.</w:t>
      </w:r>
    </w:p>
    <w:p>
      <w:pPr>
        <w:pStyle w:val="FirstParagraph"/>
      </w:pPr>
      <w:r>
        <w:t xml:space="preserve">In Karnataka, the Department of Public Instruction and DSERT support reading campaigns such as</w:t>
      </w:r>
      <w:r>
        <w:t xml:space="preserve"> </w:t>
      </w:r>
      <w:r>
        <w:rPr>
          <w:iCs/>
          <w:i/>
        </w:rPr>
        <w:t xml:space="preserve">Odu Karnataka</w:t>
      </w:r>
      <w:r>
        <w:t xml:space="preserve"> </w:t>
      </w:r>
      <w:r>
        <w:t xml:space="preserve">(</w:t>
      </w:r>
      <w:r>
        <w:t xml:space="preserve">“</w:t>
      </w:r>
      <w:r>
        <w:t xml:space="preserve">Read, Karnataka</w:t>
      </w:r>
      <w:r>
        <w:t xml:space="preserve">”</w:t>
      </w:r>
      <w:r>
        <w:t xml:space="preserve">), include library management and reading promotion in teacher training, and allocate funds through Samagra Shiksha Karnataka. DIETs, Block Resource Centres (BRCs) and Cluster Resource Centres (CRCs) can build capacity for library services, though their reach is uneven. The policy goals are clear. Whether they are realised depends on what happens in each school: adequate funds, trained staff, and monitoring of both service quality and use.</w:t>
      </w:r>
    </w:p>
    <w:p>
      <w:pPr>
        <w:pStyle w:val="BodyText"/>
      </w:pPr>
      <w:r>
        <w:t xml:space="preserve">The</w:t>
      </w:r>
      <w:r>
        <w:t xml:space="preserve"> </w:t>
      </w:r>
      <w:r>
        <w:rPr>
          <w:bCs/>
          <w:b/>
        </w:rPr>
        <w:t xml:space="preserve">IFLA/UNESCO School Library Guidelines</w:t>
      </w:r>
      <w:r>
        <w:t xml:space="preserve"> </w:t>
      </w:r>
      <w:r>
        <w:t xml:space="preserve">offer a standard for judging adequacy and planning improvement. They call for qualified staff; varied collections of print, audio-visual and digital materials suited to the users’ ages; a dedicated space that can seat about 10% of students at one time; instruction in information literacy and reading promotion; and a regular budget for acquisition, maintenance and programmes.</w:t>
      </w:r>
    </w:p>
    <w:bookmarkEnd w:id="24"/>
    <w:bookmarkStart w:id="25" w:name="objectives-of-the-study"/>
    <w:p>
      <w:pPr>
        <w:pStyle w:val="Heading2"/>
      </w:pPr>
      <w:r>
        <w:t xml:space="preserve">5. Objectives of the Study</w:t>
      </w:r>
    </w:p>
    <w:p>
      <w:pPr>
        <w:numPr>
          <w:ilvl w:val="0"/>
          <w:numId w:val="1006"/>
        </w:numPr>
        <w:pStyle w:val="Compact"/>
      </w:pPr>
      <w:r>
        <w:t xml:space="preserve">To document the current status, functioning and usefulness of school libraries for teachers and students in Karnataka’s government schools.</w:t>
      </w:r>
    </w:p>
    <w:p>
      <w:pPr>
        <w:numPr>
          <w:ilvl w:val="0"/>
          <w:numId w:val="1006"/>
        </w:numPr>
        <w:pStyle w:val="Compact"/>
      </w:pPr>
      <w:r>
        <w:t xml:space="preserve">To assess the availability and adequacy of library infrastructure (space, furniture, digital equipment and environmental conditions) across school types.</w:t>
      </w:r>
    </w:p>
    <w:p>
      <w:pPr>
        <w:numPr>
          <w:ilvl w:val="0"/>
          <w:numId w:val="1006"/>
        </w:numPr>
        <w:pStyle w:val="Compact"/>
      </w:pPr>
      <w:r>
        <w:t xml:space="preserve">To evaluate library resources: the size, diversity, organisation and accessibility of book collections, and their relevance to the curriculum and to students’ interests.</w:t>
      </w:r>
    </w:p>
    <w:p>
      <w:pPr>
        <w:numPr>
          <w:ilvl w:val="0"/>
          <w:numId w:val="1006"/>
        </w:numPr>
        <w:pStyle w:val="Compact"/>
      </w:pPr>
      <w:r>
        <w:t xml:space="preserve">To examine library management: staffing, training, administrative systems and circulation.</w:t>
      </w:r>
    </w:p>
    <w:p>
      <w:pPr>
        <w:numPr>
          <w:ilvl w:val="0"/>
          <w:numId w:val="1006"/>
        </w:numPr>
        <w:pStyle w:val="Compact"/>
      </w:pPr>
      <w:r>
        <w:t xml:space="preserve">To document the challenges school staff face in running libraries.</w:t>
      </w:r>
    </w:p>
    <w:p>
      <w:pPr>
        <w:numPr>
          <w:ilvl w:val="0"/>
          <w:numId w:val="1006"/>
        </w:numPr>
        <w:pStyle w:val="Compact"/>
      </w:pPr>
      <w:r>
        <w:t xml:space="preserve">To record stakeholders’ views on what libraries need and what should come first.</w:t>
      </w:r>
    </w:p>
    <w:bookmarkEnd w:id="25"/>
    <w:bookmarkStart w:id="26" w:name="research-methodology"/>
    <w:p>
      <w:pPr>
        <w:pStyle w:val="Heading2"/>
      </w:pPr>
      <w:r>
        <w:t xml:space="preserve">6. Research Methodology</w:t>
      </w:r>
    </w:p>
    <w:p>
      <w:pPr>
        <w:pStyle w:val="FirstParagraph"/>
      </w:pPr>
      <w:r>
        <w:t xml:space="preserve">The study used the survey method. With libraries spread across thousands of schools, a survey was the most suitable way to assess their condition and understand how they actually function. An online survey was conducted in 5,597 government schools in all districts of Karnataka. It provides State-wide data on library infrastructure, resources, management and use.</w:t>
      </w:r>
    </w:p>
    <w:bookmarkEnd w:id="26"/>
    <w:bookmarkStart w:id="27" w:name="population-and-sample"/>
    <w:p>
      <w:pPr>
        <w:pStyle w:val="Heading2"/>
      </w:pPr>
      <w:r>
        <w:t xml:space="preserve">7. Population and Sample</w:t>
      </w:r>
    </w:p>
    <w:p>
      <w:pPr>
        <w:pStyle w:val="FirstParagraph"/>
      </w:pPr>
      <w:r>
        <w:t xml:space="preserve">The population is all government schools in Karnataka expected to maintain a library under departmental guidelines: LPS, HPS, HS and the specialised schools (PM Shri Schools, Adarsha Vidyalayas, KGBVs and KPS). Private schools, aided schools and Central Government schools (Kendriya Vidyalayas and Navodaya Vidyalayas) are excluded.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School Type</w:t>
            </w:r>
          </w:p>
        </w:tc>
        <w:tc>
          <w:tcPr/>
          <w:p>
            <w:pPr>
              <w:pStyle w:val="Compact"/>
              <w:jc w:val="left"/>
            </w:pPr>
            <w:r>
              <w:t xml:space="preserve">Number in Sample</w:t>
            </w:r>
          </w:p>
        </w:tc>
        <w:tc>
          <w:tcPr/>
          <w:p>
            <w:pPr>
              <w:pStyle w:val="Compact"/>
              <w:jc w:val="left"/>
            </w:pPr>
            <w:r>
              <w:t xml:space="preserve">Percentage</w:t>
            </w:r>
          </w:p>
        </w:tc>
        <w:tc>
          <w:tcPr/>
          <w:p>
            <w:pPr>
              <w:pStyle w:val="Compact"/>
              <w:jc w:val="left"/>
            </w:pPr>
            <w:r>
              <w:t xml:space="preserve">Remarks</w:t>
            </w:r>
          </w:p>
        </w:tc>
      </w:tr>
      <w:tr>
        <w:tc>
          <w:tcPr/>
          <w:p>
            <w:pPr>
              <w:pStyle w:val="Compact"/>
              <w:jc w:val="left"/>
            </w:pPr>
            <w:r>
              <w:t xml:space="preserve">Higher Primary School (HPS)</w:t>
            </w:r>
          </w:p>
        </w:tc>
        <w:tc>
          <w:tcPr/>
          <w:p>
            <w:pPr>
              <w:pStyle w:val="Compact"/>
              <w:jc w:val="left"/>
            </w:pPr>
            <w:r>
              <w:t xml:space="preserve">2,966</w:t>
            </w:r>
          </w:p>
        </w:tc>
        <w:tc>
          <w:tcPr/>
          <w:p>
            <w:pPr>
              <w:pStyle w:val="Compact"/>
              <w:jc w:val="left"/>
            </w:pPr>
            <w:r>
              <w:t xml:space="preserve">53.0%</w:t>
            </w:r>
          </w:p>
        </w:tc>
        <w:tc>
          <w:tcPr/>
          <w:p>
            <w:pPr>
              <w:pStyle w:val="Compact"/>
              <w:jc w:val="left"/>
            </w:pPr>
            <w:r>
              <w:t xml:space="preserve">Classes 1–8; moderate enrolment</w:t>
            </w:r>
          </w:p>
        </w:tc>
      </w:tr>
      <w:tr>
        <w:tc>
          <w:tcPr/>
          <w:p>
            <w:pPr>
              <w:pStyle w:val="Compact"/>
              <w:jc w:val="left"/>
            </w:pPr>
            <w:r>
              <w:t xml:space="preserve">Lower Primary School (LPS)</w:t>
            </w:r>
          </w:p>
        </w:tc>
        <w:tc>
          <w:tcPr/>
          <w:p>
            <w:pPr>
              <w:pStyle w:val="Compact"/>
              <w:jc w:val="left"/>
            </w:pPr>
            <w:r>
              <w:t xml:space="preserve">2,202</w:t>
            </w:r>
          </w:p>
        </w:tc>
        <w:tc>
          <w:tcPr/>
          <w:p>
            <w:pPr>
              <w:pStyle w:val="Compact"/>
              <w:jc w:val="left"/>
            </w:pPr>
            <w:r>
              <w:t xml:space="preserve">39.3%</w:t>
            </w:r>
          </w:p>
        </w:tc>
        <w:tc>
          <w:tcPr/>
          <w:p>
            <w:pPr>
              <w:pStyle w:val="Compact"/>
              <w:jc w:val="left"/>
            </w:pPr>
            <w:r>
              <w:t xml:space="preserve">Classes 1–5; small enrolment</w:t>
            </w:r>
          </w:p>
        </w:tc>
      </w:tr>
      <w:tr>
        <w:tc>
          <w:tcPr/>
          <w:p>
            <w:pPr>
              <w:pStyle w:val="Compact"/>
              <w:jc w:val="left"/>
            </w:pPr>
            <w:r>
              <w:t xml:space="preserve">High School (HS)</w:t>
            </w:r>
          </w:p>
        </w:tc>
        <w:tc>
          <w:tcPr/>
          <w:p>
            <w:pPr>
              <w:pStyle w:val="Compact"/>
              <w:jc w:val="left"/>
            </w:pPr>
            <w:r>
              <w:t xml:space="preserve">295</w:t>
            </w:r>
          </w:p>
        </w:tc>
        <w:tc>
          <w:tcPr/>
          <w:p>
            <w:pPr>
              <w:pStyle w:val="Compact"/>
              <w:jc w:val="left"/>
            </w:pPr>
            <w:r>
              <w:t xml:space="preserve">5.3%</w:t>
            </w:r>
          </w:p>
        </w:tc>
        <w:tc>
          <w:tcPr/>
          <w:p>
            <w:pPr>
              <w:pStyle w:val="Compact"/>
              <w:jc w:val="left"/>
            </w:pPr>
            <w:r>
              <w:t xml:space="preserve">Classes 8–10; larger infrastructure</w:t>
            </w:r>
          </w:p>
        </w:tc>
      </w:tr>
      <w:tr>
        <w:tc>
          <w:tcPr/>
          <w:p>
            <w:pPr>
              <w:pStyle w:val="Compact"/>
              <w:jc w:val="left"/>
            </w:pPr>
            <w:r>
              <w:t xml:space="preserve">Karnataka Public School (KPS)</w:t>
            </w:r>
          </w:p>
        </w:tc>
        <w:tc>
          <w:tcPr/>
          <w:p>
            <w:pPr>
              <w:pStyle w:val="Compact"/>
              <w:jc w:val="left"/>
            </w:pPr>
            <w:r>
              <w:t xml:space="preserve">78</w:t>
            </w:r>
          </w:p>
        </w:tc>
        <w:tc>
          <w:tcPr/>
          <w:p>
            <w:pPr>
              <w:pStyle w:val="Compact"/>
              <w:jc w:val="left"/>
            </w:pPr>
            <w:r>
              <w:t xml:space="preserve">1.4%</w:t>
            </w:r>
          </w:p>
        </w:tc>
        <w:tc>
          <w:tcPr/>
          <w:p>
            <w:pPr>
              <w:pStyle w:val="Compact"/>
              <w:jc w:val="left"/>
            </w:pPr>
            <w:r>
              <w:t xml:space="preserve">Alternative administrative structure</w:t>
            </w:r>
          </w:p>
        </w:tc>
      </w:tr>
      <w:tr>
        <w:tc>
          <w:tcPr/>
          <w:p>
            <w:pPr>
              <w:pStyle w:val="Compact"/>
              <w:jc w:val="left"/>
            </w:pPr>
            <w:r>
              <w:t xml:space="preserve">PM Shri School</w:t>
            </w:r>
          </w:p>
        </w:tc>
        <w:tc>
          <w:tcPr/>
          <w:p>
            <w:pPr>
              <w:pStyle w:val="Compact"/>
              <w:jc w:val="left"/>
            </w:pPr>
            <w:r>
              <w:t xml:space="preserve">46</w:t>
            </w:r>
          </w:p>
        </w:tc>
        <w:tc>
          <w:tcPr/>
          <w:p>
            <w:pPr>
              <w:pStyle w:val="Compact"/>
              <w:jc w:val="left"/>
            </w:pPr>
            <w:r>
              <w:t xml:space="preserve">0.8%</w:t>
            </w:r>
          </w:p>
        </w:tc>
        <w:tc>
          <w:tcPr/>
          <w:p>
            <w:pPr>
              <w:pStyle w:val="Compact"/>
              <w:jc w:val="left"/>
            </w:pPr>
            <w:r>
              <w:t xml:space="preserve">Model schools with enhanced resources</w:t>
            </w:r>
          </w:p>
        </w:tc>
      </w:tr>
      <w:tr>
        <w:tc>
          <w:tcPr/>
          <w:p>
            <w:pPr>
              <w:pStyle w:val="Compact"/>
              <w:jc w:val="left"/>
            </w:pPr>
            <w:r>
              <w:t xml:space="preserve">KGBV</w:t>
            </w:r>
          </w:p>
        </w:tc>
        <w:tc>
          <w:tcPr/>
          <w:p>
            <w:pPr>
              <w:pStyle w:val="Compact"/>
              <w:jc w:val="left"/>
            </w:pPr>
            <w:r>
              <w:t xml:space="preserve">7</w:t>
            </w:r>
          </w:p>
        </w:tc>
        <w:tc>
          <w:tcPr/>
          <w:p>
            <w:pPr>
              <w:pStyle w:val="Compact"/>
              <w:jc w:val="left"/>
            </w:pPr>
            <w:r>
              <w:t xml:space="preserve">0.1%</w:t>
            </w:r>
          </w:p>
        </w:tc>
        <w:tc>
          <w:tcPr/>
          <w:p>
            <w:pPr>
              <w:pStyle w:val="Compact"/>
              <w:jc w:val="left"/>
            </w:pPr>
            <w:r>
              <w:t xml:space="preserve">Residential schools for girls</w:t>
            </w:r>
          </w:p>
        </w:tc>
      </w:tr>
      <w:tr>
        <w:tc>
          <w:tcPr/>
          <w:p>
            <w:pPr>
              <w:pStyle w:val="Compact"/>
              <w:jc w:val="left"/>
            </w:pPr>
            <w:r>
              <w:t xml:space="preserve">Adarsha Vidyalaya</w:t>
            </w:r>
          </w:p>
        </w:tc>
        <w:tc>
          <w:tcPr/>
          <w:p>
            <w:pPr>
              <w:pStyle w:val="Compact"/>
              <w:jc w:val="left"/>
            </w:pPr>
            <w:r>
              <w:t xml:space="preserve">3</w:t>
            </w:r>
          </w:p>
        </w:tc>
        <w:tc>
          <w:tcPr/>
          <w:p>
            <w:pPr>
              <w:pStyle w:val="Compact"/>
              <w:jc w:val="left"/>
            </w:pPr>
            <w:r>
              <w:t xml:space="preserve">0.1%</w:t>
            </w:r>
          </w:p>
        </w:tc>
        <w:tc>
          <w:tcPr/>
          <w:p>
            <w:pPr>
              <w:pStyle w:val="Compact"/>
              <w:jc w:val="left"/>
            </w:pPr>
            <w:r>
              <w:t xml:space="preserve">Benchmark model schools</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c>
          <w:tcPr/>
          <w:p>
            <w:pPr>
              <w:pStyle w:val="Compact"/>
            </w:pPr>
          </w:p>
        </w:tc>
      </w:tr>
    </w:tbl>
    <w:p>
      <w:pPr>
        <w:pStyle w:val="BodyText"/>
      </w:pPr>
      <w:r>
        <w:rPr>
          <w:iCs/>
          <w:i/>
        </w:rPr>
        <w:t xml:space="preserve">Table 1: Distribution of Government Schools by Type in Karnataka</w:t>
      </w:r>
    </w:p>
    <w:bookmarkEnd w:id="27"/>
    <w:bookmarkStart w:id="28" w:name="pilot-testing"/>
    <w:p>
      <w:pPr>
        <w:pStyle w:val="Heading2"/>
      </w:pPr>
      <w:r>
        <w:t xml:space="preserve">8. Pilot Testing</w:t>
      </w:r>
    </w:p>
    <w:p>
      <w:pPr>
        <w:pStyle w:val="FirstParagraph"/>
      </w:pPr>
      <w:r>
        <w:t xml:space="preserve">The instrument was piloted in selected schools with at least 20 respondents to check:</w:t>
      </w:r>
    </w:p>
    <w:p>
      <w:pPr>
        <w:numPr>
          <w:ilvl w:val="0"/>
          <w:numId w:val="1007"/>
        </w:numPr>
        <w:pStyle w:val="Compact"/>
      </w:pPr>
      <w:r>
        <w:t xml:space="preserve">clarity and comprehensibility of items;</w:t>
      </w:r>
    </w:p>
    <w:p>
      <w:pPr>
        <w:numPr>
          <w:ilvl w:val="0"/>
          <w:numId w:val="1007"/>
        </w:numPr>
        <w:pStyle w:val="Compact"/>
      </w:pPr>
      <w:r>
        <w:t xml:space="preserve">response time and respondent burden;</w:t>
      </w:r>
    </w:p>
    <w:p>
      <w:pPr>
        <w:numPr>
          <w:ilvl w:val="0"/>
          <w:numId w:val="1007"/>
        </w:numPr>
        <w:pStyle w:val="Compact"/>
      </w:pPr>
      <w:r>
        <w:t xml:space="preserve">response distributions and item functioning;</w:t>
      </w:r>
    </w:p>
    <w:p>
      <w:pPr>
        <w:numPr>
          <w:ilvl w:val="0"/>
          <w:numId w:val="1007"/>
        </w:numPr>
        <w:pStyle w:val="Compact"/>
      </w:pPr>
      <w:r>
        <w:t xml:space="preserve">technical functioning of the online form;</w:t>
      </w:r>
    </w:p>
    <w:p>
      <w:pPr>
        <w:numPr>
          <w:ilvl w:val="0"/>
          <w:numId w:val="1007"/>
        </w:numPr>
        <w:pStyle w:val="Compact"/>
      </w:pPr>
      <w:r>
        <w:t xml:space="preserve">cultural appropriateness and language accuracy.</w:t>
      </w:r>
    </w:p>
    <w:p>
      <w:pPr>
        <w:pStyle w:val="FirstParagraph"/>
      </w:pPr>
      <w:r>
        <w:t xml:space="preserve">Based on the pilot, ambiguous items were reworded, response categories adjusted and the instrument shortened. Keeping Karnataka’s multilingual context in view, the instrument was prepared in Kannada and English, and respondents could answer in either language.</w:t>
      </w:r>
    </w:p>
    <w:bookmarkEnd w:id="28"/>
    <w:bookmarkStart w:id="29" w:name="scope-and-delimitations"/>
    <w:p>
      <w:pPr>
        <w:pStyle w:val="Heading2"/>
      </w:pPr>
      <w:r>
        <w:t xml:space="preserve">9. Scope and Delimitations</w:t>
      </w:r>
    </w:p>
    <w:p>
      <w:pPr>
        <w:pStyle w:val="FirstParagraph"/>
      </w:pPr>
      <w:r>
        <w:t xml:space="preserve">The study covers government schools across Karnataka: LPS, HPS, HS and the specialised schools (PM Shri, Adarsha Vidyalayas, KGBVs and KPS). Private, aided and Central Government schools (Kendriya Vidyalayas and Navodaya Vidyalayas) are outside its scope. The survey covered all districts, though response rates varied. It focuses on library infrastructure, resources, management and use. It does not assess student learning outcomes or claim any causal link between library services and achievement. Data were collected in 2025–26 and give a cross-sectional picture; the study does not track change over time or assess the impact of particular interventions.</w:t>
      </w:r>
    </w:p>
    <w:bookmarkEnd w:id="29"/>
    <w:bookmarkStart w:id="37" w:name="findings-of-the-study"/>
    <w:p>
      <w:pPr>
        <w:pStyle w:val="Heading2"/>
      </w:pPr>
      <w:r>
        <w:t xml:space="preserve">10. Findings of the Study</w:t>
      </w:r>
    </w:p>
    <w:bookmarkStart w:id="31" w:name="library-infrastructure"/>
    <w:p>
      <w:pPr>
        <w:pStyle w:val="Heading3"/>
      </w:pPr>
      <w:r>
        <w:t xml:space="preserve">10.1 Library Infrastructure</w:t>
      </w:r>
    </w:p>
    <w:p>
      <w:pPr>
        <w:pStyle w:val="FirstParagraph"/>
      </w:pPr>
      <w:r>
        <w:t xml:space="preserve">Infrastructure is the foundation of library service. Without space, furniture, working equipment and a pleasant environment, even a good collection cannot be used well. This section examines physical space, facilities, furniture, digital equipment and environmental conditions, drawing on the survey of 5,597 schools.</w:t>
      </w:r>
    </w:p>
    <w:bookmarkStart w:id="30" w:name="library-space-and-location"/>
    <w:p>
      <w:pPr>
        <w:pStyle w:val="Heading4"/>
      </w:pPr>
      <w:r>
        <w:t xml:space="preserve">10.1.1 Library Space and Location</w:t>
      </w:r>
    </w:p>
    <w:p>
      <w:pPr>
        <w:pStyle w:val="FirstParagraph"/>
      </w:pPr>
      <w:r>
        <w:t xml:space="preserve">A dedicated library room makes it possible to organise the collection, provide comfortable reading space and keep the library open regularly. This is hard to achieve when the library shares a room or makes do with a temporary corner. The survey shows a serious shortage of library space (Table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 Location</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Designated library room</w:t>
            </w:r>
          </w:p>
        </w:tc>
        <w:tc>
          <w:tcPr/>
          <w:p>
            <w:pPr>
              <w:pStyle w:val="Compact"/>
              <w:jc w:val="left"/>
            </w:pPr>
            <w:r>
              <w:t xml:space="preserve">1,035</w:t>
            </w:r>
          </w:p>
        </w:tc>
        <w:tc>
          <w:tcPr/>
          <w:p>
            <w:pPr>
              <w:pStyle w:val="Compact"/>
              <w:jc w:val="left"/>
            </w:pPr>
            <w:r>
              <w:t xml:space="preserve">18.5%</w:t>
            </w:r>
          </w:p>
        </w:tc>
      </w:tr>
      <w:tr>
        <w:tc>
          <w:tcPr/>
          <w:p>
            <w:pPr>
              <w:pStyle w:val="Compact"/>
              <w:jc w:val="left"/>
            </w:pPr>
            <w:r>
              <w:t xml:space="preserve">Classroom corner / shared space</w:t>
            </w:r>
          </w:p>
        </w:tc>
        <w:tc>
          <w:tcPr/>
          <w:p>
            <w:pPr>
              <w:pStyle w:val="Compact"/>
              <w:jc w:val="left"/>
            </w:pPr>
            <w:r>
              <w:t xml:space="preserve">1,464</w:t>
            </w:r>
          </w:p>
        </w:tc>
        <w:tc>
          <w:tcPr/>
          <w:p>
            <w:pPr>
              <w:pStyle w:val="Compact"/>
              <w:jc w:val="left"/>
            </w:pPr>
            <w:r>
              <w:t xml:space="preserve">26.2%</w:t>
            </w:r>
          </w:p>
        </w:tc>
      </w:tr>
      <w:tr>
        <w:tc>
          <w:tcPr/>
          <w:p>
            <w:pPr>
              <w:pStyle w:val="Compact"/>
              <w:jc w:val="left"/>
            </w:pPr>
            <w:r>
              <w:t xml:space="preserve">Books in almirah (distributed to classes)</w:t>
            </w:r>
          </w:p>
        </w:tc>
        <w:tc>
          <w:tcPr/>
          <w:p>
            <w:pPr>
              <w:pStyle w:val="Compact"/>
              <w:jc w:val="left"/>
            </w:pPr>
            <w:r>
              <w:t xml:space="preserve">2,851</w:t>
            </w:r>
          </w:p>
        </w:tc>
        <w:tc>
          <w:tcPr/>
          <w:p>
            <w:pPr>
              <w:pStyle w:val="Compact"/>
              <w:jc w:val="left"/>
            </w:pPr>
            <w:r>
              <w:t xml:space="preserve">51.0%</w:t>
            </w:r>
          </w:p>
        </w:tc>
      </w:tr>
      <w:tr>
        <w:tc>
          <w:tcPr/>
          <w:p>
            <w:pPr>
              <w:pStyle w:val="Compact"/>
              <w:jc w:val="left"/>
            </w:pPr>
            <w:r>
              <w:t xml:space="preserve">No library space / arrangement</w:t>
            </w:r>
          </w:p>
        </w:tc>
        <w:tc>
          <w:tcPr/>
          <w:p>
            <w:pPr>
              <w:pStyle w:val="Compact"/>
              <w:jc w:val="left"/>
            </w:pPr>
            <w:r>
              <w:t xml:space="preserve">187</w:t>
            </w:r>
          </w:p>
        </w:tc>
        <w:tc>
          <w:tcPr/>
          <w:p>
            <w:pPr>
              <w:pStyle w:val="Compact"/>
              <w:jc w:val="left"/>
            </w:pPr>
            <w:r>
              <w:t xml:space="preserve">3.3%</w:t>
            </w:r>
          </w:p>
        </w:tc>
      </w:tr>
      <w:tr>
        <w:tc>
          <w:tcPr/>
          <w:p>
            <w:pPr>
              <w:pStyle w:val="Compact"/>
              <w:jc w:val="left"/>
            </w:pPr>
            <w:r>
              <w:t xml:space="preserve">Other arrangements</w:t>
            </w:r>
          </w:p>
        </w:tc>
        <w:tc>
          <w:tcPr/>
          <w:p>
            <w:pPr>
              <w:pStyle w:val="Compact"/>
              <w:jc w:val="left"/>
            </w:pPr>
            <w:r>
              <w:t xml:space="preserve">60</w:t>
            </w:r>
          </w:p>
        </w:tc>
        <w:tc>
          <w:tcPr/>
          <w:p>
            <w:pPr>
              <w:pStyle w:val="Compact"/>
              <w:jc w:val="left"/>
            </w:pPr>
            <w:r>
              <w:t xml:space="preserve">1.1%</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BodyText"/>
      </w:pPr>
      <w:r>
        <w:rPr>
          <w:iCs/>
          <w:i/>
        </w:rPr>
        <w:t xml:space="preserve">Table 2: Library Location (Survey, N = 5,597)</w:t>
      </w:r>
    </w:p>
    <w:p>
      <w:pPr>
        <w:pStyle w:val="BodyText"/>
      </w:pPr>
      <w:r>
        <w:rPr>
          <w:iCs/>
          <w:i/>
        </w:rPr>
        <w:t xml:space="preserve">[Figure 1: Library Location Distribution (Survey, N = 5,597)]</w:t>
      </w:r>
    </w:p>
    <w:p>
      <w:pPr>
        <w:pStyle w:val="BodyText"/>
      </w:pPr>
      <w:r>
        <w:t xml:space="preserve">Only 18.5% of schools have a designated library room, the minimum expected for a working library programme. More than half (51.0%) keep their books in almirahs (steel cupboards) and send them out to classrooms. This is a practical answer to the lack of space, but it denies children the chance to browse, keeps them from forming the habit of using a library and restricts reading activities.</w:t>
      </w:r>
    </w:p>
    <w:p>
      <w:pPr>
        <w:pStyle w:val="BodyText"/>
      </w:pPr>
      <w:r>
        <w:t xml:space="preserve">Another 26.2% run the library from a classroom corner, a space that serves two purposes, so access is irregular and readers are distracted. The 3.3% with no library space or arrangement have no library provision at all.</w:t>
      </w:r>
    </w:p>
    <w:bookmarkEnd w:id="30"/>
    <w:bookmarkEnd w:id="31"/>
    <w:bookmarkStart w:id="32" w:name="physical-infrastructure-and-facilities"/>
    <w:p>
      <w:pPr>
        <w:pStyle w:val="Heading3"/>
      </w:pPr>
      <w:r>
        <w:t xml:space="preserve">10.2 Physical Infrastructure and Facilities</w:t>
      </w:r>
    </w:p>
    <w:p>
      <w:pPr>
        <w:pStyle w:val="FirstParagraph"/>
      </w:pPr>
      <w:r>
        <w:t xml:space="preserve">Beyond the presence of space, the quality of the physical environment decides how well a library works and how children experience it.</w:t>
      </w:r>
    </w:p>
    <w:p>
      <w:pPr>
        <w:pStyle w:val="BodyText"/>
      </w:pPr>
      <w:r>
        <w:rPr>
          <w:bCs/>
          <w:b/>
        </w:rPr>
        <w:t xml:space="preserve">1. Environmental Conditions</w:t>
      </w:r>
    </w:p>
    <w:p>
      <w:pPr>
        <w:pStyle w:val="BodyText"/>
      </w:pPr>
      <w:r>
        <w:t xml:space="preserve">Basic conditions are mostly acceptable, but there are clear gaps (Table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Good</w:t>
            </w:r>
          </w:p>
        </w:tc>
        <w:tc>
          <w:tcPr/>
          <w:p>
            <w:pPr>
              <w:pStyle w:val="Compact"/>
              <w:jc w:val="left"/>
            </w:pPr>
            <w:r>
              <w:t xml:space="preserve">Average</w:t>
            </w:r>
          </w:p>
        </w:tc>
        <w:tc>
          <w:tcPr/>
          <w:p>
            <w:pPr>
              <w:pStyle w:val="Compact"/>
              <w:jc w:val="left"/>
            </w:pPr>
            <w:r>
              <w:t xml:space="preserve">Poor / No</w:t>
            </w:r>
          </w:p>
        </w:tc>
      </w:tr>
      <w:tr>
        <w:tc>
          <w:tcPr/>
          <w:p>
            <w:pPr>
              <w:pStyle w:val="Compact"/>
              <w:jc w:val="left"/>
            </w:pPr>
            <w:r>
              <w:t xml:space="preserve">Ventilation and lighting</w:t>
            </w:r>
          </w:p>
        </w:tc>
        <w:tc>
          <w:tcPr/>
          <w:p>
            <w:pPr>
              <w:pStyle w:val="Compact"/>
              <w:jc w:val="left"/>
            </w:pPr>
            <w:r>
              <w:t xml:space="preserve">72.2%</w:t>
            </w:r>
          </w:p>
        </w:tc>
        <w:tc>
          <w:tcPr/>
          <w:p>
            <w:pPr>
              <w:pStyle w:val="Compact"/>
              <w:jc w:val="left"/>
            </w:pPr>
            <w:r>
              <w:t xml:space="preserve">24.2%</w:t>
            </w:r>
          </w:p>
        </w:tc>
        <w:tc>
          <w:tcPr/>
          <w:p>
            <w:pPr>
              <w:pStyle w:val="Compact"/>
              <w:jc w:val="left"/>
            </w:pPr>
            <w:r>
              <w:t xml:space="preserve">3.6%</w:t>
            </w:r>
          </w:p>
        </w:tc>
      </w:tr>
      <w:tr>
        <w:tc>
          <w:tcPr/>
          <w:p>
            <w:pPr>
              <w:pStyle w:val="Compact"/>
              <w:jc w:val="left"/>
            </w:pPr>
            <w:r>
              <w:t xml:space="preserve">Room maintenance / cleanliness</w:t>
            </w:r>
          </w:p>
        </w:tc>
        <w:tc>
          <w:tcPr/>
          <w:p>
            <w:pPr>
              <w:pStyle w:val="Compact"/>
              <w:jc w:val="left"/>
            </w:pPr>
            <w:r>
              <w:t xml:space="preserve">62.6%</w:t>
            </w:r>
          </w:p>
        </w:tc>
        <w:tc>
          <w:tcPr/>
          <w:p>
            <w:pPr>
              <w:pStyle w:val="Compact"/>
              <w:jc w:val="left"/>
            </w:pPr>
            <w:r>
              <w:t xml:space="preserve">34.0%</w:t>
            </w:r>
          </w:p>
        </w:tc>
        <w:tc>
          <w:tcPr/>
          <w:p>
            <w:pPr>
              <w:pStyle w:val="Compact"/>
              <w:jc w:val="left"/>
            </w:pPr>
            <w:r>
              <w:t xml:space="preserve">3.5%</w:t>
            </w:r>
          </w:p>
        </w:tc>
      </w:tr>
      <w:tr>
        <w:tc>
          <w:tcPr/>
          <w:p>
            <w:pPr>
              <w:pStyle w:val="Compact"/>
              <w:jc w:val="left"/>
            </w:pPr>
            <w:r>
              <w:t xml:space="preserve">Notice board available</w:t>
            </w:r>
          </w:p>
        </w:tc>
        <w:tc>
          <w:tcPr/>
          <w:p>
            <w:pPr>
              <w:pStyle w:val="Compact"/>
              <w:jc w:val="left"/>
            </w:pPr>
            <w:r>
              <w:t xml:space="preserve">52.5%</w:t>
            </w:r>
          </w:p>
        </w:tc>
        <w:tc>
          <w:tcPr/>
          <w:p>
            <w:pPr>
              <w:pStyle w:val="Compact"/>
              <w:jc w:val="left"/>
            </w:pPr>
            <w:r>
              <w:t xml:space="preserve">–</w:t>
            </w:r>
          </w:p>
        </w:tc>
        <w:tc>
          <w:tcPr/>
          <w:p>
            <w:pPr>
              <w:pStyle w:val="Compact"/>
              <w:jc w:val="left"/>
            </w:pPr>
            <w:r>
              <w:t xml:space="preserve">47.5% (No)</w:t>
            </w:r>
          </w:p>
        </w:tc>
      </w:tr>
      <w:tr>
        <w:tc>
          <w:tcPr/>
          <w:p>
            <w:pPr>
              <w:pStyle w:val="Compact"/>
              <w:jc w:val="left"/>
            </w:pPr>
            <w:r>
              <w:t xml:space="preserve">Ramp for differently-abled</w:t>
            </w:r>
          </w:p>
        </w:tc>
        <w:tc>
          <w:tcPr/>
          <w:p>
            <w:pPr>
              <w:pStyle w:val="Compact"/>
              <w:jc w:val="left"/>
            </w:pPr>
            <w:r>
              <w:t xml:space="preserve">67.7%</w:t>
            </w:r>
          </w:p>
        </w:tc>
        <w:tc>
          <w:tcPr/>
          <w:p>
            <w:pPr>
              <w:pStyle w:val="Compact"/>
              <w:jc w:val="left"/>
            </w:pPr>
            <w:r>
              <w:t xml:space="preserve">–</w:t>
            </w:r>
          </w:p>
        </w:tc>
        <w:tc>
          <w:tcPr/>
          <w:p>
            <w:pPr>
              <w:pStyle w:val="Compact"/>
              <w:jc w:val="left"/>
            </w:pPr>
            <w:r>
              <w:t xml:space="preserve">32.3% (No)</w:t>
            </w:r>
          </w:p>
        </w:tc>
      </w:tr>
      <w:tr>
        <w:tc>
          <w:tcPr/>
          <w:p>
            <w:pPr>
              <w:pStyle w:val="Compact"/>
              <w:jc w:val="left"/>
            </w:pPr>
            <w:r>
              <w:t xml:space="preserve">Sufficient space for activities</w:t>
            </w:r>
          </w:p>
        </w:tc>
        <w:tc>
          <w:tcPr/>
          <w:p>
            <w:pPr>
              <w:pStyle w:val="Compact"/>
              <w:jc w:val="left"/>
            </w:pPr>
            <w:r>
              <w:t xml:space="preserve">57.6%</w:t>
            </w:r>
          </w:p>
        </w:tc>
        <w:tc>
          <w:tcPr/>
          <w:p>
            <w:pPr>
              <w:pStyle w:val="Compact"/>
              <w:jc w:val="left"/>
            </w:pPr>
            <w:r>
              <w:t xml:space="preserve">–</w:t>
            </w:r>
          </w:p>
        </w:tc>
        <w:tc>
          <w:tcPr/>
          <w:p>
            <w:pPr>
              <w:pStyle w:val="Compact"/>
              <w:jc w:val="left"/>
            </w:pPr>
            <w:r>
              <w:t xml:space="preserve">42.4% (No)</w:t>
            </w:r>
          </w:p>
        </w:tc>
      </w:tr>
    </w:tbl>
    <w:p>
      <w:pPr>
        <w:pStyle w:val="BodyText"/>
      </w:pPr>
      <w:r>
        <w:rPr>
          <w:iCs/>
          <w:i/>
        </w:rPr>
        <w:t xml:space="preserve">Table 3: Environmental Conditions and Facilities (Survey, N = 5,597)</w:t>
      </w:r>
    </w:p>
    <w:p>
      <w:pPr>
        <w:pStyle w:val="BodyText"/>
      </w:pPr>
      <w:r>
        <w:rPr>
          <w:iCs/>
          <w:i/>
        </w:rPr>
        <w:t xml:space="preserve">[Figure 2: Availability of Infrastructure Facilities]</w:t>
      </w:r>
    </w:p>
    <w:p>
      <w:pPr>
        <w:pStyle w:val="BodyText"/>
      </w:pPr>
      <w:r>
        <w:t xml:space="preserve">Most schools report good ventilation and lighting (72.2%) and acceptable maintenance (62.6%). However, 42.4% lack enough space for library activities, which rules out group activities, comfortable reading and any expansion of programmes. Nearly half (47.5%) have no notice board, so there is no place to announce library programmes or promote reading. One school in three (32.3%) has no ramp for differently-abled children.</w:t>
      </w:r>
    </w:p>
    <w:p>
      <w:pPr>
        <w:pStyle w:val="BodyText"/>
      </w:pPr>
      <w:r>
        <w:rPr>
          <w:bCs/>
          <w:b/>
        </w:rPr>
        <w:t xml:space="preserve">2. Furniture</w:t>
      </w:r>
    </w:p>
    <w:p>
      <w:pPr>
        <w:pStyle w:val="BodyText"/>
      </w:pPr>
      <w:r>
        <w:t xml:space="preserve">Furniture is needed both to organise the collection and to let children read in comfort (Table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Furniture</w:t>
            </w:r>
          </w:p>
        </w:tc>
        <w:tc>
          <w:tcPr/>
          <w:p>
            <w:pPr>
              <w:pStyle w:val="Compact"/>
              <w:jc w:val="left"/>
            </w:pPr>
            <w:r>
              <w:t xml:space="preserve">Available</w:t>
            </w:r>
          </w:p>
        </w:tc>
        <w:tc>
          <w:tcPr/>
          <w:p>
            <w:pPr>
              <w:pStyle w:val="Compact"/>
              <w:jc w:val="left"/>
            </w:pPr>
            <w:r>
              <w:t xml:space="preserve">Not Available</w:t>
            </w:r>
          </w:p>
        </w:tc>
      </w:tr>
      <w:tr>
        <w:tc>
          <w:tcPr/>
          <w:p>
            <w:pPr>
              <w:pStyle w:val="Compact"/>
              <w:jc w:val="left"/>
            </w:pPr>
            <w:r>
              <w:t xml:space="preserve">Racks / almirahs for books</w:t>
            </w:r>
          </w:p>
        </w:tc>
        <w:tc>
          <w:tcPr/>
          <w:p>
            <w:pPr>
              <w:pStyle w:val="Compact"/>
              <w:jc w:val="left"/>
            </w:pPr>
            <w:r>
              <w:t xml:space="preserve">61.8%</w:t>
            </w:r>
          </w:p>
        </w:tc>
        <w:tc>
          <w:tcPr/>
          <w:p>
            <w:pPr>
              <w:pStyle w:val="Compact"/>
              <w:jc w:val="left"/>
            </w:pPr>
            <w:r>
              <w:t xml:space="preserve">38.2%</w:t>
            </w:r>
          </w:p>
        </w:tc>
      </w:tr>
      <w:tr>
        <w:tc>
          <w:tcPr/>
          <w:p>
            <w:pPr>
              <w:pStyle w:val="Compact"/>
              <w:jc w:val="left"/>
            </w:pPr>
            <w:r>
              <w:t xml:space="preserve">Reading tables</w:t>
            </w:r>
          </w:p>
        </w:tc>
        <w:tc>
          <w:tcPr/>
          <w:p>
            <w:pPr>
              <w:pStyle w:val="Compact"/>
              <w:jc w:val="left"/>
            </w:pPr>
            <w:r>
              <w:t xml:space="preserve">32.1%</w:t>
            </w:r>
          </w:p>
        </w:tc>
        <w:tc>
          <w:tcPr/>
          <w:p>
            <w:pPr>
              <w:pStyle w:val="Compact"/>
              <w:jc w:val="left"/>
            </w:pPr>
            <w:r>
              <w:t xml:space="preserve">67.9%</w:t>
            </w:r>
          </w:p>
        </w:tc>
      </w:tr>
      <w:tr>
        <w:tc>
          <w:tcPr/>
          <w:p>
            <w:pPr>
              <w:pStyle w:val="Compact"/>
              <w:jc w:val="left"/>
            </w:pPr>
            <w:r>
              <w:t xml:space="preserve">Seating (chairs / benches)</w:t>
            </w:r>
          </w:p>
        </w:tc>
        <w:tc>
          <w:tcPr/>
          <w:p>
            <w:pPr>
              <w:pStyle w:val="Compact"/>
              <w:jc w:val="left"/>
            </w:pPr>
            <w:r>
              <w:t xml:space="preserve">35.4%</w:t>
            </w:r>
          </w:p>
        </w:tc>
        <w:tc>
          <w:tcPr/>
          <w:p>
            <w:pPr>
              <w:pStyle w:val="Compact"/>
              <w:jc w:val="left"/>
            </w:pPr>
            <w:r>
              <w:t xml:space="preserve">64.6%</w:t>
            </w:r>
          </w:p>
        </w:tc>
      </w:tr>
      <w:tr>
        <w:tc>
          <w:tcPr/>
          <w:p>
            <w:pPr>
              <w:pStyle w:val="Compact"/>
              <w:jc w:val="left"/>
            </w:pPr>
            <w:r>
              <w:t xml:space="preserve">Display racks</w:t>
            </w:r>
          </w:p>
        </w:tc>
        <w:tc>
          <w:tcPr/>
          <w:p>
            <w:pPr>
              <w:pStyle w:val="Compact"/>
              <w:jc w:val="left"/>
            </w:pPr>
            <w:r>
              <w:t xml:space="preserve">26.4%</w:t>
            </w:r>
          </w:p>
        </w:tc>
        <w:tc>
          <w:tcPr/>
          <w:p>
            <w:pPr>
              <w:pStyle w:val="Compact"/>
              <w:jc w:val="left"/>
            </w:pPr>
            <w:r>
              <w:t xml:space="preserve">73.6%</w:t>
            </w:r>
          </w:p>
        </w:tc>
      </w:tr>
    </w:tbl>
    <w:p>
      <w:pPr>
        <w:pStyle w:val="BodyText"/>
      </w:pPr>
      <w:r>
        <w:rPr>
          <w:iCs/>
          <w:i/>
        </w:rPr>
        <w:t xml:space="preserve">Table 4: Furniture Availability (Survey, N = 5,597)</w:t>
      </w:r>
    </w:p>
    <w:p>
      <w:pPr>
        <w:pStyle w:val="BodyText"/>
      </w:pPr>
      <w:r>
        <w:t xml:space="preserve">Most schools have basic storage (61.8%), but over two-thirds have no reading tables (67.9%) and no proper seating (64.6%). Children in these schools may borrow a book, but they cannot sit and read in the library. Display racks, which show new arrivals and featured books, are missing in nearly three-quarters of schools (73.6%).</w:t>
      </w:r>
    </w:p>
    <w:p>
      <w:pPr>
        <w:pStyle w:val="BodyText"/>
      </w:pPr>
      <w:r>
        <w:rPr>
          <w:bCs/>
          <w:b/>
        </w:rPr>
        <w:t xml:space="preserve">3. Digital Equipment</w:t>
      </w:r>
    </w:p>
    <w:p>
      <w:pPr>
        <w:pStyle w:val="BodyText"/>
      </w:pPr>
      <w:r>
        <w:t xml:space="preserve">NEP 2020 speaks of libraries using digital tools, but Karnataka’s government school libraries have almost none (Table 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Functional</w:t>
            </w:r>
          </w:p>
        </w:tc>
        <w:tc>
          <w:tcPr/>
          <w:p>
            <w:pPr>
              <w:pStyle w:val="Compact"/>
              <w:jc w:val="left"/>
            </w:pPr>
            <w:r>
              <w:t xml:space="preserve">Non-functional</w:t>
            </w:r>
          </w:p>
        </w:tc>
        <w:tc>
          <w:tcPr/>
          <w:p>
            <w:pPr>
              <w:pStyle w:val="Compact"/>
              <w:jc w:val="left"/>
            </w:pPr>
            <w:r>
              <w:t xml:space="preserve">Not Available</w:t>
            </w:r>
          </w:p>
        </w:tc>
      </w:tr>
      <w:tr>
        <w:tc>
          <w:tcPr/>
          <w:p>
            <w:pPr>
              <w:pStyle w:val="Compact"/>
              <w:jc w:val="left"/>
            </w:pPr>
            <w:r>
              <w:t xml:space="preserve">Desktop computer</w:t>
            </w:r>
          </w:p>
        </w:tc>
        <w:tc>
          <w:tcPr/>
          <w:p>
            <w:pPr>
              <w:pStyle w:val="Compact"/>
              <w:jc w:val="left"/>
            </w:pPr>
            <w:r>
              <w:t xml:space="preserve">18.2%</w:t>
            </w:r>
          </w:p>
        </w:tc>
        <w:tc>
          <w:tcPr/>
          <w:p>
            <w:pPr>
              <w:pStyle w:val="Compact"/>
              <w:jc w:val="left"/>
            </w:pPr>
            <w:r>
              <w:t xml:space="preserve">8.1%</w:t>
            </w:r>
          </w:p>
        </w:tc>
        <w:tc>
          <w:tcPr/>
          <w:p>
            <w:pPr>
              <w:pStyle w:val="Compact"/>
              <w:jc w:val="left"/>
            </w:pPr>
            <w:r>
              <w:t xml:space="preserve">73.7%</w:t>
            </w:r>
          </w:p>
        </w:tc>
      </w:tr>
      <w:tr>
        <w:tc>
          <w:tcPr/>
          <w:p>
            <w:pPr>
              <w:pStyle w:val="Compact"/>
              <w:jc w:val="left"/>
            </w:pPr>
            <w:r>
              <w:t xml:space="preserve">Laptop</w:t>
            </w:r>
          </w:p>
        </w:tc>
        <w:tc>
          <w:tcPr/>
          <w:p>
            <w:pPr>
              <w:pStyle w:val="Compact"/>
              <w:jc w:val="left"/>
            </w:pPr>
            <w:r>
              <w:t xml:space="preserve">11.7%</w:t>
            </w:r>
          </w:p>
        </w:tc>
        <w:tc>
          <w:tcPr/>
          <w:p>
            <w:pPr>
              <w:pStyle w:val="Compact"/>
              <w:jc w:val="left"/>
            </w:pPr>
            <w:r>
              <w:t xml:space="preserve">2.0%</w:t>
            </w:r>
          </w:p>
        </w:tc>
        <w:tc>
          <w:tcPr/>
          <w:p>
            <w:pPr>
              <w:pStyle w:val="Compact"/>
              <w:jc w:val="left"/>
            </w:pPr>
            <w:r>
              <w:t xml:space="preserve">86.3%</w:t>
            </w:r>
          </w:p>
        </w:tc>
      </w:tr>
      <w:tr>
        <w:tc>
          <w:tcPr/>
          <w:p>
            <w:pPr>
              <w:pStyle w:val="Compact"/>
              <w:jc w:val="left"/>
            </w:pPr>
            <w:r>
              <w:t xml:space="preserve">Tablet</w:t>
            </w:r>
          </w:p>
        </w:tc>
        <w:tc>
          <w:tcPr/>
          <w:p>
            <w:pPr>
              <w:pStyle w:val="Compact"/>
              <w:jc w:val="left"/>
            </w:pPr>
            <w:r>
              <w:t xml:space="preserve">5.4%</w:t>
            </w:r>
          </w:p>
        </w:tc>
        <w:tc>
          <w:tcPr/>
          <w:p>
            <w:pPr>
              <w:pStyle w:val="Compact"/>
              <w:jc w:val="left"/>
            </w:pPr>
            <w:r>
              <w:t xml:space="preserve">1.8%</w:t>
            </w:r>
          </w:p>
        </w:tc>
        <w:tc>
          <w:tcPr/>
          <w:p>
            <w:pPr>
              <w:pStyle w:val="Compact"/>
              <w:jc w:val="left"/>
            </w:pPr>
            <w:r>
              <w:t xml:space="preserve">92.8%</w:t>
            </w:r>
          </w:p>
        </w:tc>
      </w:tr>
      <w:tr>
        <w:tc>
          <w:tcPr/>
          <w:p>
            <w:pPr>
              <w:pStyle w:val="Compact"/>
              <w:jc w:val="left"/>
            </w:pPr>
            <w:r>
              <w:t xml:space="preserve">Projector</w:t>
            </w:r>
          </w:p>
        </w:tc>
        <w:tc>
          <w:tcPr/>
          <w:p>
            <w:pPr>
              <w:pStyle w:val="Compact"/>
              <w:jc w:val="left"/>
            </w:pPr>
            <w:r>
              <w:t xml:space="preserve">19.4%</w:t>
            </w:r>
          </w:p>
        </w:tc>
        <w:tc>
          <w:tcPr/>
          <w:p>
            <w:pPr>
              <w:pStyle w:val="Compact"/>
              <w:jc w:val="left"/>
            </w:pPr>
            <w:r>
              <w:t xml:space="preserve">5.5%</w:t>
            </w:r>
          </w:p>
        </w:tc>
        <w:tc>
          <w:tcPr/>
          <w:p>
            <w:pPr>
              <w:pStyle w:val="Compact"/>
              <w:jc w:val="left"/>
            </w:pPr>
            <w:r>
              <w:t xml:space="preserve">75.2%</w:t>
            </w:r>
          </w:p>
        </w:tc>
      </w:tr>
      <w:tr>
        <w:tc>
          <w:tcPr/>
          <w:p>
            <w:pPr>
              <w:pStyle w:val="Compact"/>
              <w:jc w:val="left"/>
            </w:pPr>
            <w:r>
              <w:t xml:space="preserve">TV / Smart TV</w:t>
            </w:r>
          </w:p>
        </w:tc>
        <w:tc>
          <w:tcPr/>
          <w:p>
            <w:pPr>
              <w:pStyle w:val="Compact"/>
              <w:jc w:val="left"/>
            </w:pPr>
            <w:r>
              <w:t xml:space="preserve">28.3%</w:t>
            </w:r>
          </w:p>
        </w:tc>
        <w:tc>
          <w:tcPr/>
          <w:p>
            <w:pPr>
              <w:pStyle w:val="Compact"/>
              <w:jc w:val="left"/>
            </w:pPr>
            <w:r>
              <w:t xml:space="preserve">3.7%</w:t>
            </w:r>
          </w:p>
        </w:tc>
        <w:tc>
          <w:tcPr/>
          <w:p>
            <w:pPr>
              <w:pStyle w:val="Compact"/>
              <w:jc w:val="left"/>
            </w:pPr>
            <w:r>
              <w:t xml:space="preserve">68.0%</w:t>
            </w:r>
          </w:p>
        </w:tc>
      </w:tr>
      <w:tr>
        <w:tc>
          <w:tcPr/>
          <w:p>
            <w:pPr>
              <w:pStyle w:val="Compact"/>
              <w:jc w:val="left"/>
            </w:pPr>
            <w:r>
              <w:t xml:space="preserve">Speaker</w:t>
            </w:r>
          </w:p>
        </w:tc>
        <w:tc>
          <w:tcPr/>
          <w:p>
            <w:pPr>
              <w:pStyle w:val="Compact"/>
              <w:jc w:val="left"/>
            </w:pPr>
            <w:r>
              <w:t xml:space="preserve">25.1%</w:t>
            </w:r>
          </w:p>
        </w:tc>
        <w:tc>
          <w:tcPr/>
          <w:p>
            <w:pPr>
              <w:pStyle w:val="Compact"/>
              <w:jc w:val="left"/>
            </w:pPr>
            <w:r>
              <w:t xml:space="preserve">2.3%</w:t>
            </w:r>
          </w:p>
        </w:tc>
        <w:tc>
          <w:tcPr/>
          <w:p>
            <w:pPr>
              <w:pStyle w:val="Compact"/>
              <w:jc w:val="left"/>
            </w:pPr>
            <w:r>
              <w:t xml:space="preserve">72.5%</w:t>
            </w:r>
          </w:p>
        </w:tc>
      </w:tr>
      <w:tr>
        <w:tc>
          <w:tcPr/>
          <w:p>
            <w:pPr>
              <w:pStyle w:val="Compact"/>
              <w:jc w:val="left"/>
            </w:pPr>
            <w:r>
              <w:t xml:space="preserve">Printer</w:t>
            </w:r>
          </w:p>
        </w:tc>
        <w:tc>
          <w:tcPr/>
          <w:p>
            <w:pPr>
              <w:pStyle w:val="Compact"/>
              <w:jc w:val="left"/>
            </w:pPr>
            <w:r>
              <w:t xml:space="preserve">28.0%</w:t>
            </w:r>
          </w:p>
        </w:tc>
        <w:tc>
          <w:tcPr/>
          <w:p>
            <w:pPr>
              <w:pStyle w:val="Compact"/>
              <w:jc w:val="left"/>
            </w:pPr>
            <w:r>
              <w:t xml:space="preserve">2.7%</w:t>
            </w:r>
          </w:p>
        </w:tc>
        <w:tc>
          <w:tcPr/>
          <w:p>
            <w:pPr>
              <w:pStyle w:val="Compact"/>
              <w:jc w:val="left"/>
            </w:pPr>
            <w:r>
              <w:t xml:space="preserve">69.4%</w:t>
            </w:r>
          </w:p>
        </w:tc>
      </w:tr>
    </w:tbl>
    <w:p>
      <w:pPr>
        <w:pStyle w:val="BodyText"/>
      </w:pPr>
      <w:r>
        <w:rPr>
          <w:iCs/>
          <w:i/>
        </w:rPr>
        <w:t xml:space="preserve">Table 5: Digital Equipment Availability and Status (Survey, N = 5,597)</w:t>
      </w:r>
    </w:p>
    <w:p>
      <w:pPr>
        <w:pStyle w:val="BodyText"/>
      </w:pPr>
      <w:r>
        <w:rPr>
          <w:iCs/>
          <w:i/>
        </w:rPr>
        <w:t xml:space="preserve">[Figure 3: Digital Equipment Availability in School Libraries]</w:t>
      </w:r>
    </w:p>
    <w:p>
      <w:pPr>
        <w:pStyle w:val="BodyText"/>
      </w:pPr>
      <w:r>
        <w:t xml:space="preserve">Nearly three-quarters of schools (73.7%) have no desktop computer. Laptops are absent in 86.3% of schools and tablets in 92.8%. Even projectors and televisions, which could support multimedia learning, are missing in over two-thirds of schools.</w:t>
      </w:r>
    </w:p>
    <w:bookmarkEnd w:id="32"/>
    <w:bookmarkStart w:id="33" w:name="book-collections"/>
    <w:p>
      <w:pPr>
        <w:pStyle w:val="Heading3"/>
      </w:pPr>
      <w:r>
        <w:t xml:space="preserve">10.3 Book Collections</w:t>
      </w:r>
    </w:p>
    <w:p>
      <w:pPr>
        <w:pStyle w:val="FirstParagraph"/>
      </w:pPr>
      <w:r>
        <w:t xml:space="preserve">The number of books decides whether a library can meet the varied needs and interests of its children. International standards recommend collections in proportion to enrolment, because a small collection limits browsing and cannot serve different reading levels and interests (Table 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Collection Size</w:t>
            </w:r>
          </w:p>
        </w:tc>
        <w:tc>
          <w:tcPr/>
          <w:p>
            <w:pPr>
              <w:pStyle w:val="Compact"/>
              <w:jc w:val="left"/>
            </w:pPr>
            <w:r>
              <w:t xml:space="preserve">Number of Schools</w:t>
            </w:r>
          </w:p>
        </w:tc>
        <w:tc>
          <w:tcPr/>
          <w:p>
            <w:pPr>
              <w:pStyle w:val="Compact"/>
              <w:jc w:val="left"/>
            </w:pPr>
            <w:r>
              <w:t xml:space="preserve">Percentage</w:t>
            </w:r>
          </w:p>
        </w:tc>
        <w:tc>
          <w:tcPr/>
          <w:p>
            <w:pPr>
              <w:pStyle w:val="Compact"/>
              <w:jc w:val="left"/>
            </w:pPr>
            <w:r>
              <w:t xml:space="preserve">Assessment</w:t>
            </w:r>
          </w:p>
        </w:tc>
      </w:tr>
      <w:tr>
        <w:tc>
          <w:tcPr/>
          <w:p>
            <w:pPr>
              <w:pStyle w:val="Compact"/>
              <w:jc w:val="left"/>
            </w:pPr>
            <w:r>
              <w:t xml:space="preserve">More than 1,000 books</w:t>
            </w:r>
          </w:p>
        </w:tc>
        <w:tc>
          <w:tcPr/>
          <w:p>
            <w:pPr>
              <w:pStyle w:val="Compact"/>
              <w:jc w:val="left"/>
            </w:pPr>
            <w:r>
              <w:t xml:space="preserve">1,555</w:t>
            </w:r>
          </w:p>
        </w:tc>
        <w:tc>
          <w:tcPr/>
          <w:p>
            <w:pPr>
              <w:pStyle w:val="Compact"/>
              <w:jc w:val="left"/>
            </w:pPr>
            <w:r>
              <w:t xml:space="preserve">27.8%</w:t>
            </w:r>
          </w:p>
        </w:tc>
        <w:tc>
          <w:tcPr/>
          <w:p>
            <w:pPr>
              <w:pStyle w:val="Compact"/>
              <w:jc w:val="left"/>
            </w:pPr>
            <w:r>
              <w:t xml:space="preserve">Well-resourced</w:t>
            </w:r>
          </w:p>
        </w:tc>
      </w:tr>
      <w:tr>
        <w:tc>
          <w:tcPr/>
          <w:p>
            <w:pPr>
              <w:pStyle w:val="Compact"/>
              <w:jc w:val="left"/>
            </w:pPr>
            <w:r>
              <w:t xml:space="preserve">500–1,000 books</w:t>
            </w:r>
          </w:p>
        </w:tc>
        <w:tc>
          <w:tcPr/>
          <w:p>
            <w:pPr>
              <w:pStyle w:val="Compact"/>
              <w:jc w:val="left"/>
            </w:pPr>
            <w:r>
              <w:t xml:space="preserve">1,041</w:t>
            </w:r>
          </w:p>
        </w:tc>
        <w:tc>
          <w:tcPr/>
          <w:p>
            <w:pPr>
              <w:pStyle w:val="Compact"/>
              <w:jc w:val="left"/>
            </w:pPr>
            <w:r>
              <w:t xml:space="preserve">18.6%</w:t>
            </w:r>
          </w:p>
        </w:tc>
        <w:tc>
          <w:tcPr/>
          <w:p>
            <w:pPr>
              <w:pStyle w:val="Compact"/>
              <w:jc w:val="left"/>
            </w:pPr>
            <w:r>
              <w:t xml:space="preserve">Adequate</w:t>
            </w:r>
          </w:p>
        </w:tc>
      </w:tr>
      <w:tr>
        <w:tc>
          <w:tcPr/>
          <w:p>
            <w:pPr>
              <w:pStyle w:val="Compact"/>
              <w:jc w:val="left"/>
            </w:pPr>
            <w:r>
              <w:t xml:space="preserve">200–500 books</w:t>
            </w:r>
          </w:p>
        </w:tc>
        <w:tc>
          <w:tcPr/>
          <w:p>
            <w:pPr>
              <w:pStyle w:val="Compact"/>
              <w:jc w:val="left"/>
            </w:pPr>
            <w:r>
              <w:t xml:space="preserve">1,306</w:t>
            </w:r>
          </w:p>
        </w:tc>
        <w:tc>
          <w:tcPr/>
          <w:p>
            <w:pPr>
              <w:pStyle w:val="Compact"/>
              <w:jc w:val="left"/>
            </w:pPr>
            <w:r>
              <w:t xml:space="preserve">23.3%</w:t>
            </w:r>
          </w:p>
        </w:tc>
        <w:tc>
          <w:tcPr/>
          <w:p>
            <w:pPr>
              <w:pStyle w:val="Compact"/>
              <w:jc w:val="left"/>
            </w:pPr>
            <w:r>
              <w:t xml:space="preserve">Marginal</w:t>
            </w:r>
          </w:p>
        </w:tc>
      </w:tr>
      <w:tr>
        <w:tc>
          <w:tcPr/>
          <w:p>
            <w:pPr>
              <w:pStyle w:val="Compact"/>
              <w:jc w:val="left"/>
            </w:pPr>
            <w:r>
              <w:t xml:space="preserve">100–200 books</w:t>
            </w:r>
          </w:p>
        </w:tc>
        <w:tc>
          <w:tcPr/>
          <w:p>
            <w:pPr>
              <w:pStyle w:val="Compact"/>
              <w:jc w:val="left"/>
            </w:pPr>
            <w:r>
              <w:t xml:space="preserve">991</w:t>
            </w:r>
          </w:p>
        </w:tc>
        <w:tc>
          <w:tcPr/>
          <w:p>
            <w:pPr>
              <w:pStyle w:val="Compact"/>
              <w:jc w:val="left"/>
            </w:pPr>
            <w:r>
              <w:t xml:space="preserve">17.7%</w:t>
            </w:r>
          </w:p>
        </w:tc>
        <w:tc>
          <w:tcPr/>
          <w:p>
            <w:pPr>
              <w:pStyle w:val="Compact"/>
              <w:jc w:val="left"/>
            </w:pPr>
            <w:r>
              <w:t xml:space="preserve">Inadequate</w:t>
            </w:r>
          </w:p>
        </w:tc>
      </w:tr>
      <w:tr>
        <w:tc>
          <w:tcPr/>
          <w:p>
            <w:pPr>
              <w:pStyle w:val="Compact"/>
              <w:jc w:val="left"/>
            </w:pPr>
            <w:r>
              <w:t xml:space="preserve">Fewer than 100 books</w:t>
            </w:r>
          </w:p>
        </w:tc>
        <w:tc>
          <w:tcPr/>
          <w:p>
            <w:pPr>
              <w:pStyle w:val="Compact"/>
              <w:jc w:val="left"/>
            </w:pPr>
            <w:r>
              <w:t xml:space="preserve">617</w:t>
            </w:r>
          </w:p>
        </w:tc>
        <w:tc>
          <w:tcPr/>
          <w:p>
            <w:pPr>
              <w:pStyle w:val="Compact"/>
              <w:jc w:val="left"/>
            </w:pPr>
            <w:r>
              <w:t xml:space="preserve">11.0%</w:t>
            </w:r>
          </w:p>
        </w:tc>
        <w:tc>
          <w:tcPr/>
          <w:p>
            <w:pPr>
              <w:pStyle w:val="Compact"/>
              <w:jc w:val="left"/>
            </w:pPr>
            <w:r>
              <w:t xml:space="preserve">Severely inadequate</w:t>
            </w:r>
          </w:p>
        </w:tc>
      </w:tr>
      <w:tr>
        <w:tc>
          <w:tcPr/>
          <w:p>
            <w:pPr>
              <w:pStyle w:val="Compact"/>
              <w:jc w:val="left"/>
            </w:pPr>
            <w:r>
              <w:t xml:space="preserve">Not maintained / unknown</w:t>
            </w:r>
          </w:p>
        </w:tc>
        <w:tc>
          <w:tcPr/>
          <w:p>
            <w:pPr>
              <w:pStyle w:val="Compact"/>
              <w:jc w:val="left"/>
            </w:pPr>
            <w:r>
              <w:t xml:space="preserve">87</w:t>
            </w:r>
          </w:p>
        </w:tc>
        <w:tc>
          <w:tcPr/>
          <w:p>
            <w:pPr>
              <w:pStyle w:val="Compact"/>
              <w:jc w:val="left"/>
            </w:pPr>
            <w:r>
              <w:t xml:space="preserve">1.6%</w:t>
            </w:r>
          </w:p>
        </w:tc>
        <w:tc>
          <w:tcPr/>
          <w:p>
            <w:pPr>
              <w:pStyle w:val="Compact"/>
              <w:jc w:val="left"/>
            </w:pPr>
            <w:r>
              <w:t xml:space="preserve">Non-functional</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c>
          <w:tcPr/>
          <w:p>
            <w:pPr>
              <w:pStyle w:val="Compact"/>
            </w:pPr>
          </w:p>
        </w:tc>
      </w:tr>
    </w:tbl>
    <w:p>
      <w:pPr>
        <w:pStyle w:val="BodyText"/>
      </w:pPr>
      <w:r>
        <w:rPr>
          <w:iCs/>
          <w:i/>
        </w:rPr>
        <w:t xml:space="preserve">Table 6: Book Collection Size (Survey, N = 5,597)</w:t>
      </w:r>
    </w:p>
    <w:p>
      <w:pPr>
        <w:pStyle w:val="BodyText"/>
      </w:pPr>
      <w:r>
        <w:rPr>
          <w:iCs/>
          <w:i/>
        </w:rPr>
        <w:t xml:space="preserve">[Figure 4: Book Collection Size Distribution]</w:t>
      </w:r>
    </w:p>
    <w:p>
      <w:pPr>
        <w:pStyle w:val="BodyText"/>
      </w:pPr>
      <w:r>
        <w:t xml:space="preserve">Only 27.8% of schools have more than 1,000 books, usually regarded as the minimum for varied student needs. Another 18.6% have 500–1,000 books, which may serve a small school but offers limited choice.</w:t>
      </w:r>
    </w:p>
    <w:p>
      <w:pPr>
        <w:pStyle w:val="BodyText"/>
      </w:pPr>
      <w:r>
        <w:t xml:space="preserve">More than a quarter of schools (28.7%) have fewer than 200 books: 17.7% have 100–200, and 11.0% have fewer than 100. In schools with 100–300 students, such collections offer about one book per child or less, far below any professional standard. They cannot serve different reading levels, subject interests or reading for pleasure.</w:t>
      </w:r>
    </w:p>
    <w:p>
      <w:pPr>
        <w:pStyle w:val="BodyText"/>
      </w:pPr>
      <w:r>
        <w:rPr>
          <w:bCs/>
          <w:b/>
        </w:rPr>
        <w:t xml:space="preserve">1. Organisation and Classification of Books</w:t>
      </w:r>
    </w:p>
    <w:p>
      <w:pPr>
        <w:pStyle w:val="BodyText"/>
      </w:pPr>
      <w:r>
        <w:t xml:space="preserve">How books are arranged decides whether children and teachers can find them on their own. In a disorganised collection, every child needs an adult to find a book (Table 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By reading level / age</w:t>
            </w:r>
          </w:p>
        </w:tc>
        <w:tc>
          <w:tcPr/>
          <w:p>
            <w:pPr>
              <w:pStyle w:val="Compact"/>
              <w:jc w:val="left"/>
            </w:pPr>
            <w:r>
              <w:t xml:space="preserve">2,571</w:t>
            </w:r>
          </w:p>
        </w:tc>
        <w:tc>
          <w:tcPr/>
          <w:p>
            <w:pPr>
              <w:pStyle w:val="Compact"/>
              <w:jc w:val="left"/>
            </w:pPr>
            <w:r>
              <w:t xml:space="preserve">45.9%</w:t>
            </w:r>
          </w:p>
        </w:tc>
      </w:tr>
      <w:tr>
        <w:tc>
          <w:tcPr/>
          <w:p>
            <w:pPr>
              <w:pStyle w:val="Compact"/>
              <w:jc w:val="left"/>
            </w:pPr>
            <w:r>
              <w:t xml:space="preserve">By subject</w:t>
            </w:r>
          </w:p>
        </w:tc>
        <w:tc>
          <w:tcPr/>
          <w:p>
            <w:pPr>
              <w:pStyle w:val="Compact"/>
              <w:jc w:val="left"/>
            </w:pPr>
            <w:r>
              <w:t xml:space="preserve">1,024</w:t>
            </w:r>
          </w:p>
        </w:tc>
        <w:tc>
          <w:tcPr/>
          <w:p>
            <w:pPr>
              <w:pStyle w:val="Compact"/>
              <w:jc w:val="left"/>
            </w:pPr>
            <w:r>
              <w:t xml:space="preserve">18.3%</w:t>
            </w:r>
          </w:p>
        </w:tc>
      </w:tr>
      <w:tr>
        <w:tc>
          <w:tcPr/>
          <w:p>
            <w:pPr>
              <w:pStyle w:val="Compact"/>
              <w:jc w:val="left"/>
            </w:pPr>
            <w:r>
              <w:t xml:space="preserve">By class / grade</w:t>
            </w:r>
          </w:p>
        </w:tc>
        <w:tc>
          <w:tcPr/>
          <w:p>
            <w:pPr>
              <w:pStyle w:val="Compact"/>
              <w:jc w:val="left"/>
            </w:pPr>
            <w:r>
              <w:t xml:space="preserve">605</w:t>
            </w:r>
          </w:p>
        </w:tc>
        <w:tc>
          <w:tcPr/>
          <w:p>
            <w:pPr>
              <w:pStyle w:val="Compact"/>
              <w:jc w:val="left"/>
            </w:pPr>
            <w:r>
              <w:t xml:space="preserve">10.8%</w:t>
            </w:r>
          </w:p>
        </w:tc>
      </w:tr>
      <w:tr>
        <w:tc>
          <w:tcPr/>
          <w:p>
            <w:pPr>
              <w:pStyle w:val="Compact"/>
              <w:jc w:val="left"/>
            </w:pPr>
            <w:r>
              <w:t xml:space="preserve">Not arranged / random</w:t>
            </w:r>
          </w:p>
        </w:tc>
        <w:tc>
          <w:tcPr/>
          <w:p>
            <w:pPr>
              <w:pStyle w:val="Compact"/>
              <w:jc w:val="left"/>
            </w:pPr>
            <w:r>
              <w:t xml:space="preserve">773</w:t>
            </w:r>
          </w:p>
        </w:tc>
        <w:tc>
          <w:tcPr/>
          <w:p>
            <w:pPr>
              <w:pStyle w:val="Compact"/>
              <w:jc w:val="left"/>
            </w:pPr>
            <w:r>
              <w:t xml:space="preserve">13.8%</w:t>
            </w:r>
          </w:p>
        </w:tc>
      </w:tr>
      <w:tr>
        <w:tc>
          <w:tcPr/>
          <w:p>
            <w:pPr>
              <w:pStyle w:val="Compact"/>
              <w:jc w:val="left"/>
            </w:pPr>
            <w:r>
              <w:t xml:space="preserve">Other methods</w:t>
            </w:r>
          </w:p>
        </w:tc>
        <w:tc>
          <w:tcPr/>
          <w:p>
            <w:pPr>
              <w:pStyle w:val="Compact"/>
              <w:jc w:val="left"/>
            </w:pPr>
            <w:r>
              <w:t xml:space="preserve">624</w:t>
            </w:r>
          </w:p>
        </w:tc>
        <w:tc>
          <w:tcPr/>
          <w:p>
            <w:pPr>
              <w:pStyle w:val="Compact"/>
              <w:jc w:val="left"/>
            </w:pPr>
            <w:r>
              <w:t xml:space="preserve">11.2%</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BodyText"/>
      </w:pPr>
      <w:r>
        <w:rPr>
          <w:iCs/>
          <w:i/>
        </w:rPr>
        <w:t xml:space="preserve">Table 7: Methods of Organising Books (Survey, N = 5,597)</w:t>
      </w:r>
    </w:p>
    <w:p>
      <w:pPr>
        <w:pStyle w:val="BodyText"/>
      </w:pPr>
      <w:r>
        <w:t xml:space="preserve">The most common method is by reading level or age (45.9%), which suits children’s development. Arrangement by subject (18.3%) and by class (10.8%) is also used. In 13.8% of schools, however, books are not arranged at all, and children cannot find them on their own. The intensive assessment found a similar picture, with 27.3% of schools having unorganised collections.</w:t>
      </w:r>
    </w:p>
    <w:p>
      <w:pPr>
        <w:pStyle w:val="BodyText"/>
      </w:pPr>
      <w:r>
        <w:rPr>
          <w:bCs/>
          <w:b/>
        </w:rPr>
        <w:t xml:space="preserve">2. Access to Books</w:t>
      </w:r>
    </w:p>
    <w:p>
      <w:pPr>
        <w:pStyle w:val="BodyText"/>
      </w:pPr>
      <w:r>
        <w:t xml:space="preserve">How children can physically reach the books shapes how they use the library (Table 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 of Access</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Openly displayed, freely accessible</w:t>
            </w:r>
          </w:p>
        </w:tc>
        <w:tc>
          <w:tcPr/>
          <w:p>
            <w:pPr>
              <w:pStyle w:val="Compact"/>
              <w:jc w:val="left"/>
            </w:pPr>
            <w:r>
              <w:t xml:space="preserve">2,992</w:t>
            </w:r>
          </w:p>
        </w:tc>
        <w:tc>
          <w:tcPr/>
          <w:p>
            <w:pPr>
              <w:pStyle w:val="Compact"/>
              <w:jc w:val="left"/>
            </w:pPr>
            <w:r>
              <w:t xml:space="preserve">53.4%</w:t>
            </w:r>
          </w:p>
        </w:tc>
      </w:tr>
      <w:tr>
        <w:tc>
          <w:tcPr/>
          <w:p>
            <w:pPr>
              <w:pStyle w:val="Compact"/>
              <w:jc w:val="left"/>
            </w:pPr>
            <w:r>
              <w:t xml:space="preserve">In closed racks but accessible</w:t>
            </w:r>
          </w:p>
        </w:tc>
        <w:tc>
          <w:tcPr/>
          <w:p>
            <w:pPr>
              <w:pStyle w:val="Compact"/>
              <w:jc w:val="left"/>
            </w:pPr>
            <w:r>
              <w:t xml:space="preserve">1,428</w:t>
            </w:r>
          </w:p>
        </w:tc>
        <w:tc>
          <w:tcPr/>
          <w:p>
            <w:pPr>
              <w:pStyle w:val="Compact"/>
              <w:jc w:val="left"/>
            </w:pPr>
            <w:r>
              <w:t xml:space="preserve">25.5%</w:t>
            </w:r>
          </w:p>
        </w:tc>
      </w:tr>
      <w:tr>
        <w:tc>
          <w:tcPr/>
          <w:p>
            <w:pPr>
              <w:pStyle w:val="Compact"/>
              <w:jc w:val="left"/>
            </w:pPr>
            <w:r>
              <w:t xml:space="preserve">Locked in almirah, teacher distributes</w:t>
            </w:r>
          </w:p>
        </w:tc>
        <w:tc>
          <w:tcPr/>
          <w:p>
            <w:pPr>
              <w:pStyle w:val="Compact"/>
              <w:jc w:val="left"/>
            </w:pPr>
            <w:r>
              <w:t xml:space="preserve">1,177</w:t>
            </w:r>
          </w:p>
        </w:tc>
        <w:tc>
          <w:tcPr/>
          <w:p>
            <w:pPr>
              <w:pStyle w:val="Compact"/>
              <w:jc w:val="left"/>
            </w:pPr>
            <w:r>
              <w:t xml:space="preserve">21.0%</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BodyText"/>
      </w:pPr>
      <w:r>
        <w:rPr>
          <w:iCs/>
          <w:i/>
        </w:rPr>
        <w:t xml:space="preserve">Table 8: Access to Books (Survey, N = 5,597)</w:t>
      </w:r>
    </w:p>
    <w:p>
      <w:pPr>
        <w:pStyle w:val="BodyText"/>
      </w:pPr>
      <w:r>
        <w:t xml:space="preserve">Just over half the schools (53.4%) display books openly so that children can browse and choose for themselves, which is the best arrangement. In one school in five (21.0%), the books stay locked in an almirah and the teacher hands them out. Here the library becomes a distribution counter rather than a space for children to explore.</w:t>
      </w:r>
    </w:p>
    <w:p>
      <w:pPr>
        <w:pStyle w:val="BodyText"/>
      </w:pPr>
      <w:r>
        <w:rPr>
          <w:bCs/>
          <w:b/>
        </w:rPr>
        <w:t xml:space="preserve">3. Languages</w:t>
      </w:r>
    </w:p>
    <w:p>
      <w:pPr>
        <w:pStyle w:val="BodyText"/>
      </w:pPr>
      <w:r>
        <w:t xml:space="preserve">In a multilingual State, the library must serve children from different language backgrounds (Table 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Languages</w:t>
            </w:r>
          </w:p>
        </w:tc>
        <w:tc>
          <w:tcPr/>
          <w:p>
            <w:pPr>
              <w:pStyle w:val="Compact"/>
              <w:jc w:val="left"/>
            </w:pPr>
            <w:r>
              <w:t xml:space="preserve">Percentage of Schools</w:t>
            </w:r>
          </w:p>
        </w:tc>
      </w:tr>
      <w:tr>
        <w:tc>
          <w:tcPr/>
          <w:p>
            <w:pPr>
              <w:pStyle w:val="Compact"/>
              <w:jc w:val="left"/>
            </w:pPr>
            <w:r>
              <w:t xml:space="preserve">Kannada and English</w:t>
            </w:r>
          </w:p>
        </w:tc>
        <w:tc>
          <w:tcPr/>
          <w:p>
            <w:pPr>
              <w:pStyle w:val="Compact"/>
              <w:jc w:val="left"/>
            </w:pPr>
            <w:r>
              <w:t xml:space="preserve">40.2%</w:t>
            </w:r>
          </w:p>
        </w:tc>
      </w:tr>
      <w:tr>
        <w:tc>
          <w:tcPr/>
          <w:p>
            <w:pPr>
              <w:pStyle w:val="Compact"/>
              <w:jc w:val="left"/>
            </w:pPr>
            <w:r>
              <w:t xml:space="preserve">Kannada only</w:t>
            </w:r>
          </w:p>
        </w:tc>
        <w:tc>
          <w:tcPr/>
          <w:p>
            <w:pPr>
              <w:pStyle w:val="Compact"/>
              <w:jc w:val="left"/>
            </w:pPr>
            <w:r>
              <w:t xml:space="preserve">24.5%</w:t>
            </w:r>
          </w:p>
        </w:tc>
      </w:tr>
      <w:tr>
        <w:tc>
          <w:tcPr/>
          <w:p>
            <w:pPr>
              <w:pStyle w:val="Compact"/>
              <w:jc w:val="left"/>
            </w:pPr>
            <w:r>
              <w:t xml:space="preserve">Kannada, English and Hindi</w:t>
            </w:r>
          </w:p>
        </w:tc>
        <w:tc>
          <w:tcPr/>
          <w:p>
            <w:pPr>
              <w:pStyle w:val="Compact"/>
              <w:jc w:val="left"/>
            </w:pPr>
            <w:r>
              <w:t xml:space="preserve">22.3%</w:t>
            </w:r>
          </w:p>
        </w:tc>
      </w:tr>
      <w:tr>
        <w:tc>
          <w:tcPr/>
          <w:p>
            <w:pPr>
              <w:pStyle w:val="Compact"/>
              <w:jc w:val="left"/>
            </w:pPr>
            <w:r>
              <w:t xml:space="preserve">All three plus Urdu</w:t>
            </w:r>
          </w:p>
        </w:tc>
        <w:tc>
          <w:tcPr/>
          <w:p>
            <w:pPr>
              <w:pStyle w:val="Compact"/>
              <w:jc w:val="left"/>
            </w:pPr>
            <w:r>
              <w:t xml:space="preserve">6.5%</w:t>
            </w:r>
          </w:p>
        </w:tc>
      </w:tr>
      <w:tr>
        <w:tc>
          <w:tcPr/>
          <w:p>
            <w:pPr>
              <w:pStyle w:val="Compact"/>
              <w:jc w:val="left"/>
            </w:pPr>
            <w:r>
              <w:t xml:space="preserve">Other combinations</w:t>
            </w:r>
          </w:p>
        </w:tc>
        <w:tc>
          <w:tcPr/>
          <w:p>
            <w:pPr>
              <w:pStyle w:val="Compact"/>
              <w:jc w:val="left"/>
            </w:pPr>
            <w:r>
              <w:t xml:space="preserve">6.5%</w:t>
            </w:r>
          </w:p>
        </w:tc>
      </w:tr>
    </w:tbl>
    <w:p>
      <w:pPr>
        <w:pStyle w:val="BodyText"/>
      </w:pPr>
      <w:r>
        <w:rPr>
          <w:iCs/>
          <w:i/>
        </w:rPr>
        <w:t xml:space="preserve">Table 9: Languages in Library Collections</w:t>
      </w:r>
    </w:p>
    <w:p>
      <w:pPr>
        <w:pStyle w:val="BodyText"/>
      </w:pPr>
      <w:r>
        <w:t xml:space="preserve">Most schools have books in Kannada and English, in line with the curriculum. But nearly a quarter have Kannada books only, which limits children’s exposure to supplementary English reading. Hindi books are present in only about half of the schools, though Hindi is taught as the third language in the higher classes. Books in minority languages such as Urdu, Marathi and Tamil are scarce, which disadvantages children from these language communities.</w:t>
      </w:r>
    </w:p>
    <w:bookmarkEnd w:id="33"/>
    <w:bookmarkStart w:id="34" w:name="library-staffing"/>
    <w:p>
      <w:pPr>
        <w:pStyle w:val="Heading3"/>
      </w:pPr>
      <w:r>
        <w:t xml:space="preserve">10.4 Library Staffing</w:t>
      </w:r>
    </w:p>
    <w:p>
      <w:pPr>
        <w:pStyle w:val="FirstParagraph"/>
      </w:pPr>
      <w:r>
        <w:t xml:space="preserve">Staffing is perhaps the single most important factor in whether a library works. International standards say a library needs dedicated staff with proper training and time.</w:t>
      </w:r>
    </w:p>
    <w:p>
      <w:pPr>
        <w:pStyle w:val="BodyText"/>
      </w:pPr>
      <w:r>
        <w:rPr>
          <w:bCs/>
          <w:b/>
        </w:rPr>
        <w:t xml:space="preserve">1. Library In-charge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Staffing Category</w:t>
            </w:r>
          </w:p>
        </w:tc>
        <w:tc>
          <w:tcPr/>
          <w:p>
            <w:pPr>
              <w:pStyle w:val="Compact"/>
              <w:jc w:val="left"/>
            </w:pPr>
            <w:r>
              <w:t xml:space="preserve">Survey (N = 5,597)</w:t>
            </w:r>
          </w:p>
        </w:tc>
      </w:tr>
      <w:tr>
        <w:tc>
          <w:tcPr/>
          <w:p>
            <w:pPr>
              <w:pStyle w:val="Compact"/>
              <w:jc w:val="left"/>
            </w:pPr>
            <w:r>
              <w:t xml:space="preserve">Teacher with additional charge</w:t>
            </w:r>
          </w:p>
        </w:tc>
        <w:tc>
          <w:tcPr/>
          <w:p>
            <w:pPr>
              <w:pStyle w:val="Compact"/>
              <w:jc w:val="left"/>
            </w:pPr>
            <w:r>
              <w:t xml:space="preserve">54.8%</w:t>
            </w:r>
          </w:p>
        </w:tc>
      </w:tr>
      <w:tr>
        <w:tc>
          <w:tcPr/>
          <w:p>
            <w:pPr>
              <w:pStyle w:val="Compact"/>
              <w:jc w:val="left"/>
            </w:pPr>
            <w:r>
              <w:t xml:space="preserve">No library in-charge</w:t>
            </w:r>
          </w:p>
        </w:tc>
        <w:tc>
          <w:tcPr/>
          <w:p>
            <w:pPr>
              <w:pStyle w:val="Compact"/>
              <w:jc w:val="left"/>
            </w:pPr>
            <w:r>
              <w:t xml:space="preserve">41.1%</w:t>
            </w:r>
          </w:p>
        </w:tc>
      </w:tr>
      <w:tr>
        <w:tc>
          <w:tcPr/>
          <w:p>
            <w:pPr>
              <w:pStyle w:val="Compact"/>
              <w:jc w:val="left"/>
            </w:pPr>
            <w:r>
              <w:t xml:space="preserve">Full-time unqualified staff</w:t>
            </w:r>
          </w:p>
        </w:tc>
        <w:tc>
          <w:tcPr/>
          <w:p>
            <w:pPr>
              <w:pStyle w:val="Compact"/>
              <w:jc w:val="left"/>
            </w:pPr>
            <w:r>
              <w:t xml:space="preserve">4.1%</w:t>
            </w:r>
          </w:p>
        </w:tc>
      </w:tr>
    </w:tbl>
    <w:p>
      <w:pPr>
        <w:pStyle w:val="BodyText"/>
      </w:pPr>
      <w:r>
        <w:rPr>
          <w:iCs/>
          <w:i/>
        </w:rPr>
        <w:t xml:space="preserve">Table 10: Library Staffing</w:t>
      </w:r>
    </w:p>
    <w:p>
      <w:pPr>
        <w:pStyle w:val="BodyText"/>
      </w:pPr>
      <w:r>
        <w:t xml:space="preserve">Staffing is in crisis. Only 4.1% of schools have full-time staff whose main duty is the library, and even they are unqualified. In most schools, a teacher runs the library on top of classroom teaching, and in 41.1% no one is in charge at all.</w:t>
      </w:r>
    </w:p>
    <w:p>
      <w:pPr>
        <w:pStyle w:val="BodyText"/>
      </w:pPr>
      <w:r>
        <w:rPr>
          <w:bCs/>
          <w:b/>
        </w:rPr>
        <w:t xml:space="preserve">2. Training of Library In-charge Staff</w:t>
      </w:r>
    </w:p>
    <w:p>
      <w:pPr>
        <w:pStyle w:val="BodyText"/>
      </w:pPr>
      <w:r>
        <w:t xml:space="preserve">The most serious finding of this study is that those responsible for libraries have almost no training (Table 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Training Status</w:t>
            </w:r>
          </w:p>
        </w:tc>
        <w:tc>
          <w:tcPr/>
          <w:p>
            <w:pPr>
              <w:pStyle w:val="Compact"/>
              <w:jc w:val="left"/>
            </w:pPr>
            <w:r>
              <w:t xml:space="preserve">Survey (Headmasters), N = 5,597</w:t>
            </w:r>
          </w:p>
        </w:tc>
      </w:tr>
      <w:tr>
        <w:tc>
          <w:tcPr/>
          <w:p>
            <w:pPr>
              <w:pStyle w:val="Compact"/>
              <w:jc w:val="left"/>
            </w:pPr>
            <w:r>
              <w:t xml:space="preserve">No training received</w:t>
            </w:r>
          </w:p>
        </w:tc>
        <w:tc>
          <w:tcPr/>
          <w:p>
            <w:pPr>
              <w:pStyle w:val="Compact"/>
              <w:jc w:val="left"/>
            </w:pPr>
            <w:r>
              <w:t xml:space="preserve">80.2%</w:t>
            </w:r>
          </w:p>
        </w:tc>
      </w:tr>
      <w:tr>
        <w:tc>
          <w:tcPr/>
          <w:p>
            <w:pPr>
              <w:pStyle w:val="Compact"/>
              <w:jc w:val="left"/>
            </w:pPr>
            <w:r>
              <w:t xml:space="preserve">Department training</w:t>
            </w:r>
          </w:p>
        </w:tc>
        <w:tc>
          <w:tcPr/>
          <w:p>
            <w:pPr>
              <w:pStyle w:val="Compact"/>
              <w:jc w:val="left"/>
            </w:pPr>
            <w:r>
              <w:t xml:space="preserve">12.1%</w:t>
            </w:r>
          </w:p>
        </w:tc>
      </w:tr>
      <w:tr>
        <w:tc>
          <w:tcPr/>
          <w:p>
            <w:pPr>
              <w:pStyle w:val="Compact"/>
              <w:jc w:val="left"/>
            </w:pPr>
            <w:r>
              <w:t xml:space="preserve">NGO training</w:t>
            </w:r>
          </w:p>
        </w:tc>
        <w:tc>
          <w:tcPr/>
          <w:p>
            <w:pPr>
              <w:pStyle w:val="Compact"/>
              <w:jc w:val="left"/>
            </w:pPr>
            <w:r>
              <w:t xml:space="preserve">1.6%</w:t>
            </w:r>
          </w:p>
        </w:tc>
      </w:tr>
      <w:tr>
        <w:tc>
          <w:tcPr/>
          <w:p>
            <w:pPr>
              <w:pStyle w:val="Compact"/>
              <w:jc w:val="left"/>
            </w:pPr>
            <w:r>
              <w:t xml:space="preserve">Need refresher</w:t>
            </w:r>
          </w:p>
        </w:tc>
        <w:tc>
          <w:tcPr/>
          <w:p>
            <w:pPr>
              <w:pStyle w:val="Compact"/>
              <w:jc w:val="left"/>
            </w:pPr>
            <w:r>
              <w:t xml:space="preserve">2.1%</w:t>
            </w:r>
          </w:p>
        </w:tc>
      </w:tr>
      <w:tr>
        <w:tc>
          <w:tcPr/>
          <w:p>
            <w:pPr>
              <w:pStyle w:val="Compact"/>
              <w:jc w:val="left"/>
            </w:pPr>
            <w:r>
              <w:t xml:space="preserve">Both Department and NGO</w:t>
            </w:r>
          </w:p>
        </w:tc>
        <w:tc>
          <w:tcPr/>
          <w:p>
            <w:pPr>
              <w:pStyle w:val="Compact"/>
              <w:jc w:val="left"/>
            </w:pPr>
            <w:r>
              <w:t xml:space="preserve">1.0%</w:t>
            </w:r>
          </w:p>
        </w:tc>
      </w:tr>
    </w:tbl>
    <w:p>
      <w:pPr>
        <w:pStyle w:val="BodyText"/>
      </w:pPr>
      <w:r>
        <w:rPr>
          <w:iCs/>
          <w:i/>
        </w:rPr>
        <w:t xml:space="preserve">Table 11: Training of Staff Looking After the Library</w:t>
      </w:r>
    </w:p>
    <w:p>
      <w:pPr>
        <w:pStyle w:val="BodyText"/>
      </w:pPr>
      <w:r>
        <w:t xml:space="preserve">Both the survey and the intensive assessment point to the same conclusion. Of the headmasters surveyed, 80.2% reported no library training; in the intensive assessment, 96.8% of teachers had received none. This is a system-wide gap in capacity, and it needs urgent attention.</w:t>
      </w:r>
    </w:p>
    <w:p>
      <w:pPr>
        <w:pStyle w:val="BodyText"/>
      </w:pPr>
      <w:r>
        <w:rPr>
          <w:bCs/>
          <w:b/>
        </w:rPr>
        <w:t xml:space="preserve">3. Library Period</w:t>
      </w:r>
    </w:p>
    <w:p>
      <w:pPr>
        <w:pStyle w:val="BodyText"/>
      </w:pPr>
      <w:r>
        <w:t xml:space="preserve">A dedicated period in the timetable is essential for regular reading promotion and for developing library skills (Table 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Library Period</w:t>
            </w:r>
          </w:p>
        </w:tc>
        <w:tc>
          <w:tcPr/>
          <w:p>
            <w:pPr>
              <w:pStyle w:val="Compact"/>
              <w:jc w:val="left"/>
            </w:pPr>
            <w:r>
              <w:t xml:space="preserve">Percentage</w:t>
            </w:r>
          </w:p>
        </w:tc>
      </w:tr>
      <w:tr>
        <w:tc>
          <w:tcPr/>
          <w:p>
            <w:pPr>
              <w:pStyle w:val="Compact"/>
              <w:jc w:val="left"/>
            </w:pPr>
            <w:r>
              <w:t xml:space="preserve">Period allotted</w:t>
            </w:r>
          </w:p>
        </w:tc>
        <w:tc>
          <w:tcPr/>
          <w:p>
            <w:pPr>
              <w:pStyle w:val="Compact"/>
              <w:jc w:val="left"/>
            </w:pPr>
            <w:r>
              <w:t xml:space="preserve">57.8%</w:t>
            </w:r>
          </w:p>
        </w:tc>
      </w:tr>
      <w:tr>
        <w:tc>
          <w:tcPr/>
          <w:p>
            <w:pPr>
              <w:pStyle w:val="Compact"/>
              <w:jc w:val="left"/>
            </w:pPr>
            <w:r>
              <w:t xml:space="preserve">No dedicated period</w:t>
            </w:r>
          </w:p>
        </w:tc>
        <w:tc>
          <w:tcPr/>
          <w:p>
            <w:pPr>
              <w:pStyle w:val="Compact"/>
              <w:jc w:val="left"/>
            </w:pPr>
            <w:r>
              <w:t xml:space="preserve">42.2%</w:t>
            </w:r>
          </w:p>
        </w:tc>
      </w:tr>
    </w:tbl>
    <w:p>
      <w:pPr>
        <w:pStyle w:val="BodyText"/>
      </w:pPr>
      <w:r>
        <w:rPr>
          <w:iCs/>
          <w:i/>
        </w:rPr>
        <w:t xml:space="preserve">Table 12: Allocation of Library Period</w:t>
      </w:r>
    </w:p>
    <w:p>
      <w:pPr>
        <w:pStyle w:val="BodyText"/>
      </w:pPr>
      <w:r>
        <w:t xml:space="preserve">About 58% of schools have a library period, a better result than for staffing or training. But 42.2% have no library time in the timetable, so their children have no regular contact with the library.</w:t>
      </w:r>
    </w:p>
    <w:bookmarkEnd w:id="34"/>
    <w:bookmarkStart w:id="35" w:name="availability-and-use-of-funds"/>
    <w:p>
      <w:pPr>
        <w:pStyle w:val="Heading3"/>
      </w:pPr>
      <w:r>
        <w:t xml:space="preserve">10.5 Availability and Use of Funds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 / Not Sure</w:t>
            </w:r>
          </w:p>
        </w:tc>
      </w:tr>
      <w:tr>
        <w:tc>
          <w:tcPr/>
          <w:p>
            <w:pPr>
              <w:pStyle w:val="Compact"/>
              <w:jc w:val="left"/>
            </w:pPr>
            <w:r>
              <w:t xml:space="preserve">Funds sufficient</w:t>
            </w:r>
          </w:p>
        </w:tc>
        <w:tc>
          <w:tcPr/>
          <w:p>
            <w:pPr>
              <w:pStyle w:val="Compact"/>
              <w:jc w:val="left"/>
            </w:pPr>
            <w:r>
              <w:t xml:space="preserve">72.3%</w:t>
            </w:r>
          </w:p>
        </w:tc>
        <w:tc>
          <w:tcPr/>
          <w:p>
            <w:pPr>
              <w:pStyle w:val="Compact"/>
              <w:jc w:val="left"/>
            </w:pPr>
            <w:r>
              <w:t xml:space="preserve">17.2%</w:t>
            </w:r>
          </w:p>
        </w:tc>
        <w:tc>
          <w:tcPr/>
          <w:p>
            <w:pPr>
              <w:pStyle w:val="Compact"/>
              <w:jc w:val="left"/>
            </w:pPr>
            <w:r>
              <w:t xml:space="preserve">10.5%</w:t>
            </w:r>
          </w:p>
        </w:tc>
      </w:tr>
      <w:tr>
        <w:tc>
          <w:tcPr/>
          <w:p>
            <w:pPr>
              <w:pStyle w:val="Compact"/>
              <w:jc w:val="left"/>
            </w:pPr>
            <w:r>
              <w:t xml:space="preserve">Funds utilised</w:t>
            </w:r>
          </w:p>
        </w:tc>
        <w:tc>
          <w:tcPr/>
          <w:p>
            <w:pPr>
              <w:pStyle w:val="Compact"/>
              <w:jc w:val="left"/>
            </w:pPr>
            <w:r>
              <w:t xml:space="preserve">83.3%</w:t>
            </w:r>
          </w:p>
        </w:tc>
        <w:tc>
          <w:tcPr/>
          <w:p>
            <w:pPr>
              <w:pStyle w:val="Compact"/>
              <w:jc w:val="left"/>
            </w:pPr>
            <w:r>
              <w:t xml:space="preserve">14.8%</w:t>
            </w:r>
          </w:p>
        </w:tc>
        <w:tc>
          <w:tcPr/>
          <w:p>
            <w:pPr>
              <w:pStyle w:val="Compact"/>
              <w:jc w:val="left"/>
            </w:pPr>
            <w:r>
              <w:t xml:space="preserve">1.9%</w:t>
            </w:r>
          </w:p>
        </w:tc>
      </w:tr>
    </w:tbl>
    <w:p>
      <w:pPr>
        <w:pStyle w:val="BodyText"/>
      </w:pPr>
      <w:r>
        <w:rPr>
          <w:iCs/>
          <w:i/>
        </w:rPr>
        <w:t xml:space="preserve">Table 13: Availability and Use of Funds</w:t>
      </w:r>
    </w:p>
    <w:p>
      <w:pPr>
        <w:pStyle w:val="BodyText"/>
      </w:pPr>
      <w:r>
        <w:t xml:space="preserve">Most schools report that funds are sufficient (72.3%) and that they have been used (83.3%). But 17.2% say funds are not enough, and 14.8% have not used the funds they received. This points to a shortage of resources in some schools and to problems of implementation in others.</w:t>
      </w:r>
    </w:p>
    <w:bookmarkEnd w:id="35"/>
    <w:bookmarkStart w:id="36" w:name="major-challenges"/>
    <w:p>
      <w:pPr>
        <w:pStyle w:val="Heading3"/>
      </w:pPr>
      <w:r>
        <w:t xml:space="preserve">10.6 Major Challenges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Challenge</w:t>
            </w:r>
          </w:p>
        </w:tc>
        <w:tc>
          <w:tcPr/>
          <w:p>
            <w:pPr>
              <w:pStyle w:val="Compact"/>
              <w:jc w:val="left"/>
            </w:pPr>
            <w:r>
              <w:t xml:space="preserve">Schools Reporting</w:t>
            </w:r>
          </w:p>
        </w:tc>
        <w:tc>
          <w:tcPr/>
          <w:p>
            <w:pPr>
              <w:pStyle w:val="Compact"/>
              <w:jc w:val="left"/>
            </w:pPr>
            <w:r>
              <w:t xml:space="preserve">Percentage</w:t>
            </w:r>
          </w:p>
        </w:tc>
      </w:tr>
      <w:tr>
        <w:tc>
          <w:tcPr/>
          <w:p>
            <w:pPr>
              <w:pStyle w:val="Compact"/>
              <w:jc w:val="left"/>
            </w:pPr>
            <w:r>
              <w:t xml:space="preserve">Shortage of space</w:t>
            </w:r>
          </w:p>
        </w:tc>
        <w:tc>
          <w:tcPr/>
          <w:p>
            <w:pPr>
              <w:pStyle w:val="Compact"/>
              <w:jc w:val="left"/>
            </w:pPr>
            <w:r>
              <w:t xml:space="preserve">3,218</w:t>
            </w:r>
          </w:p>
        </w:tc>
        <w:tc>
          <w:tcPr/>
          <w:p>
            <w:pPr>
              <w:pStyle w:val="Compact"/>
              <w:jc w:val="left"/>
            </w:pPr>
            <w:r>
              <w:t xml:space="preserve">57.5%</w:t>
            </w:r>
          </w:p>
        </w:tc>
      </w:tr>
      <w:tr>
        <w:tc>
          <w:tcPr/>
          <w:p>
            <w:pPr>
              <w:pStyle w:val="Compact"/>
              <w:jc w:val="left"/>
            </w:pPr>
            <w:r>
              <w:t xml:space="preserve">Shortage of staff</w:t>
            </w:r>
          </w:p>
        </w:tc>
        <w:tc>
          <w:tcPr/>
          <w:p>
            <w:pPr>
              <w:pStyle w:val="Compact"/>
              <w:jc w:val="left"/>
            </w:pPr>
            <w:r>
              <w:t xml:space="preserve">2,156</w:t>
            </w:r>
          </w:p>
        </w:tc>
        <w:tc>
          <w:tcPr/>
          <w:p>
            <w:pPr>
              <w:pStyle w:val="Compact"/>
              <w:jc w:val="left"/>
            </w:pPr>
            <w:r>
              <w:t xml:space="preserve">38.5%</w:t>
            </w:r>
          </w:p>
        </w:tc>
      </w:tr>
      <w:tr>
        <w:tc>
          <w:tcPr/>
          <w:p>
            <w:pPr>
              <w:pStyle w:val="Compact"/>
              <w:jc w:val="left"/>
            </w:pPr>
            <w:r>
              <w:t xml:space="preserve">Lack of training</w:t>
            </w:r>
          </w:p>
        </w:tc>
        <w:tc>
          <w:tcPr/>
          <w:p>
            <w:pPr>
              <w:pStyle w:val="Compact"/>
              <w:jc w:val="left"/>
            </w:pPr>
            <w:r>
              <w:t xml:space="preserve">1,892</w:t>
            </w:r>
          </w:p>
        </w:tc>
        <w:tc>
          <w:tcPr/>
          <w:p>
            <w:pPr>
              <w:pStyle w:val="Compact"/>
              <w:jc w:val="left"/>
            </w:pPr>
            <w:r>
              <w:t xml:space="preserve">33.8%</w:t>
            </w:r>
          </w:p>
        </w:tc>
      </w:tr>
      <w:tr>
        <w:tc>
          <w:tcPr/>
          <w:p>
            <w:pPr>
              <w:pStyle w:val="Compact"/>
              <w:jc w:val="left"/>
            </w:pPr>
            <w:r>
              <w:t xml:space="preserve">Lack of books / resources</w:t>
            </w:r>
          </w:p>
        </w:tc>
        <w:tc>
          <w:tcPr/>
          <w:p>
            <w:pPr>
              <w:pStyle w:val="Compact"/>
              <w:jc w:val="left"/>
            </w:pPr>
            <w:r>
              <w:t xml:space="preserve">1,654</w:t>
            </w:r>
          </w:p>
        </w:tc>
        <w:tc>
          <w:tcPr/>
          <w:p>
            <w:pPr>
              <w:pStyle w:val="Compact"/>
              <w:jc w:val="left"/>
            </w:pPr>
            <w:r>
              <w:t xml:space="preserve">29.6%</w:t>
            </w:r>
          </w:p>
        </w:tc>
      </w:tr>
      <w:tr>
        <w:tc>
          <w:tcPr/>
          <w:p>
            <w:pPr>
              <w:pStyle w:val="Compact"/>
              <w:jc w:val="left"/>
            </w:pPr>
            <w:r>
              <w:t xml:space="preserve">Shortage of funds</w:t>
            </w:r>
          </w:p>
        </w:tc>
        <w:tc>
          <w:tcPr/>
          <w:p>
            <w:pPr>
              <w:pStyle w:val="Compact"/>
              <w:jc w:val="left"/>
            </w:pPr>
            <w:r>
              <w:t xml:space="preserve">1,243</w:t>
            </w:r>
          </w:p>
        </w:tc>
        <w:tc>
          <w:tcPr/>
          <w:p>
            <w:pPr>
              <w:pStyle w:val="Compact"/>
              <w:jc w:val="left"/>
            </w:pPr>
            <w:r>
              <w:t xml:space="preserve">22.2%</w:t>
            </w:r>
          </w:p>
        </w:tc>
      </w:tr>
      <w:tr>
        <w:tc>
          <w:tcPr/>
          <w:p>
            <w:pPr>
              <w:pStyle w:val="Compact"/>
              <w:jc w:val="left"/>
            </w:pPr>
            <w:r>
              <w:t xml:space="preserve">No dedicated in-charge</w:t>
            </w:r>
          </w:p>
        </w:tc>
        <w:tc>
          <w:tcPr/>
          <w:p>
            <w:pPr>
              <w:pStyle w:val="Compact"/>
              <w:jc w:val="left"/>
            </w:pPr>
            <w:r>
              <w:t xml:space="preserve">987</w:t>
            </w:r>
          </w:p>
        </w:tc>
        <w:tc>
          <w:tcPr/>
          <w:p>
            <w:pPr>
              <w:pStyle w:val="Compact"/>
              <w:jc w:val="left"/>
            </w:pPr>
            <w:r>
              <w:t xml:space="preserve">17.6%</w:t>
            </w:r>
          </w:p>
        </w:tc>
      </w:tr>
      <w:tr>
        <w:tc>
          <w:tcPr/>
          <w:p>
            <w:pPr>
              <w:pStyle w:val="Compact"/>
              <w:jc w:val="left"/>
            </w:pPr>
            <w:r>
              <w:t xml:space="preserve">Age-inappropriate books</w:t>
            </w:r>
          </w:p>
        </w:tc>
        <w:tc>
          <w:tcPr/>
          <w:p>
            <w:pPr>
              <w:pStyle w:val="Compact"/>
              <w:jc w:val="left"/>
            </w:pPr>
            <w:r>
              <w:t xml:space="preserve">876</w:t>
            </w:r>
          </w:p>
        </w:tc>
        <w:tc>
          <w:tcPr/>
          <w:p>
            <w:pPr>
              <w:pStyle w:val="Compact"/>
              <w:jc w:val="left"/>
            </w:pPr>
            <w:r>
              <w:t xml:space="preserve">15.6%</w:t>
            </w:r>
          </w:p>
        </w:tc>
      </w:tr>
      <w:tr>
        <w:tc>
          <w:tcPr/>
          <w:p>
            <w:pPr>
              <w:pStyle w:val="Compact"/>
              <w:jc w:val="left"/>
            </w:pPr>
            <w:r>
              <w:t xml:space="preserve">Lack of digital resources</w:t>
            </w:r>
          </w:p>
        </w:tc>
        <w:tc>
          <w:tcPr/>
          <w:p>
            <w:pPr>
              <w:pStyle w:val="Compact"/>
              <w:jc w:val="left"/>
            </w:pPr>
            <w:r>
              <w:t xml:space="preserve">765</w:t>
            </w:r>
          </w:p>
        </w:tc>
        <w:tc>
          <w:tcPr/>
          <w:p>
            <w:pPr>
              <w:pStyle w:val="Compact"/>
              <w:jc w:val="left"/>
            </w:pPr>
            <w:r>
              <w:t xml:space="preserve">13.7%</w:t>
            </w:r>
          </w:p>
        </w:tc>
      </w:tr>
    </w:tbl>
    <w:p>
      <w:pPr>
        <w:pStyle w:val="BodyText"/>
      </w:pPr>
      <w:r>
        <w:rPr>
          <w:iCs/>
          <w:i/>
        </w:rPr>
        <w:t xml:space="preserve">Table 14: Major Challenges Faced by School Libraries</w:t>
      </w:r>
    </w:p>
    <w:p>
      <w:pPr>
        <w:pStyle w:val="BodyText"/>
      </w:pPr>
      <w:r>
        <w:rPr>
          <w:iCs/>
          <w:i/>
        </w:rPr>
        <w:t xml:space="preserve">[Figure 5: Major Challenges Faced by School Libraries]</w:t>
      </w:r>
    </w:p>
    <w:p>
      <w:pPr>
        <w:pStyle w:val="BodyText"/>
      </w:pPr>
      <w:r>
        <w:t xml:space="preserve">Space is the greatest challenge, reported by 57.5% of schools. Libraries are confined to cupboards in classrooms or other shared spaces, which leads to overcrowding and keeps children from using books on their own. Students and teachers asked for dedicated library rooms, professional librarians, better furniture and digital resources to make the library engaging and useful.</w:t>
      </w:r>
    </w:p>
    <w:bookmarkEnd w:id="36"/>
    <w:bookmarkEnd w:id="37"/>
    <w:bookmarkStart w:id="38" w:name="summary-of-findings"/>
    <w:p>
      <w:pPr>
        <w:pStyle w:val="Heading2"/>
      </w:pPr>
      <w:r>
        <w:t xml:space="preserve">11. Summary of Findings</w:t>
      </w:r>
    </w:p>
    <w:p>
      <w:pPr>
        <w:numPr>
          <w:ilvl w:val="0"/>
          <w:numId w:val="1008"/>
        </w:numPr>
        <w:pStyle w:val="Compact"/>
      </w:pPr>
      <w:r>
        <w:t xml:space="preserve">Many schools report having a library, but most of these libraries have no space of their own.</w:t>
      </w:r>
    </w:p>
    <w:p>
      <w:pPr>
        <w:numPr>
          <w:ilvl w:val="0"/>
          <w:numId w:val="1008"/>
        </w:numPr>
        <w:pStyle w:val="Compact"/>
      </w:pPr>
      <w:r>
        <w:t xml:space="preserve">In several schools, books are kept in classrooms, cupboards, the headmaster’s room or temporary spaces rather than in an organised library.</w:t>
      </w:r>
    </w:p>
    <w:p>
      <w:pPr>
        <w:numPr>
          <w:ilvl w:val="0"/>
          <w:numId w:val="1008"/>
        </w:numPr>
        <w:pStyle w:val="Compact"/>
      </w:pPr>
      <w:r>
        <w:t xml:space="preserve">Book racks, reading tables, chairs and display units are inadequate in many schools.</w:t>
      </w:r>
    </w:p>
    <w:p>
      <w:pPr>
        <w:numPr>
          <w:ilvl w:val="0"/>
          <w:numId w:val="1008"/>
        </w:numPr>
        <w:pStyle w:val="Compact"/>
      </w:pPr>
      <w:r>
        <w:t xml:space="preserve">Ventilation, lighting, seating and maintenance vary widely.</w:t>
      </w:r>
    </w:p>
    <w:p>
      <w:pPr>
        <w:numPr>
          <w:ilvl w:val="0"/>
          <w:numId w:val="1008"/>
        </w:numPr>
        <w:pStyle w:val="Compact"/>
      </w:pPr>
      <w:r>
        <w:t xml:space="preserve">Digital infrastructure is extremely limited, especially in rural and poorly resourced schools; fewer than 15% of schools have access to computers or tablets.</w:t>
      </w:r>
    </w:p>
    <w:p>
      <w:pPr>
        <w:numPr>
          <w:ilvl w:val="0"/>
          <w:numId w:val="1008"/>
        </w:numPr>
        <w:pStyle w:val="Compact"/>
      </w:pPr>
      <w:r>
        <w:t xml:space="preserve">Accessibility features for children with disabilities are largely absent.</w:t>
      </w:r>
    </w:p>
    <w:p>
      <w:pPr>
        <w:numPr>
          <w:ilvl w:val="0"/>
          <w:numId w:val="1008"/>
        </w:numPr>
        <w:pStyle w:val="Compact"/>
      </w:pPr>
      <w:r>
        <w:t xml:space="preserve">A large number of schools still lack a functional, child-friendly and accessible library space.</w:t>
      </w:r>
    </w:p>
    <w:p>
      <w:pPr>
        <w:numPr>
          <w:ilvl w:val="0"/>
          <w:numId w:val="1008"/>
        </w:numPr>
        <w:pStyle w:val="Compact"/>
      </w:pPr>
      <w:r>
        <w:t xml:space="preserve">About 65% of schools lack up-to-date reading material. Most have a basic collection, but books per student remain too few: 60% of schools report inadequate books, and 72% have only a basic collection.</w:t>
      </w:r>
    </w:p>
    <w:p>
      <w:pPr>
        <w:numPr>
          <w:ilvl w:val="0"/>
          <w:numId w:val="1008"/>
        </w:numPr>
        <w:pStyle w:val="Compact"/>
      </w:pPr>
      <w:r>
        <w:t xml:space="preserve">Only 22% of schools have newspapers and magazines.</w:t>
      </w:r>
    </w:p>
    <w:p>
      <w:pPr>
        <w:numPr>
          <w:ilvl w:val="0"/>
          <w:numId w:val="1008"/>
        </w:numPr>
        <w:pStyle w:val="Compact"/>
      </w:pPr>
      <w:r>
        <w:t xml:space="preserve">Nearly 88% of school libraries are managed by teachers as an additional responsibility.</w:t>
      </w:r>
    </w:p>
    <w:p>
      <w:pPr>
        <w:numPr>
          <w:ilvl w:val="0"/>
          <w:numId w:val="1008"/>
        </w:numPr>
        <w:pStyle w:val="Compact"/>
      </w:pPr>
      <w:r>
        <w:t xml:space="preserve">Almost no school library has a qualified, trained librarian.</w:t>
      </w:r>
    </w:p>
    <w:p>
      <w:pPr>
        <w:numPr>
          <w:ilvl w:val="0"/>
          <w:numId w:val="1008"/>
        </w:numPr>
        <w:pStyle w:val="Compact"/>
      </w:pPr>
      <w:r>
        <w:t xml:space="preserve">Only about 5–7% of schools have a full-time library in-charge, and none of them has professional qualifications or training.</w:t>
      </w:r>
    </w:p>
    <w:p>
      <w:pPr>
        <w:numPr>
          <w:ilvl w:val="0"/>
          <w:numId w:val="1008"/>
        </w:numPr>
        <w:pStyle w:val="Compact"/>
      </w:pPr>
      <w:r>
        <w:t xml:space="preserve">About 63% of teachers in charge of libraries say their workload affects library management.</w:t>
      </w:r>
    </w:p>
    <w:p>
      <w:pPr>
        <w:numPr>
          <w:ilvl w:val="0"/>
          <w:numId w:val="1008"/>
        </w:numPr>
        <w:pStyle w:val="Compact"/>
      </w:pPr>
      <w:r>
        <w:t xml:space="preserve">Record-keeping varies widely; only about 52% of schools maintain basic library records systematically.</w:t>
      </w:r>
    </w:p>
    <w:p>
      <w:pPr>
        <w:numPr>
          <w:ilvl w:val="0"/>
          <w:numId w:val="1008"/>
        </w:numPr>
        <w:pStyle w:val="Compact"/>
      </w:pPr>
      <w:r>
        <w:t xml:space="preserve">About 58% of schools report insufficient funds for buying and maintaining books.</w:t>
      </w:r>
    </w:p>
    <w:p>
      <w:pPr>
        <w:numPr>
          <w:ilvl w:val="0"/>
          <w:numId w:val="1008"/>
        </w:numPr>
        <w:pStyle w:val="Compact"/>
      </w:pPr>
      <w:r>
        <w:t xml:space="preserve">Inadequate funding limits both book purchase and improvement of infrastructure.</w:t>
      </w:r>
    </w:p>
    <w:bookmarkEnd w:id="38"/>
    <w:bookmarkStart w:id="39" w:name="conclusion"/>
    <w:p>
      <w:pPr>
        <w:pStyle w:val="Heading2"/>
      </w:pPr>
      <w:r>
        <w:t xml:space="preserve">12. Conclusion</w:t>
      </w:r>
    </w:p>
    <w:p>
      <w:pPr>
        <w:pStyle w:val="FirstParagraph"/>
      </w:pPr>
      <w:r>
        <w:t xml:space="preserve">This study has documented the status of government school libraries across Karnataka, drawing on data from 5,597 schools. It shows serious gaps and also the steps that can close them.</w:t>
      </w:r>
    </w:p>
    <w:p>
      <w:pPr>
        <w:pStyle w:val="BodyText"/>
      </w:pPr>
      <w:r>
        <w:t xml:space="preserve">The children now in school cannot wait years for change. Some actions can bring quick results: training library in-charges, making books accessible to children, and giving library management a formal place in the school. Long-term investment in space, infrastructure and staff will build capacity that lasts.</w:t>
      </w:r>
    </w:p>
    <w:p>
      <w:pPr>
        <w:pStyle w:val="BodyText"/>
      </w:pPr>
      <w:r>
        <w:t xml:space="preserve">A school library carries a simple promise: that every child, whatever the family’s circumstances, has the right to knowledge and the joy of reading. Karnataka can keep this promise for the children in its government schools by acting on these findings.</w:t>
      </w:r>
    </w:p>
    <w:bookmarkEnd w:id="39"/>
    <w:bookmarkStart w:id="40" w:name="bibliography"/>
    <w:p>
      <w:pPr>
        <w:pStyle w:val="Heading2"/>
      </w:pPr>
      <w:r>
        <w:t xml:space="preserve">BIBLIOGRAPHY</w:t>
      </w:r>
    </w:p>
    <w:p>
      <w:pPr>
        <w:pStyle w:val="FirstParagraph"/>
      </w:pPr>
      <w:r>
        <w:t xml:space="preserve">American Association of School Librarians. (2018).</w:t>
      </w:r>
      <w:r>
        <w:t xml:space="preserve"> </w:t>
      </w:r>
      <w:r>
        <w:rPr>
          <w:iCs/>
          <w:i/>
        </w:rPr>
        <w:t xml:space="preserve">National school library standards for learners, school librarians, and school libraries</w:t>
      </w:r>
      <w:r>
        <w:t xml:space="preserve">. ALA Editions.</w:t>
      </w:r>
    </w:p>
    <w:p>
      <w:pPr>
        <w:pStyle w:val="BodyText"/>
      </w:pPr>
      <w:r>
        <w:t xml:space="preserve">Bisla, S. K. (2020). School libraries in India: Status, challenges and strategies.</w:t>
      </w:r>
      <w:r>
        <w:t xml:space="preserve"> </w:t>
      </w:r>
      <w:r>
        <w:rPr>
          <w:iCs/>
          <w:i/>
        </w:rPr>
        <w:t xml:space="preserve">Library Philosophy and Practice, 2020</w:t>
      </w:r>
      <w:r>
        <w:t xml:space="preserve">, 1–15.</w:t>
      </w:r>
    </w:p>
    <w:p>
      <w:pPr>
        <w:pStyle w:val="BodyText"/>
      </w:pPr>
      <w:r>
        <w:t xml:space="preserve">Government of India, Ministry of Education. (2020).</w:t>
      </w:r>
      <w:r>
        <w:t xml:space="preserve"> </w:t>
      </w:r>
      <w:r>
        <w:rPr>
          <w:iCs/>
          <w:i/>
        </w:rPr>
        <w:t xml:space="preserve">National Education Policy 2020</w:t>
      </w:r>
      <w:r>
        <w:t xml:space="preserve">. Government of India.</w:t>
      </w:r>
    </w:p>
    <w:p>
      <w:pPr>
        <w:pStyle w:val="BodyText"/>
      </w:pPr>
      <w:r>
        <w:t xml:space="preserve">International Federation of Library Associations and Institutions. (2015).</w:t>
      </w:r>
      <w:r>
        <w:t xml:space="preserve"> </w:t>
      </w:r>
      <w:r>
        <w:rPr>
          <w:iCs/>
          <w:i/>
        </w:rPr>
        <w:t xml:space="preserve">IFLA school library guidelines</w:t>
      </w:r>
      <w:r>
        <w:t xml:space="preserve"> </w:t>
      </w:r>
      <w:r>
        <w:t xml:space="preserve">(2nd ed.). IFLA.</w:t>
      </w:r>
    </w:p>
    <w:p>
      <w:pPr>
        <w:pStyle w:val="BodyText"/>
      </w:pPr>
      <w:r>
        <w:t xml:space="preserve">International Federation of Library Associations and Institutions, &amp; United Nations Educational, Scientific and Cultural Organization. (2000).</w:t>
      </w:r>
      <w:r>
        <w:t xml:space="preserve"> </w:t>
      </w:r>
      <w:r>
        <w:rPr>
          <w:iCs/>
          <w:i/>
        </w:rPr>
        <w:t xml:space="preserve">The IFLA/UNESCO school library manifesto: The school library in teaching and learning for all</w:t>
      </w:r>
      <w:r>
        <w:t xml:space="preserve">. IFLA.</w:t>
      </w:r>
    </w:p>
    <w:p>
      <w:pPr>
        <w:pStyle w:val="BodyText"/>
      </w:pPr>
      <w:r>
        <w:t xml:space="preserve">Nair, R. R. (2020). Status of school libraries in Kerala: A critical analysis.</w:t>
      </w:r>
      <w:r>
        <w:t xml:space="preserve"> </w:t>
      </w:r>
      <w:r>
        <w:rPr>
          <w:iCs/>
          <w:i/>
        </w:rPr>
        <w:t xml:space="preserve">Indian Journal of Library and Information Science, 14</w:t>
      </w:r>
      <w:r>
        <w:t xml:space="preserve">(2), 89–96.</w:t>
      </w:r>
    </w:p>
    <w:p>
      <w:pPr>
        <w:pStyle w:val="BodyText"/>
      </w:pPr>
      <w:r>
        <w:t xml:space="preserve">National Council of Educational Research and Training. (2005).</w:t>
      </w:r>
      <w:r>
        <w:t xml:space="preserve"> </w:t>
      </w:r>
      <w:r>
        <w:rPr>
          <w:iCs/>
          <w:i/>
        </w:rPr>
        <w:t xml:space="preserve">National curriculum framework 2005</w:t>
      </w:r>
      <w:r>
        <w:t xml:space="preserve">. NCERT.</w:t>
      </w:r>
    </w:p>
    <w:p>
      <w:pPr>
        <w:pStyle w:val="BodyText"/>
      </w:pPr>
      <w:r>
        <w:t xml:space="preserve">National Council of Educational Research and Training. (2014).</w:t>
      </w:r>
      <w:r>
        <w:t xml:space="preserve"> </w:t>
      </w:r>
      <w:r>
        <w:rPr>
          <w:iCs/>
          <w:i/>
        </w:rPr>
        <w:t xml:space="preserve">Guidelines for school libraries</w:t>
      </w:r>
      <w:r>
        <w:t xml:space="preserve">. NCERT.</w:t>
      </w:r>
    </w:p>
    <w:p>
      <w:pPr>
        <w:pStyle w:val="BodyText"/>
      </w:pPr>
      <w:r>
        <w:t xml:space="preserve">Prabha, S. (2025).</w:t>
      </w:r>
      <w:r>
        <w:t xml:space="preserve"> </w:t>
      </w:r>
      <w:r>
        <w:rPr>
          <w:iCs/>
          <w:i/>
        </w:rPr>
        <w:t xml:space="preserve">Role of school libraries in education: Karnataka expression</w:t>
      </w:r>
      <w:r>
        <w:t xml:space="preserve">. Paper presented at the National Conference on School Libraries, National Council of Educational Research and Training, New Delhi, India.</w:t>
      </w:r>
    </w:p>
    <w:p>
      <w:pPr>
        <w:pStyle w:val="BodyText"/>
      </w:pPr>
      <w:r>
        <w:t xml:space="preserve">Selvam, P. (2018). Status of school libraries in Tamil Nadu: A survey.</w:t>
      </w:r>
      <w:r>
        <w:t xml:space="preserve"> </w:t>
      </w:r>
      <w:r>
        <w:rPr>
          <w:iCs/>
          <w:i/>
        </w:rPr>
        <w:t xml:space="preserve">Library Progress International, 38</w:t>
      </w:r>
      <w:r>
        <w:t xml:space="preserve">(1), 45–58.</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2026-10-12T15:35:23Z</dcterms:created>
  <dcterms:modified xsi:type="dcterms:W3CDTF">2026-10-12T15:35:23Z</dcterms:modified>
</cp:coreProperties>
</file>

<file path=docProps/custom.xml><?xml version="1.0" encoding="utf-8"?>
<Properties xmlns="http://schemas.openxmlformats.org/officeDocument/2006/custom-properties" xmlns:vt="http://schemas.openxmlformats.org/officeDocument/2006/docPropsVTypes"/>
</file>