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Sixth National Conference of Chief Secretaries</w:t>
      </w:r>
    </w:p>
    <w:p>
      <w:pPr>
        <w:pStyle w:val="BodyText"/>
      </w:pPr>
      <w:r>
        <w:rPr>
          <w:bCs/>
          <w:b/>
        </w:rPr>
        <w:t xml:space="preserve">Background Note</w:t>
      </w:r>
    </w:p>
    <w:p>
      <w:pPr>
        <w:pStyle w:val="BodyText"/>
      </w:pPr>
      <w:r>
        <w:rPr>
          <w:bCs/>
          <w:b/>
        </w:rPr>
        <w:t xml:space="preserve">Evidence from School Education Research in Karnataka: What Two Years of District and State Studies Tell Us</w:t>
      </w:r>
    </w:p>
    <w:p>
      <w:pPr>
        <w:pStyle w:val="BodyText"/>
      </w:pPr>
      <w:r>
        <w:t xml:space="preserve">Department of State Educational Research and Training (DSERT), Karnataka, with the District Institutes of Education and Training (DIETs)</w:t>
      </w:r>
    </w:p>
    <w:p>
      <w:pPr>
        <w:pStyle w:val="BodyText"/>
      </w:pPr>
      <w:r>
        <w:rPr>
          <w:iCs/>
          <w:i/>
        </w:rPr>
        <w:t xml:space="preserve">Data as of 14 October 2026</w:t>
      </w:r>
    </w:p>
    <w:p>
      <w:pPr>
        <w:pStyle w:val="BodyText"/>
      </w:pPr>
      <w:r>
        <w:rPr>
          <w:bCs/>
          <w:b/>
        </w:rPr>
        <w:t xml:space="preserve">Foreword</w:t>
      </w:r>
    </w:p>
    <w:p>
      <w:pPr>
        <w:pStyle w:val="BodyText"/>
      </w:pPr>
      <w:r>
        <w:rPr>
          <w:iCs/>
          <w:i/>
        </w:rPr>
        <w:t xml:space="preserve">[To be signed by the nodal Secretary, Government of India]</w:t>
      </w:r>
    </w:p>
    <w:p>
      <w:pPr>
        <w:pStyle w:val="BodyText"/>
      </w:pPr>
      <w:r>
        <w:t xml:space="preserve">Sound policy rests on sound evidence. This note brings together the findings of one hundred and eighty-eight research studies completed by the Department of State Educational Research and Training (DSERT), Karnataka, and its District Institutes of Education and Training (DIETs) in 2024-25 and 2025-26, along with the plan of 329 studies now under way for 2026-27. It shows how a State can turn routine academic work in its districts into a body of evidence on foundational learning, teachers, technology, inclusion and school governance. It also sets out what remains to be done before that evidence can shape decisions.</w:t>
      </w:r>
    </w:p>
    <w:p>
      <w:pPr>
        <w:pStyle w:val="BodyText"/>
      </w:pPr>
      <w:r>
        <w:rPr>
          <w:iCs/>
          <w:i/>
        </w:rPr>
        <w:t xml:space="preserve">[Name, Designation, Ministry/Department, Government of India] [Date]</w:t>
      </w:r>
    </w:p>
    <w:p>
      <w:pPr>
        <w:pStyle w:val="BodyText"/>
      </w:pPr>
      <w:r>
        <w:rPr>
          <w:bCs/>
          <w:b/>
        </w:rPr>
        <w:t xml:space="preserve">Abbreviations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Abbreviation</w:t>
            </w:r>
          </w:p>
        </w:tc>
        <w:tc>
          <w:tcPr/>
          <w:p>
            <w:pPr>
              <w:pStyle w:val="Compact"/>
              <w:jc w:val="left"/>
            </w:pPr>
            <w:r>
              <w:rPr>
                <w:bCs/>
                <w:b/>
              </w:rPr>
              <w:t xml:space="preserve">Expansion</w:t>
            </w:r>
          </w:p>
        </w:tc>
      </w:tr>
      <w:tr>
        <w:tc>
          <w:tcPr/>
          <w:p>
            <w:pPr>
              <w:pStyle w:val="Compact"/>
              <w:jc w:val="left"/>
            </w:pPr>
            <w:r>
              <w:t xml:space="preserve">ATL</w:t>
            </w:r>
          </w:p>
        </w:tc>
        <w:tc>
          <w:tcPr/>
          <w:p>
            <w:pPr>
              <w:pStyle w:val="Compact"/>
              <w:jc w:val="left"/>
            </w:pPr>
            <w:r>
              <w:t xml:space="preserve">Atal Tinkering Lab</w:t>
            </w:r>
          </w:p>
        </w:tc>
      </w:tr>
      <w:tr>
        <w:tc>
          <w:tcPr/>
          <w:p>
            <w:pPr>
              <w:pStyle w:val="Compact"/>
              <w:jc w:val="left"/>
            </w:pPr>
            <w:r>
              <w:t xml:space="preserve">CRC</w:t>
            </w:r>
          </w:p>
        </w:tc>
        <w:tc>
          <w:tcPr/>
          <w:p>
            <w:pPr>
              <w:pStyle w:val="Compact"/>
              <w:jc w:val="left"/>
            </w:pPr>
            <w:r>
              <w:t xml:space="preserve">Cluster Resource Centre</w:t>
            </w:r>
          </w:p>
        </w:tc>
      </w:tr>
      <w:tr>
        <w:tc>
          <w:tcPr/>
          <w:p>
            <w:pPr>
              <w:pStyle w:val="Compact"/>
              <w:jc w:val="left"/>
            </w:pPr>
            <w:r>
              <w:t xml:space="preserve">CWSN</w:t>
            </w:r>
          </w:p>
        </w:tc>
        <w:tc>
          <w:tcPr/>
          <w:p>
            <w:pPr>
              <w:pStyle w:val="Compact"/>
              <w:jc w:val="left"/>
            </w:pPr>
            <w:r>
              <w:t xml:space="preserve">Children with Special Needs</w:t>
            </w:r>
          </w:p>
        </w:tc>
      </w:tr>
      <w:tr>
        <w:tc>
          <w:tcPr/>
          <w:p>
            <w:pPr>
              <w:pStyle w:val="Compact"/>
              <w:jc w:val="left"/>
            </w:pPr>
            <w:r>
              <w:t xml:space="preserve">DIET</w:t>
            </w:r>
          </w:p>
        </w:tc>
        <w:tc>
          <w:tcPr/>
          <w:p>
            <w:pPr>
              <w:pStyle w:val="Compact"/>
              <w:jc w:val="left"/>
            </w:pPr>
            <w:r>
              <w:t xml:space="preserve">District Institute of Education and Training</w:t>
            </w:r>
          </w:p>
        </w:tc>
      </w:tr>
      <w:tr>
        <w:tc>
          <w:tcPr/>
          <w:p>
            <w:pPr>
              <w:pStyle w:val="Compact"/>
              <w:jc w:val="left"/>
            </w:pPr>
            <w:r>
              <w:t xml:space="preserve">DIKSHA</w:t>
            </w:r>
          </w:p>
        </w:tc>
        <w:tc>
          <w:tcPr/>
          <w:p>
            <w:pPr>
              <w:pStyle w:val="Compact"/>
              <w:jc w:val="left"/>
            </w:pPr>
            <w:r>
              <w:t xml:space="preserve">Digital Infrastructure for Knowledge Sharing</w:t>
            </w:r>
          </w:p>
        </w:tc>
      </w:tr>
      <w:tr>
        <w:tc>
          <w:tcPr/>
          <w:p>
            <w:pPr>
              <w:pStyle w:val="Compact"/>
              <w:jc w:val="left"/>
            </w:pPr>
            <w:r>
              <w:t xml:space="preserve">DSERT</w:t>
            </w:r>
          </w:p>
        </w:tc>
        <w:tc>
          <w:tcPr/>
          <w:p>
            <w:pPr>
              <w:pStyle w:val="Compact"/>
              <w:jc w:val="left"/>
            </w:pPr>
            <w:r>
              <w:t xml:space="preserve">Department of State Educational Research and Training</w:t>
            </w:r>
          </w:p>
        </w:tc>
      </w:tr>
      <w:tr>
        <w:tc>
          <w:tcPr/>
          <w:p>
            <w:pPr>
              <w:pStyle w:val="Compact"/>
              <w:jc w:val="left"/>
            </w:pPr>
            <w:r>
              <w:t xml:space="preserve">ECCE</w:t>
            </w:r>
          </w:p>
        </w:tc>
        <w:tc>
          <w:tcPr/>
          <w:p>
            <w:pPr>
              <w:pStyle w:val="Compact"/>
              <w:jc w:val="left"/>
            </w:pPr>
            <w:r>
              <w:t xml:space="preserve">Early Childhood Care and Education</w:t>
            </w:r>
          </w:p>
        </w:tc>
      </w:tr>
      <w:tr>
        <w:tc>
          <w:tcPr/>
          <w:p>
            <w:pPr>
              <w:pStyle w:val="Compact"/>
              <w:jc w:val="left"/>
            </w:pPr>
            <w:r>
              <w:t xml:space="preserve">EMTIP</w:t>
            </w:r>
          </w:p>
        </w:tc>
        <w:tc>
          <w:tcPr/>
          <w:p>
            <w:pPr>
              <w:pStyle w:val="Compact"/>
              <w:jc w:val="left"/>
            </w:pPr>
            <w:r>
              <w:t xml:space="preserve">English Medium Teachers Induction Programme</w:t>
            </w:r>
          </w:p>
        </w:tc>
      </w:tr>
      <w:tr>
        <w:tc>
          <w:tcPr/>
          <w:p>
            <w:pPr>
              <w:pStyle w:val="Compact"/>
              <w:jc w:val="left"/>
            </w:pPr>
            <w:r>
              <w:t xml:space="preserve">FLN</w:t>
            </w:r>
          </w:p>
        </w:tc>
        <w:tc>
          <w:tcPr/>
          <w:p>
            <w:pPr>
              <w:pStyle w:val="Compact"/>
              <w:jc w:val="left"/>
            </w:pPr>
            <w:r>
              <w:t xml:space="preserve">Foundational Literacy and Numeracy</w:t>
            </w:r>
          </w:p>
        </w:tc>
      </w:tr>
      <w:tr>
        <w:tc>
          <w:tcPr/>
          <w:p>
            <w:pPr>
              <w:pStyle w:val="Compact"/>
              <w:jc w:val="left"/>
            </w:pPr>
            <w:r>
              <w:t xml:space="preserve">GKA</w:t>
            </w:r>
          </w:p>
        </w:tc>
        <w:tc>
          <w:tcPr/>
          <w:p>
            <w:pPr>
              <w:pStyle w:val="Compact"/>
              <w:jc w:val="left"/>
            </w:pPr>
            <w:r>
              <w:t xml:space="preserve">Ganitha Kalika Andolana (mathematics learning movement)</w:t>
            </w:r>
          </w:p>
        </w:tc>
      </w:tr>
      <w:tr>
        <w:tc>
          <w:tcPr/>
          <w:p>
            <w:pPr>
              <w:pStyle w:val="Compact"/>
              <w:jc w:val="left"/>
            </w:pPr>
            <w:r>
              <w:t xml:space="preserve">ICT</w:t>
            </w:r>
          </w:p>
        </w:tc>
        <w:tc>
          <w:tcPr/>
          <w:p>
            <w:pPr>
              <w:pStyle w:val="Compact"/>
              <w:jc w:val="left"/>
            </w:pPr>
            <w:r>
              <w:t xml:space="preserve">Information and Communication Technology</w:t>
            </w:r>
          </w:p>
        </w:tc>
      </w:tr>
      <w:tr>
        <w:tc>
          <w:tcPr/>
          <w:p>
            <w:pPr>
              <w:pStyle w:val="Compact"/>
              <w:jc w:val="left"/>
            </w:pPr>
            <w:r>
              <w:t xml:space="preserve">NEP</w:t>
            </w:r>
          </w:p>
        </w:tc>
        <w:tc>
          <w:tcPr/>
          <w:p>
            <w:pPr>
              <w:pStyle w:val="Compact"/>
              <w:jc w:val="left"/>
            </w:pPr>
            <w:r>
              <w:t xml:space="preserve">National Education Policy</w:t>
            </w:r>
          </w:p>
        </w:tc>
      </w:tr>
      <w:tr>
        <w:tc>
          <w:tcPr/>
          <w:p>
            <w:pPr>
              <w:pStyle w:val="Compact"/>
              <w:jc w:val="left"/>
            </w:pPr>
            <w:r>
              <w:t xml:space="preserve">NMMS</w:t>
            </w:r>
          </w:p>
        </w:tc>
        <w:tc>
          <w:tcPr/>
          <w:p>
            <w:pPr>
              <w:pStyle w:val="Compact"/>
              <w:jc w:val="left"/>
            </w:pPr>
            <w:r>
              <w:t xml:space="preserve">National Means-cum-Merit Scholarship</w:t>
            </w:r>
          </w:p>
        </w:tc>
      </w:tr>
      <w:tr>
        <w:tc>
          <w:tcPr/>
          <w:p>
            <w:pPr>
              <w:pStyle w:val="Compact"/>
              <w:jc w:val="left"/>
            </w:pPr>
            <w:r>
              <w:t xml:space="preserve">NSQF</w:t>
            </w:r>
          </w:p>
        </w:tc>
        <w:tc>
          <w:tcPr/>
          <w:p>
            <w:pPr>
              <w:pStyle w:val="Compact"/>
              <w:jc w:val="left"/>
            </w:pPr>
            <w:r>
              <w:t xml:space="preserve">National Skills Qualifications Framework</w:t>
            </w:r>
          </w:p>
        </w:tc>
      </w:tr>
      <w:tr>
        <w:tc>
          <w:tcPr/>
          <w:p>
            <w:pPr>
              <w:pStyle w:val="Compact"/>
              <w:jc w:val="left"/>
            </w:pPr>
            <w:r>
              <w:t xml:space="preserve">PARAKH</w:t>
            </w:r>
          </w:p>
        </w:tc>
        <w:tc>
          <w:tcPr/>
          <w:p>
            <w:pPr>
              <w:pStyle w:val="Compact"/>
              <w:jc w:val="left"/>
            </w:pPr>
            <w:r>
              <w:t xml:space="preserve">Performance Assessment, Review and Analysis of Knowledge for Holistic Development</w:t>
            </w:r>
          </w:p>
        </w:tc>
      </w:tr>
      <w:tr>
        <w:tc>
          <w:tcPr/>
          <w:p>
            <w:pPr>
              <w:pStyle w:val="Compact"/>
              <w:jc w:val="left"/>
            </w:pPr>
            <w:r>
              <w:t xml:space="preserve">SDMC</w:t>
            </w:r>
          </w:p>
        </w:tc>
        <w:tc>
          <w:tcPr/>
          <w:p>
            <w:pPr>
              <w:pStyle w:val="Compact"/>
              <w:jc w:val="left"/>
            </w:pPr>
            <w:r>
              <w:t xml:space="preserve">School Development and Monitoring Committee</w:t>
            </w:r>
          </w:p>
        </w:tc>
      </w:tr>
      <w:tr>
        <w:tc>
          <w:tcPr/>
          <w:p>
            <w:pPr>
              <w:pStyle w:val="Compact"/>
              <w:jc w:val="left"/>
            </w:pPr>
            <w:r>
              <w:t xml:space="preserve">SSLC</w:t>
            </w:r>
          </w:p>
        </w:tc>
        <w:tc>
          <w:tcPr/>
          <w:p>
            <w:pPr>
              <w:pStyle w:val="Compact"/>
              <w:jc w:val="left"/>
            </w:pPr>
            <w:r>
              <w:t xml:space="preserve">Secondary School Leaving Certificate</w:t>
            </w:r>
          </w:p>
        </w:tc>
      </w:tr>
      <w:tr>
        <w:tc>
          <w:tcPr/>
          <w:p>
            <w:pPr>
              <w:pStyle w:val="Compact"/>
              <w:jc w:val="left"/>
            </w:pPr>
            <w:r>
              <w:t xml:space="preserve">TALP</w:t>
            </w:r>
          </w:p>
        </w:tc>
        <w:tc>
          <w:tcPr/>
          <w:p>
            <w:pPr>
              <w:pStyle w:val="Compact"/>
              <w:jc w:val="left"/>
            </w:pPr>
            <w:r>
              <w:t xml:space="preserve">Technology Assisted Learning Programme</w:t>
            </w:r>
          </w:p>
        </w:tc>
      </w:tr>
    </w:tbl>
    <w:p>
      <w:pPr>
        <w:pStyle w:val="BodyText"/>
      </w:pPr>
      <w:r>
        <w:rPr>
          <w:bCs/>
          <w:b/>
        </w:rPr>
        <w:t xml:space="preserve">Synopsis</w:t>
      </w:r>
    </w:p>
    <w:p>
      <w:pPr>
        <w:pStyle w:val="BodyText"/>
      </w:pPr>
      <w:r>
        <w:t xml:space="preserve">Karnataka has built a research system in school education that works at the district level. Over two years, DSERT and twenty DIETs completed one hundred and eighty-eight studies (one hundred in 2024-25 and eighty-eight in 2025-26). Of these, nine were conducted by DSERT, mostly statewide, and 179 by the DIETs. For 2026-27, twenty-seven of the thirty-five districts and units have so far submitted 329 studies in eighteen research areas, each district working within a common budget.</w:t>
      </w:r>
    </w:p>
    <w:p>
      <w:pPr>
        <w:pStyle w:val="BodyText"/>
      </w:pPr>
      <w:r>
        <w:t xml:space="preserve">The studies point to five messages:</w:t>
      </w:r>
    </w:p>
    <w:p>
      <w:pPr>
        <w:numPr>
          <w:ilvl w:val="0"/>
          <w:numId w:val="1001"/>
        </w:numPr>
        <w:pStyle w:val="Compact"/>
      </w:pPr>
      <w:r>
        <w:rPr>
          <w:bCs/>
          <w:b/>
        </w:rPr>
        <w:t xml:space="preserve">Programmes reach schools, but they are not used fully.</w:t>
      </w:r>
      <w:r>
        <w:t xml:space="preserve"> </w:t>
      </w:r>
      <w:r>
        <w:t xml:space="preserve">In one district, only 40% of sampled schools had fully functional science laboratories; in another, only 9.5% of teachers showed full awareness of digital safety.</w:t>
      </w:r>
    </w:p>
    <w:p>
      <w:pPr>
        <w:numPr>
          <w:ilvl w:val="0"/>
          <w:numId w:val="1001"/>
        </w:numPr>
        <w:pStyle w:val="Compact"/>
      </w:pPr>
      <w:r>
        <w:rPr>
          <w:bCs/>
          <w:b/>
        </w:rPr>
        <w:t xml:space="preserve">Teachers value training, but it needs follow-up in the classroom.</w:t>
      </w:r>
    </w:p>
    <w:p>
      <w:pPr>
        <w:numPr>
          <w:ilvl w:val="0"/>
          <w:numId w:val="1001"/>
        </w:numPr>
        <w:pStyle w:val="Compact"/>
      </w:pPr>
      <w:r>
        <w:rPr>
          <w:bCs/>
          <w:b/>
        </w:rPr>
        <w:t xml:space="preserve">Inclusion gaps remain</w:t>
      </w:r>
      <w:r>
        <w:t xml:space="preserve"> </w:t>
      </w:r>
      <w:r>
        <w:t xml:space="preserve">for tribal learners, children with special needs and girls in the higher grades.</w:t>
      </w:r>
    </w:p>
    <w:p>
      <w:pPr>
        <w:numPr>
          <w:ilvl w:val="0"/>
          <w:numId w:val="1001"/>
        </w:numPr>
        <w:pStyle w:val="Compact"/>
      </w:pPr>
      <w:r>
        <w:rPr>
          <w:bCs/>
          <w:b/>
        </w:rPr>
        <w:t xml:space="preserve">Community and school committees improve results where they function.</w:t>
      </w:r>
    </w:p>
    <w:p>
      <w:pPr>
        <w:numPr>
          <w:ilvl w:val="0"/>
          <w:numId w:val="1001"/>
        </w:numPr>
        <w:pStyle w:val="Compact"/>
      </w:pPr>
      <w:r>
        <w:rPr>
          <w:bCs/>
          <w:b/>
        </w:rPr>
        <w:t xml:space="preserve">The research system itself has gaps.</w:t>
      </w:r>
      <w:r>
        <w:t xml:space="preserve"> </w:t>
      </w:r>
      <w:r>
        <w:t xml:space="preserve">Several titles are repeated across districts, studies are small, and findings are not yet linked to decisions.</w:t>
      </w:r>
    </w:p>
    <w:p>
      <w:pPr>
        <w:pStyle w:val="FirstParagraph"/>
      </w:pPr>
      <w:r>
        <w:t xml:space="preserve">This note proposes that States treat research as a standing function of school administration, with a shared agenda, pooled samples for questions that matter across the State, structured follow-up on findings, and a modest but protected budget.</w:t>
      </w:r>
    </w:p>
    <w:p>
      <w:pPr>
        <w:pStyle w:val="BodyText"/>
      </w:pPr>
      <w:r>
        <w:rPr>
          <w:bCs/>
          <w:b/>
        </w:rPr>
        <w:t xml:space="preserve">I. Introduction</w:t>
      </w:r>
    </w:p>
    <w:p>
      <w:pPr>
        <w:pStyle w:val="BodyText"/>
      </w:pPr>
      <w:r>
        <w:rPr>
          <w:bCs/>
          <w:b/>
        </w:rPr>
        <w:t xml:space="preserve">Why research matters for States and Union Territories.</w:t>
      </w:r>
      <w:r>
        <w:t xml:space="preserve"> </w:t>
      </w:r>
      <w:r>
        <w:t xml:space="preserve">School education programmes are large. Textbooks, laboratories, digital equipment, training, nutrition, inclusive education and learning campaigns reach every district. Without local evidence, States judge these programmes by what was supplied, not by what changed in the classroom. Research at the district level, close to schools, teachers and communities, is the cheapest way to close that gap. The National Education Policy 2020 itself calls for a culture of research and evidence-based decision-making in education.</w:t>
      </w:r>
    </w:p>
    <w:p>
      <w:pPr>
        <w:pStyle w:val="BodyText"/>
      </w:pPr>
      <w:r>
        <w:rPr>
          <w:bCs/>
          <w:b/>
        </w:rPr>
        <w:t xml:space="preserve">The Karnataka evidence base.</w:t>
      </w:r>
      <w:r>
        <w:t xml:space="preserve"> </w:t>
      </w:r>
      <w:r>
        <w:t xml:space="preserve">The research wing of DSERT has compiled the studies of 2024-25 and 2025-26 into a single compendium of 188 studies. Table 1 summarises its coverage.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Item</w:t>
            </w:r>
          </w:p>
        </w:tc>
        <w:tc>
          <w:tcPr/>
          <w:p>
            <w:pPr>
              <w:pStyle w:val="Compact"/>
              <w:jc w:val="left"/>
            </w:pPr>
            <w:r>
              <w:rPr>
                <w:bCs/>
                <w:b/>
              </w:rPr>
              <w:t xml:space="preserve">2024-25</w:t>
            </w:r>
          </w:p>
        </w:tc>
        <w:tc>
          <w:tcPr/>
          <w:p>
            <w:pPr>
              <w:pStyle w:val="Compact"/>
              <w:jc w:val="left"/>
            </w:pPr>
            <w:r>
              <w:rPr>
                <w:bCs/>
                <w:b/>
              </w:rPr>
              <w:t xml:space="preserve">2025-26</w:t>
            </w:r>
          </w:p>
        </w:tc>
        <w:tc>
          <w:tcPr/>
          <w:p>
            <w:pPr>
              <w:pStyle w:val="Compact"/>
              <w:jc w:val="left"/>
            </w:pPr>
            <w:r>
              <w:rPr>
                <w:bCs/>
                <w:b/>
              </w:rPr>
              <w:t xml:space="preserve">Total</w:t>
            </w:r>
          </w:p>
        </w:tc>
      </w:tr>
      <w:tr>
        <w:tc>
          <w:tcPr/>
          <w:p>
            <w:pPr>
              <w:pStyle w:val="Compact"/>
              <w:jc w:val="left"/>
            </w:pPr>
            <w:r>
              <w:t xml:space="preserve">Studies completed</w:t>
            </w:r>
          </w:p>
        </w:tc>
        <w:tc>
          <w:tcPr/>
          <w:p>
            <w:pPr>
              <w:pStyle w:val="Compact"/>
              <w:jc w:val="left"/>
            </w:pPr>
            <w:r>
              <w:t xml:space="preserve">100</w:t>
            </w:r>
          </w:p>
        </w:tc>
        <w:tc>
          <w:tcPr/>
          <w:p>
            <w:pPr>
              <w:pStyle w:val="Compact"/>
              <w:jc w:val="left"/>
            </w:pPr>
            <w:r>
              <w:t xml:space="preserve">88</w:t>
            </w:r>
          </w:p>
        </w:tc>
        <w:tc>
          <w:tcPr/>
          <w:p>
            <w:pPr>
              <w:pStyle w:val="Compact"/>
              <w:jc w:val="left"/>
            </w:pPr>
            <w:r>
              <w:t xml:space="preserve">188</w:t>
            </w:r>
          </w:p>
        </w:tc>
      </w:tr>
      <w:tr>
        <w:tc>
          <w:tcPr/>
          <w:p>
            <w:pPr>
              <w:pStyle w:val="Compact"/>
              <w:jc w:val="left"/>
            </w:pPr>
            <w:r>
              <w:t xml:space="preserve">By DSERT (mostly statewide)</w:t>
            </w:r>
          </w:p>
        </w:tc>
        <w:tc>
          <w:tcPr/>
          <w:p>
            <w:pPr>
              <w:pStyle w:val="Compact"/>
              <w:jc w:val="left"/>
            </w:pPr>
            <w:r>
              <w:t xml:space="preserve">4</w:t>
            </w:r>
          </w:p>
        </w:tc>
        <w:tc>
          <w:tcPr/>
          <w:p>
            <w:pPr>
              <w:pStyle w:val="Compact"/>
              <w:jc w:val="left"/>
            </w:pPr>
            <w:r>
              <w:t xml:space="preserve">5</w:t>
            </w:r>
          </w:p>
        </w:tc>
        <w:tc>
          <w:tcPr/>
          <w:p>
            <w:pPr>
              <w:pStyle w:val="Compact"/>
              <w:jc w:val="left"/>
            </w:pPr>
            <w:r>
              <w:t xml:space="preserve">9</w:t>
            </w:r>
          </w:p>
        </w:tc>
      </w:tr>
      <w:tr>
        <w:tc>
          <w:tcPr/>
          <w:p>
            <w:pPr>
              <w:pStyle w:val="Compact"/>
              <w:jc w:val="left"/>
            </w:pPr>
            <w:r>
              <w:t xml:space="preserve">By DIETs</w:t>
            </w:r>
          </w:p>
        </w:tc>
        <w:tc>
          <w:tcPr/>
          <w:p>
            <w:pPr>
              <w:pStyle w:val="Compact"/>
              <w:jc w:val="left"/>
            </w:pPr>
            <w:r>
              <w:t xml:space="preserve">96</w:t>
            </w:r>
          </w:p>
        </w:tc>
        <w:tc>
          <w:tcPr/>
          <w:p>
            <w:pPr>
              <w:pStyle w:val="Compact"/>
              <w:jc w:val="left"/>
            </w:pPr>
            <w:r>
              <w:t xml:space="preserve">83</w:t>
            </w:r>
          </w:p>
        </w:tc>
        <w:tc>
          <w:tcPr/>
          <w:p>
            <w:pPr>
              <w:pStyle w:val="Compact"/>
              <w:jc w:val="left"/>
            </w:pPr>
            <w:r>
              <w:t xml:space="preserve">179</w:t>
            </w:r>
          </w:p>
        </w:tc>
      </w:tr>
    </w:tbl>
    <w:p>
      <w:pPr>
        <w:pStyle w:val="BodyText"/>
      </w:pPr>
      <w:r>
        <w:rPr>
          <w:iCs/>
          <w:i/>
        </w:rPr>
        <w:t xml:space="preserve">Table 1. Studies in the compendium. Source: Research Abstracts 2024-25 and 2025-26, DSERT (2026). Districts covered: twenty, plus statewide studies by DSERT.</w:t>
      </w:r>
    </w:p>
    <w:p>
      <w:pPr>
        <w:pStyle w:val="BodyText"/>
      </w:pPr>
      <w:r>
        <w:t xml:space="preserve">The largest contributions come from Uttara Kannada (twenty-three studies), Bagalkote (nineteen), Mandya (seventeen), Vijayapura (sixteen), Hassan (sixteen) and Bengaluru Rural (fourteen). The studies use sample surveys, questionnaires, interviews, classroom observation and, in a few cases, experimental comparison. Study 1, the statewide study on technology integration, sampled 377 schools in ten districts. Study 18, in Ballari, used an experimental and control design and found significant differences in post-test scores.</w:t>
      </w:r>
    </w:p>
    <w:p>
      <w:pPr>
        <w:pStyle w:val="BodyText"/>
      </w:pPr>
      <w:r>
        <w:rPr>
          <w:bCs/>
          <w:b/>
        </w:rPr>
        <w:t xml:space="preserve">Why this matters now.</w:t>
      </w:r>
      <w:r>
        <w:t xml:space="preserve"> </w:t>
      </w:r>
      <w:r>
        <w:t xml:space="preserve">The research system is growing fast. For 2026-27, the research wing’s tracker records 329 studies from twenty-seven of the thirty-five districts and units, in eighteen research areas. Each of the first ten studies in a district may receive up to Rs 1,00,000, within a budget of Rs 10,00,000 per DIET and Rs 3,10,00,000 for the State. The question before the Conference is how to make this effort change what happens for children in schools.</w:t>
      </w:r>
    </w:p>
    <w:p>
      <w:pPr>
        <w:pStyle w:val="BodyText"/>
      </w:pPr>
      <w:r>
        <w:rPr>
          <w:bCs/>
          <w:b/>
        </w:rPr>
        <w:t xml:space="preserve">II. Current Situation</w:t>
      </w:r>
    </w:p>
    <w:p>
      <w:pPr>
        <w:pStyle w:val="BodyText"/>
      </w:pPr>
      <w:r>
        <w:t xml:space="preserve">The 188 studies fall into nine themes, as shown in Table 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Theme</w:t>
            </w:r>
          </w:p>
        </w:tc>
        <w:tc>
          <w:tcPr/>
          <w:p>
            <w:pPr>
              <w:pStyle w:val="Compact"/>
              <w:jc w:val="left"/>
            </w:pPr>
            <w:r>
              <w:rPr>
                <w:bCs/>
                <w:b/>
              </w:rPr>
              <w:t xml:space="preserve">Studies</w:t>
            </w:r>
          </w:p>
        </w:tc>
        <w:tc>
          <w:tcPr/>
          <w:p>
            <w:pPr>
              <w:pStyle w:val="Compact"/>
              <w:jc w:val="left"/>
            </w:pPr>
            <w:r>
              <w:rPr>
                <w:bCs/>
                <w:b/>
              </w:rPr>
              <w:t xml:space="preserve">Share</w:t>
            </w:r>
          </w:p>
        </w:tc>
      </w:tr>
      <w:tr>
        <w:tc>
          <w:tcPr/>
          <w:p>
            <w:pPr>
              <w:pStyle w:val="Compact"/>
              <w:jc w:val="left"/>
            </w:pPr>
            <w:r>
              <w:t xml:space="preserve">Foundational learning, mathematics and language</w:t>
            </w:r>
          </w:p>
        </w:tc>
        <w:tc>
          <w:tcPr/>
          <w:p>
            <w:pPr>
              <w:pStyle w:val="Compact"/>
              <w:jc w:val="left"/>
            </w:pPr>
            <w:r>
              <w:t xml:space="preserve">55</w:t>
            </w:r>
          </w:p>
        </w:tc>
        <w:tc>
          <w:tcPr/>
          <w:p>
            <w:pPr>
              <w:pStyle w:val="Compact"/>
              <w:jc w:val="left"/>
            </w:pPr>
            <w:r>
              <w:t xml:space="preserve">29%</w:t>
            </w:r>
          </w:p>
        </w:tc>
      </w:tr>
      <w:tr>
        <w:tc>
          <w:tcPr/>
          <w:p>
            <w:pPr>
              <w:pStyle w:val="Compact"/>
              <w:jc w:val="left"/>
            </w:pPr>
            <w:r>
              <w:t xml:space="preserve">Digital learning and technology</w:t>
            </w:r>
          </w:p>
        </w:tc>
        <w:tc>
          <w:tcPr/>
          <w:p>
            <w:pPr>
              <w:pStyle w:val="Compact"/>
              <w:jc w:val="left"/>
            </w:pPr>
            <w:r>
              <w:t xml:space="preserve">25</w:t>
            </w:r>
          </w:p>
        </w:tc>
        <w:tc>
          <w:tcPr/>
          <w:p>
            <w:pPr>
              <w:pStyle w:val="Compact"/>
              <w:jc w:val="left"/>
            </w:pPr>
            <w:r>
              <w:t xml:space="preserve">13%</w:t>
            </w:r>
          </w:p>
        </w:tc>
      </w:tr>
      <w:tr>
        <w:tc>
          <w:tcPr/>
          <w:p>
            <w:pPr>
              <w:pStyle w:val="Compact"/>
              <w:jc w:val="left"/>
            </w:pPr>
            <w:r>
              <w:t xml:space="preserve">Health, wellbeing, sports and values</w:t>
            </w:r>
          </w:p>
        </w:tc>
        <w:tc>
          <w:tcPr/>
          <w:p>
            <w:pPr>
              <w:pStyle w:val="Compact"/>
              <w:jc w:val="left"/>
            </w:pPr>
            <w:r>
              <w:t xml:space="preserve">22</w:t>
            </w:r>
          </w:p>
        </w:tc>
        <w:tc>
          <w:tcPr/>
          <w:p>
            <w:pPr>
              <w:pStyle w:val="Compact"/>
              <w:jc w:val="left"/>
            </w:pPr>
            <w:r>
              <w:t xml:space="preserve">12%</w:t>
            </w:r>
          </w:p>
        </w:tc>
      </w:tr>
      <w:tr>
        <w:tc>
          <w:tcPr/>
          <w:p>
            <w:pPr>
              <w:pStyle w:val="Compact"/>
              <w:jc w:val="left"/>
            </w:pPr>
            <w:r>
              <w:t xml:space="preserve">School governance, community and supervision</w:t>
            </w:r>
          </w:p>
        </w:tc>
        <w:tc>
          <w:tcPr/>
          <w:p>
            <w:pPr>
              <w:pStyle w:val="Compact"/>
              <w:jc w:val="left"/>
            </w:pPr>
            <w:r>
              <w:t xml:space="preserve">17</w:t>
            </w:r>
          </w:p>
        </w:tc>
        <w:tc>
          <w:tcPr/>
          <w:p>
            <w:pPr>
              <w:pStyle w:val="Compact"/>
              <w:jc w:val="left"/>
            </w:pPr>
            <w:r>
              <w:t xml:space="preserve">9%</w:t>
            </w:r>
          </w:p>
        </w:tc>
      </w:tr>
      <w:tr>
        <w:tc>
          <w:tcPr/>
          <w:p>
            <w:pPr>
              <w:pStyle w:val="Compact"/>
              <w:jc w:val="left"/>
            </w:pPr>
            <w:r>
              <w:t xml:space="preserve">Science laboratories and experiential learning</w:t>
            </w:r>
          </w:p>
        </w:tc>
        <w:tc>
          <w:tcPr/>
          <w:p>
            <w:pPr>
              <w:pStyle w:val="Compact"/>
              <w:jc w:val="left"/>
            </w:pPr>
            <w:r>
              <w:t xml:space="preserve">17</w:t>
            </w:r>
          </w:p>
        </w:tc>
        <w:tc>
          <w:tcPr/>
          <w:p>
            <w:pPr>
              <w:pStyle w:val="Compact"/>
              <w:jc w:val="left"/>
            </w:pPr>
            <w:r>
              <w:t xml:space="preserve">9%</w:t>
            </w:r>
          </w:p>
        </w:tc>
      </w:tr>
      <w:tr>
        <w:tc>
          <w:tcPr/>
          <w:p>
            <w:pPr>
              <w:pStyle w:val="Compact"/>
              <w:jc w:val="left"/>
            </w:pPr>
            <w:r>
              <w:t xml:space="preserve">Inclusion, equity and access</w:t>
            </w:r>
          </w:p>
        </w:tc>
        <w:tc>
          <w:tcPr/>
          <w:p>
            <w:pPr>
              <w:pStyle w:val="Compact"/>
              <w:jc w:val="left"/>
            </w:pPr>
            <w:r>
              <w:t xml:space="preserve">17</w:t>
            </w:r>
          </w:p>
        </w:tc>
        <w:tc>
          <w:tcPr/>
          <w:p>
            <w:pPr>
              <w:pStyle w:val="Compact"/>
              <w:jc w:val="left"/>
            </w:pPr>
            <w:r>
              <w:t xml:space="preserve">9%</w:t>
            </w:r>
          </w:p>
        </w:tc>
      </w:tr>
      <w:tr>
        <w:tc>
          <w:tcPr/>
          <w:p>
            <w:pPr>
              <w:pStyle w:val="Compact"/>
              <w:jc w:val="left"/>
            </w:pPr>
            <w:r>
              <w:t xml:space="preserve">Early childhood, transitions and skills</w:t>
            </w:r>
          </w:p>
        </w:tc>
        <w:tc>
          <w:tcPr/>
          <w:p>
            <w:pPr>
              <w:pStyle w:val="Compact"/>
              <w:jc w:val="left"/>
            </w:pPr>
            <w:r>
              <w:t xml:space="preserve">13</w:t>
            </w:r>
          </w:p>
        </w:tc>
        <w:tc>
          <w:tcPr/>
          <w:p>
            <w:pPr>
              <w:pStyle w:val="Compact"/>
              <w:jc w:val="left"/>
            </w:pPr>
            <w:r>
              <w:t xml:space="preserve">7%</w:t>
            </w:r>
          </w:p>
        </w:tc>
      </w:tr>
      <w:tr>
        <w:tc>
          <w:tcPr/>
          <w:p>
            <w:pPr>
              <w:pStyle w:val="Compact"/>
              <w:jc w:val="left"/>
            </w:pPr>
            <w:r>
              <w:t xml:space="preserve">Assessment, results and monitoring</w:t>
            </w:r>
          </w:p>
        </w:tc>
        <w:tc>
          <w:tcPr/>
          <w:p>
            <w:pPr>
              <w:pStyle w:val="Compact"/>
              <w:jc w:val="left"/>
            </w:pPr>
            <w:r>
              <w:t xml:space="preserve">12</w:t>
            </w:r>
          </w:p>
        </w:tc>
        <w:tc>
          <w:tcPr/>
          <w:p>
            <w:pPr>
              <w:pStyle w:val="Compact"/>
              <w:jc w:val="left"/>
            </w:pPr>
            <w:r>
              <w:t xml:space="preserve">6%</w:t>
            </w:r>
          </w:p>
        </w:tc>
      </w:tr>
      <w:tr>
        <w:tc>
          <w:tcPr/>
          <w:p>
            <w:pPr>
              <w:pStyle w:val="Compact"/>
              <w:jc w:val="left"/>
            </w:pPr>
            <w:r>
              <w:t xml:space="preserve">Teacher development and training</w:t>
            </w:r>
          </w:p>
        </w:tc>
        <w:tc>
          <w:tcPr/>
          <w:p>
            <w:pPr>
              <w:pStyle w:val="Compact"/>
              <w:jc w:val="left"/>
            </w:pPr>
            <w:r>
              <w:t xml:space="preserve">10</w:t>
            </w:r>
          </w:p>
        </w:tc>
        <w:tc>
          <w:tcPr/>
          <w:p>
            <w:pPr>
              <w:pStyle w:val="Compact"/>
              <w:jc w:val="left"/>
            </w:pPr>
            <w:r>
              <w:t xml:space="preserve">5%</w:t>
            </w:r>
          </w:p>
        </w:tc>
      </w:tr>
      <w:tr>
        <w:tc>
          <w:tcPr/>
          <w:p>
            <w:pPr>
              <w:pStyle w:val="Compact"/>
              <w:jc w:val="left"/>
            </w:pPr>
            <w:r>
              <w:t xml:space="preserve">Total</w:t>
            </w:r>
          </w:p>
        </w:tc>
        <w:tc>
          <w:tcPr/>
          <w:p>
            <w:pPr>
              <w:pStyle w:val="Compact"/>
              <w:jc w:val="left"/>
            </w:pPr>
            <w:r>
              <w:t xml:space="preserve">188</w:t>
            </w:r>
          </w:p>
        </w:tc>
        <w:tc>
          <w:tcPr/>
          <w:p>
            <w:pPr>
              <w:pStyle w:val="Compact"/>
              <w:jc w:val="left"/>
            </w:pPr>
            <w:r>
              <w:t xml:space="preserve">100%</w:t>
            </w:r>
          </w:p>
        </w:tc>
      </w:tr>
    </w:tbl>
    <w:p>
      <w:pPr>
        <w:pStyle w:val="BodyText"/>
      </w:pPr>
      <w:r>
        <w:rPr>
          <w:iCs/>
          <w:i/>
        </w:rPr>
        <w:t xml:space="preserve">Table 2. Studies by theme. Each study is assigned to one theme on the basis of its title, though some studies cut across themes. Shares are rounded. Source: author’s analysis of the compendium.</w:t>
      </w:r>
    </w:p>
    <w:p>
      <w:pPr>
        <w:pStyle w:val="BodyText"/>
      </w:pPr>
      <w:r>
        <w:rPr>
          <w:iCs/>
          <w:i/>
          <w:bCs/>
          <w:b/>
        </w:rPr>
        <w:t xml:space="preserve">1. Foundational learning, mathematics and language</w:t>
      </w:r>
    </w:p>
    <w:p>
      <w:pPr>
        <w:pStyle w:val="BodyText"/>
      </w:pPr>
      <w:r>
        <w:t xml:space="preserve">This is the largest theme, with fifty-five studies. Studies on the Ganitha Kalika Andolana mathematics kits, English Nali Kali, EMTIP and FLN generally report gains. In Ballari, the experimental group’s post-test scores were about 30 to 40% higher than the control group’s (Study 18). In Bengaluru Rural, programme students gained about 65% in speaking confidence and learned on average 30% more words than students taught by the traditional method (Study 28). In Bagalkote, the share of teachers confident in teaching through English rose from 38% to 84% after training (Study 7). Across the State, 79% of mathematics teachers considered activity-based learning the most effective, but large classes, multigrade teaching and scarce resources limited its use (Study 2). Teachers of Marathi and Urdu had fewer resources than teachers of Kannada, English and Hindi (Study 4).</w:t>
      </w:r>
    </w:p>
    <w:p>
      <w:pPr>
        <w:pStyle w:val="BodyText"/>
      </w:pPr>
      <w:r>
        <w:rPr>
          <w:iCs/>
          <w:i/>
          <w:bCs/>
          <w:b/>
        </w:rPr>
        <w:t xml:space="preserve">2. Digital learning and technology</w:t>
      </w:r>
    </w:p>
    <w:p>
      <w:pPr>
        <w:pStyle w:val="BodyText"/>
      </w:pPr>
      <w:r>
        <w:t xml:space="preserve">Twenty-five studies examine TALP, ICT, smart classrooms and digital content. The statewide study found that about 75% of sampled schools used technology actively in teaching, mainly through YouTube (51%) and WhatsApp (43%) (Study 1). In Bengaluru Rural, 96.88% of teachers agreed that ICT tools help students understand complex topics (Study 32). All head teachers there reported that TALP had been implemented, but only 85% of teachers had been trained (Study 40). In Bagalkote, technology use was 72.94% in high schools but only 27.06% in primary schools, and only 9.5% of teachers showed full awareness of digital safety (Study 14).</w:t>
      </w:r>
    </w:p>
    <w:p>
      <w:pPr>
        <w:pStyle w:val="BodyText"/>
      </w:pPr>
      <w:r>
        <w:rPr>
          <w:iCs/>
          <w:i/>
          <w:bCs/>
          <w:b/>
        </w:rPr>
        <w:t xml:space="preserve">3. Science laboratories and experiential learning</w:t>
      </w:r>
    </w:p>
    <w:p>
      <w:pPr>
        <w:pStyle w:val="BodyText"/>
      </w:pPr>
      <w:r>
        <w:t xml:space="preserve">Seventeen studies look at laboratories, Atal Tinkering Labs and practical learning. In Bagalkote, 60% of schools had a separate science laboratory room, yet 60% lacked adequate equipment (Study 11). In Bengaluru Rural, only 40% of schools had fully functional laboratories, and practical sessions were held only two to three times a month (Study 30). Where practical work was regular, between 55% and 85% of respondents reported better engagement and understanding (Study 24), and students showed strong interest in robotics, coding and 3D printing (Study 15).</w:t>
      </w:r>
    </w:p>
    <w:p>
      <w:pPr>
        <w:pStyle w:val="BodyText"/>
      </w:pPr>
      <w:r>
        <w:rPr>
          <w:iCs/>
          <w:i/>
          <w:bCs/>
          <w:b/>
        </w:rPr>
        <w:t xml:space="preserve">4. Inclusion, equity and access</w:t>
      </w:r>
    </w:p>
    <w:p>
      <w:pPr>
        <w:pStyle w:val="BodyText"/>
      </w:pPr>
      <w:r>
        <w:t xml:space="preserve">Seventeen studies cover dropout, tribal learners, children with special needs, gender and ashram schools. In Bagalkote, 75% of the children who dropped out came from low-income families, and lack of money was the main reason (40%) (Study 10). In Hassan, over 60% of tribal students struggled to understand lessons because the medium of instruction differed from their home dialects (Study 125). A study in Bengaluru city found 1,676 children with special needs in Classes 1 to 10, of whom 232 were home-based (Study 41). In Chikkaballapur, girls’ enrolment had reached parity, but their retention fell in the higher grades, and teachers’ unconscious biases reinforced traditional gender roles (Study 52).</w:t>
      </w:r>
    </w:p>
    <w:p>
      <w:pPr>
        <w:pStyle w:val="BodyText"/>
      </w:pPr>
      <w:r>
        <w:rPr>
          <w:iCs/>
          <w:i/>
          <w:bCs/>
          <w:b/>
        </w:rPr>
        <w:t xml:space="preserve">5. Health, wellbeing, sports and values</w:t>
      </w:r>
    </w:p>
    <w:p>
      <w:pPr>
        <w:pStyle w:val="BodyText"/>
      </w:pPr>
      <w:r>
        <w:t xml:space="preserve">Twenty-two studies cover sports, physical education, nutrition, stress, environmental awareness and safety. In Kalaburagi, 51.25% of the students sampled reported stress, mainly from academic pressure, and urban students reported more stress than rural students (Study 65). In Uttara Kannada, physical education suffers from poor infrastructure and a shortage of trained teachers, with about 2,120 posts vacant across the State (Study 90). In Chamarajanagar, sports grants were spent mainly on equipment (Study 48).</w:t>
      </w:r>
    </w:p>
    <w:p>
      <w:pPr>
        <w:pStyle w:val="BodyText"/>
      </w:pPr>
      <w:r>
        <w:rPr>
          <w:iCs/>
          <w:i/>
          <w:bCs/>
          <w:b/>
        </w:rPr>
        <w:t xml:space="preserve">6. School governance, community and supervision</w:t>
      </w:r>
    </w:p>
    <w:p>
      <w:pPr>
        <w:pStyle w:val="BodyText"/>
      </w:pPr>
      <w:r>
        <w:t xml:space="preserve">Seventeen studies cover School Development and Monitoring Committees, community contributions, supervision and review meetings. In Bagalkote, 75% of sampled schools received community contributions, mostly in money (Study 6). In Ballari, schools with functional committees had better infrastructure and classroom practice (Study 20). In Vijayapura, about 97% of committee members had been trained (Study 98). In Hassan, 90% of headmasters considered progress review meetings a key means of improving SSLC results (Study 131).</w:t>
      </w:r>
    </w:p>
    <w:p>
      <w:pPr>
        <w:pStyle w:val="BodyText"/>
      </w:pPr>
      <w:r>
        <w:rPr>
          <w:iCs/>
          <w:i/>
          <w:bCs/>
          <w:b/>
        </w:rPr>
        <w:t xml:space="preserve">7. Early childhood, transitions and skills</w:t>
      </w:r>
    </w:p>
    <w:p>
      <w:pPr>
        <w:pStyle w:val="BodyText"/>
      </w:pPr>
      <w:r>
        <w:t xml:space="preserve">Thirteen studies examine pre-primary education, adult education and skills. In Bagalkote, a skills programme brought significant gains in attendance and in skills-oriented subjects (Study 13), and 78% of students reported better practical and vocational skills (Study 107).</w:t>
      </w:r>
    </w:p>
    <w:p>
      <w:pPr>
        <w:pStyle w:val="BodyText"/>
      </w:pPr>
      <w:r>
        <w:rPr>
          <w:iCs/>
          <w:i/>
          <w:bCs/>
          <w:b/>
        </w:rPr>
        <w:t xml:space="preserve">8. Assessment, results and monitoring</w:t>
      </w:r>
    </w:p>
    <w:p>
      <w:pPr>
        <w:pStyle w:val="BodyText"/>
      </w:pPr>
      <w:r>
        <w:t xml:space="preserve">Twelve studies examine assessment. In Hassan, Grade 3 students had improved in FLN compared with earlier national assessments, but achievement fell in Grades 6 and 9, especially in Mathematics and Science (Study 120). In Tumakuru, every scholarship recipient said that the National Means-cum-Merit Scholarship had helped their education (Study 82).</w:t>
      </w:r>
    </w:p>
    <w:p>
      <w:pPr>
        <w:pStyle w:val="BodyText"/>
      </w:pPr>
      <w:r>
        <w:rPr>
          <w:iCs/>
          <w:i/>
          <w:bCs/>
          <w:b/>
        </w:rPr>
        <w:t xml:space="preserve">9. Teacher development and training</w:t>
      </w:r>
    </w:p>
    <w:p>
      <w:pPr>
        <w:pStyle w:val="BodyText"/>
      </w:pPr>
      <w:r>
        <w:t xml:space="preserve">Ten studies focus on teacher development. In Vijayapura, 98% of teachers agreed that training helps them adopt new methods (Study 92). Graduate Primary Teachers in Tumakuru, however, named workload, non-teaching duties and shortages of materials as barriers (Study 165).</w:t>
      </w:r>
    </w:p>
    <w:p>
      <w:pPr>
        <w:pStyle w:val="BodyText"/>
      </w:pPr>
      <w:r>
        <w:rPr>
          <w:iCs/>
          <w:i/>
          <w:bCs/>
          <w:b/>
        </w:rPr>
        <w:t xml:space="preserve">The 2026-27 research plan</w:t>
      </w:r>
    </w:p>
    <w:p>
      <w:pPr>
        <w:pStyle w:val="BodyText"/>
      </w:pPr>
      <w:r>
        <w:t xml:space="preserve">The tracker for 2026-27 covers 329 studies, each tagged to one of eighteen research areas, among them foundational literacy and numeracy, teacher professional development, ICT, inclusion and early childhood education. Duplicate and near-duplicate titles are flagged in a duplication register, and every proposal is checked against a coverage matrix of districts and research areas. These controls respond to a weakness seen in the earlier years (Section III).</w:t>
      </w:r>
    </w:p>
    <w:p>
      <w:pPr>
        <w:pStyle w:val="BodyText"/>
      </w:pPr>
      <w:r>
        <w:rPr>
          <w:bCs/>
          <w:b/>
        </w:rPr>
        <w:t xml:space="preserve">III. Challenges</w:t>
      </w:r>
    </w:p>
    <w:p>
      <w:pPr>
        <w:numPr>
          <w:ilvl w:val="0"/>
          <w:numId w:val="1002"/>
        </w:numPr>
      </w:pPr>
      <w:r>
        <w:rPr>
          <w:bCs/>
          <w:b/>
        </w:rPr>
        <w:t xml:space="preserve">Duplication without comparison.</w:t>
      </w:r>
      <w:r>
        <w:t xml:space="preserve"> </w:t>
      </w:r>
      <w:r>
        <w:t xml:space="preserve">Several titles are repeated across districts. The technology-integration title appears in three studies (Studies 1, 14 and 32), sixteen titles deal with laboratories, eight with TALP and fourteen with FLN. Repeating a study is useful only when samples are pooled or designed for comparison. Otherwise districts duplicate effort and the findings cannot be combined.</w:t>
      </w:r>
    </w:p>
    <w:p>
      <w:pPr>
        <w:numPr>
          <w:ilvl w:val="0"/>
          <w:numId w:val="1002"/>
        </w:numPr>
      </w:pPr>
      <w:r>
        <w:rPr>
          <w:bCs/>
          <w:b/>
        </w:rPr>
        <w:t xml:space="preserve">Weak research designs.</w:t>
      </w:r>
      <w:r>
        <w:t xml:space="preserve"> </w:t>
      </w:r>
      <w:r>
        <w:t xml:space="preserve">Most studies are small surveys in a single district. Findings are often reported as percentages of respondents’ opinions, with few comparisons against a baseline or a control group. Experimental or comparison designs are rare in the abstracts reviewed.</w:t>
      </w:r>
    </w:p>
    <w:p>
      <w:pPr>
        <w:numPr>
          <w:ilvl w:val="0"/>
          <w:numId w:val="1002"/>
        </w:numPr>
      </w:pPr>
      <w:r>
        <w:rPr>
          <w:bCs/>
          <w:b/>
        </w:rPr>
        <w:t xml:space="preserve">Facilities supplied but not used.</w:t>
      </w:r>
      <w:r>
        <w:t xml:space="preserve"> </w:t>
      </w:r>
      <w:r>
        <w:t xml:space="preserve">Laboratory rooms and equipment exist, yet they are used irregularly (Studies 11 and 30), and awareness of digital safety is low (Study 14).</w:t>
      </w:r>
    </w:p>
    <w:p>
      <w:pPr>
        <w:numPr>
          <w:ilvl w:val="0"/>
          <w:numId w:val="1002"/>
        </w:numPr>
      </w:pPr>
      <w:r>
        <w:rPr>
          <w:bCs/>
          <w:b/>
        </w:rPr>
        <w:t xml:space="preserve">Training without classroom support.</w:t>
      </w:r>
      <w:r>
        <w:t xml:space="preserve"> </w:t>
      </w:r>
      <w:r>
        <w:t xml:space="preserve">Teachers value training (Study 92), but the lack of classroom follow-up, heavy workload and non-teaching duties limit its effect (Study 165). Not all teachers in a programme are trained (Study 40).</w:t>
      </w:r>
    </w:p>
    <w:p>
      <w:pPr>
        <w:numPr>
          <w:ilvl w:val="0"/>
          <w:numId w:val="1002"/>
        </w:numPr>
      </w:pPr>
      <w:r>
        <w:rPr>
          <w:bCs/>
          <w:b/>
        </w:rPr>
        <w:t xml:space="preserve">Persistent inclusion gaps.</w:t>
      </w:r>
      <w:r>
        <w:t xml:space="preserve"> </w:t>
      </w:r>
      <w:r>
        <w:t xml:space="preserve">The language gap for tribal learners (Study 125), home-based children with special needs (Study 41), falling retention of girls in the higher grades (Study 52) and dropout caused by poverty (Study 10) remain unresolved.</w:t>
      </w:r>
    </w:p>
    <w:p>
      <w:pPr>
        <w:numPr>
          <w:ilvl w:val="0"/>
          <w:numId w:val="1002"/>
        </w:numPr>
      </w:pPr>
      <w:r>
        <w:rPr>
          <w:bCs/>
          <w:b/>
        </w:rPr>
        <w:t xml:space="preserve">Learning gains that fade after the foundational stage.</w:t>
      </w:r>
      <w:r>
        <w:t xml:space="preserve"> </w:t>
      </w:r>
      <w:r>
        <w:t xml:space="preserve">Gains in Grade 3 are not sustained in Grades 6 and 9 (Study 120). Most assessment studies are district-level analyses of results.</w:t>
      </w:r>
    </w:p>
    <w:p>
      <w:pPr>
        <w:numPr>
          <w:ilvl w:val="0"/>
          <w:numId w:val="1002"/>
        </w:numPr>
      </w:pPr>
      <w:r>
        <w:rPr>
          <w:bCs/>
          <w:b/>
        </w:rPr>
        <w:t xml:space="preserve">Capacity and funding.</w:t>
      </w:r>
      <w:r>
        <w:t xml:space="preserve"> </w:t>
      </w:r>
      <w:r>
        <w:t xml:space="preserve">The researchers are teacher educators with heavy academic duties. Funds per study are modest, and there is no shared system for turning a finding into a decision.</w:t>
      </w:r>
    </w:p>
    <w:p>
      <w:pPr>
        <w:numPr>
          <w:ilvl w:val="0"/>
          <w:numId w:val="1002"/>
        </w:numPr>
      </w:pPr>
      <w:r>
        <w:rPr>
          <w:bCs/>
          <w:b/>
        </w:rPr>
        <w:t xml:space="preserve">No formal link from evidence to action.</w:t>
      </w:r>
      <w:r>
        <w:t xml:space="preserve"> </w:t>
      </w:r>
      <w:r>
        <w:t xml:space="preserve">Studies are completed and compiled, but no department, Samagra Shiksha unit or district officer is required to respond to a finding.</w:t>
      </w:r>
    </w:p>
    <w:p>
      <w:pPr>
        <w:pStyle w:val="FirstParagraph"/>
      </w:pPr>
      <w:r>
        <w:rPr>
          <w:bCs/>
          <w:b/>
        </w:rPr>
        <w:t xml:space="preserve">IV. Possible Solutions</w:t>
      </w:r>
    </w:p>
    <w:p>
      <w:pPr>
        <w:numPr>
          <w:ilvl w:val="0"/>
          <w:numId w:val="1003"/>
        </w:numPr>
      </w:pPr>
      <w:r>
        <w:rPr>
          <w:bCs/>
          <w:b/>
        </w:rPr>
        <w:t xml:space="preserve">A shared agenda and pooled samples.</w:t>
      </w:r>
      <w:r>
        <w:t xml:space="preserve"> </w:t>
      </w:r>
      <w:r>
        <w:t xml:space="preserve">Set a State research agenda each year with a few statewide questions, such as the use of laboratories, the use of TALP in classrooms, and whether FLN gains last beyond Grade 3. Districts would take part with a common tool and a pooled sample instead of repeating the same title separately.</w:t>
      </w:r>
    </w:p>
    <w:p>
      <w:pPr>
        <w:numPr>
          <w:ilvl w:val="0"/>
          <w:numId w:val="1003"/>
        </w:numPr>
      </w:pPr>
      <w:r>
        <w:rPr>
          <w:bCs/>
          <w:b/>
        </w:rPr>
        <w:t xml:space="preserve">Controls on coverage and duplication.</w:t>
      </w:r>
      <w:r>
        <w:t xml:space="preserve"> </w:t>
      </w:r>
      <w:r>
        <w:t xml:space="preserve">Use the coverage matrix and duplication register, already in place for 2026-27, when approving proposals, so that each district either adds something new or carries out a replication that can be compared.</w:t>
      </w:r>
    </w:p>
    <w:p>
      <w:pPr>
        <w:numPr>
          <w:ilvl w:val="0"/>
          <w:numId w:val="1003"/>
        </w:numPr>
      </w:pPr>
      <w:r>
        <w:rPr>
          <w:bCs/>
          <w:b/>
        </w:rPr>
        <w:t xml:space="preserve">Stronger designs.</w:t>
      </w:r>
      <w:r>
        <w:t xml:space="preserve"> </w:t>
      </w:r>
      <w:r>
        <w:t xml:space="preserve">For flagship programmes, move from opinion surveys to baseline-endline and comparison-group designs, as Study 18 did, with DSERT providing templates and review.</w:t>
      </w:r>
    </w:p>
    <w:p>
      <w:pPr>
        <w:numPr>
          <w:ilvl w:val="0"/>
          <w:numId w:val="1003"/>
        </w:numPr>
      </w:pPr>
      <w:r>
        <w:rPr>
          <w:bCs/>
          <w:b/>
        </w:rPr>
        <w:t xml:space="preserve">Follow-up on findings.</w:t>
      </w:r>
      <w:r>
        <w:t xml:space="preserve"> </w:t>
      </w:r>
      <w:r>
        <w:t xml:space="preserve">Assign each finding to a named officer with a date for response. The findings that can be acted on most readily, such as equipment gaps (Studies 11 and 30) or training gaps (Study 40), can be taken up through the Samagra Shiksha annual work plans.</w:t>
      </w:r>
    </w:p>
    <w:p>
      <w:pPr>
        <w:numPr>
          <w:ilvl w:val="0"/>
          <w:numId w:val="1003"/>
        </w:numPr>
      </w:pPr>
      <w:r>
        <w:rPr>
          <w:bCs/>
          <w:b/>
        </w:rPr>
        <w:t xml:space="preserve">Convergence of existing schemes.</w:t>
      </w:r>
      <w:r>
        <w:t xml:space="preserve"> </w:t>
      </w:r>
      <w:r>
        <w:t xml:space="preserve">Bring the use of science laboratories, ATLs and NSQF laboratories under one monitoring format, and link the use of digital content on DIKSHA and TALP to teacher training and to digital safety training in schools.</w:t>
      </w:r>
    </w:p>
    <w:p>
      <w:pPr>
        <w:numPr>
          <w:ilvl w:val="0"/>
          <w:numId w:val="1003"/>
        </w:numPr>
      </w:pPr>
      <w:r>
        <w:rPr>
          <w:bCs/>
          <w:b/>
        </w:rPr>
        <w:t xml:space="preserve">Targeted inclusion measures.</w:t>
      </w:r>
      <w:r>
        <w:t xml:space="preserve"> </w:t>
      </w:r>
      <w:r>
        <w:t xml:space="preserve">Teach tribal learners in their home languages and provide bridge material in the early grades (Study 125); identify and support home-based children with special needs through Samagra Shiksha inclusive education; and track girls’ retention in Grades 8 to 10 (Study 52).</w:t>
      </w:r>
    </w:p>
    <w:p>
      <w:pPr>
        <w:numPr>
          <w:ilvl w:val="0"/>
          <w:numId w:val="1003"/>
        </w:numPr>
      </w:pPr>
      <w:r>
        <w:rPr>
          <w:bCs/>
          <w:b/>
        </w:rPr>
        <w:t xml:space="preserve">Building researchers’ capacity.</w:t>
      </w:r>
      <w:r>
        <w:t xml:space="preserve"> </w:t>
      </w:r>
      <w:r>
        <w:t xml:space="preserve">Train DIET faculty in research design and analysis, and set up a small peer-review panel at State level.</w:t>
      </w:r>
    </w:p>
    <w:p>
      <w:pPr>
        <w:pStyle w:val="FirstParagraph"/>
      </w:pPr>
      <w:r>
        <w:rPr>
          <w:bCs/>
          <w:b/>
        </w:rPr>
        <w:t xml:space="preserve">V. Best Practices</w:t>
      </w:r>
    </w:p>
    <w:p>
      <w:pPr>
        <w:pStyle w:val="BodyText"/>
      </w:pPr>
      <w:r>
        <w:t xml:space="preserve">Examples from the studies and from the research system:</w:t>
      </w:r>
    </w:p>
    <w:p>
      <w:pPr>
        <w:numPr>
          <w:ilvl w:val="0"/>
          <w:numId w:val="1004"/>
        </w:numPr>
      </w:pPr>
      <w:r>
        <w:t xml:space="preserve">Ballari tested the Ganitha Kalika Andolana kits with an experimental and control design and reported significant gains (Study 18).</w:t>
      </w:r>
    </w:p>
    <w:p>
      <w:pPr>
        <w:numPr>
          <w:ilvl w:val="0"/>
          <w:numId w:val="1004"/>
        </w:numPr>
      </w:pPr>
      <w:r>
        <w:t xml:space="preserve">In Bagalkote, EMTIP training raised teachers’ confidence in teaching through English from 38% to 84% (Study 7), and a skills-based approach improved attendance and achievement in skills-oriented subjects (Study 13).</w:t>
      </w:r>
    </w:p>
    <w:p>
      <w:pPr>
        <w:numPr>
          <w:ilvl w:val="0"/>
          <w:numId w:val="1004"/>
        </w:numPr>
      </w:pPr>
      <w:r>
        <w:t xml:space="preserve">Bengaluru Rural documented gains in speaking and vocabulary under English Nali Kali (Study 28), and reading outcomes under the Room to Read programmes (Studies 34, 35 and 39).</w:t>
      </w:r>
    </w:p>
    <w:p>
      <w:pPr>
        <w:numPr>
          <w:ilvl w:val="0"/>
          <w:numId w:val="1004"/>
        </w:numPr>
      </w:pPr>
      <w:r>
        <w:t xml:space="preserve">Ballari found that functional and transparent School Development and Monitoring Committees go together with better infrastructure and greater trust (Study 20). Hassan used progress review meetings to raise SSLC results (Study 131).</w:t>
      </w:r>
    </w:p>
    <w:p>
      <w:pPr>
        <w:numPr>
          <w:ilvl w:val="0"/>
          <w:numId w:val="1004"/>
        </w:numPr>
      </w:pPr>
      <w:r>
        <w:t xml:space="preserve">Chitradurga’s Natyaananda Science Laboratory combined theatre-based learning with experiments (Study 61).</w:t>
      </w:r>
    </w:p>
    <w:p>
      <w:pPr>
        <w:numPr>
          <w:ilvl w:val="0"/>
          <w:numId w:val="1004"/>
        </w:numPr>
      </w:pPr>
      <w:r>
        <w:t xml:space="preserve">At the State level, DSERT now keeps a research tracker with a coverage matrix, a proposal register, a duplication register and a budget tracker, and prepares an annual compendium of abstracts. Other States can adopt this administrative practice.</w:t>
      </w:r>
    </w:p>
    <w:p>
      <w:pPr>
        <w:pStyle w:val="FirstParagraph"/>
      </w:pPr>
      <w:r>
        <w:rPr>
          <w:iCs/>
          <w:i/>
        </w:rPr>
        <w:t xml:space="preserve">International experience of research-practice partnerships and evidence clearing houses may be added by the nodal Ministry.</w:t>
      </w:r>
    </w:p>
    <w:p>
      <w:pPr>
        <w:pStyle w:val="BodyText"/>
      </w:pPr>
      <w:r>
        <w:rPr>
          <w:bCs/>
          <w:b/>
        </w:rPr>
        <w:t xml:space="preserve">VI. Priority Areas</w:t>
      </w:r>
    </w:p>
    <w:p>
      <w:pPr>
        <w:pStyle w:val="BodyText"/>
      </w:pPr>
      <w:r>
        <w:t xml:space="preserve">The priority areas proposed for the next five years are:</w:t>
      </w:r>
    </w:p>
    <w:p>
      <w:pPr>
        <w:numPr>
          <w:ilvl w:val="0"/>
          <w:numId w:val="1005"/>
        </w:numPr>
      </w:pPr>
      <w:r>
        <w:t xml:space="preserve">Foundational literacy and numeracy: sustaining the gains of Grade 3 into Grades 6 and 9.</w:t>
      </w:r>
    </w:p>
    <w:p>
      <w:pPr>
        <w:numPr>
          <w:ilvl w:val="0"/>
          <w:numId w:val="1005"/>
        </w:numPr>
      </w:pPr>
      <w:r>
        <w:t xml:space="preserve">Teacher development: classroom follow-up, subject-specific support and relief from non-teaching duties.</w:t>
      </w:r>
    </w:p>
    <w:p>
      <w:pPr>
        <w:numPr>
          <w:ilvl w:val="0"/>
          <w:numId w:val="1005"/>
        </w:numPr>
      </w:pPr>
      <w:r>
        <w:t xml:space="preserve">Effective use of the laboratories, digital content and ICT equipment already supplied.</w:t>
      </w:r>
    </w:p>
    <w:p>
      <w:pPr>
        <w:numPr>
          <w:ilvl w:val="0"/>
          <w:numId w:val="1005"/>
        </w:numPr>
      </w:pPr>
      <w:r>
        <w:t xml:space="preserve">Inclusion: tribal learners, children with special needs, girls in the higher grades, and prevention of dropout.</w:t>
      </w:r>
    </w:p>
    <w:p>
      <w:pPr>
        <w:numPr>
          <w:ilvl w:val="0"/>
          <w:numId w:val="1005"/>
        </w:numPr>
      </w:pPr>
      <w:r>
        <w:t xml:space="preserve">Early childhood care and education, and skills in secondary schooling.</w:t>
      </w:r>
    </w:p>
    <w:p>
      <w:pPr>
        <w:numPr>
          <w:ilvl w:val="0"/>
          <w:numId w:val="1005"/>
        </w:numPr>
      </w:pPr>
      <w:r>
        <w:t xml:space="preserve">Student wellbeing, stress, sports and physical education.</w:t>
      </w:r>
    </w:p>
    <w:p>
      <w:pPr>
        <w:numPr>
          <w:ilvl w:val="0"/>
          <w:numId w:val="1005"/>
        </w:numPr>
      </w:pPr>
      <w:r>
        <w:t xml:space="preserve">School and community governance, with committee training and review meetings.</w:t>
      </w:r>
    </w:p>
    <w:p>
      <w:pPr>
        <w:numPr>
          <w:ilvl w:val="0"/>
          <w:numId w:val="1005"/>
        </w:numPr>
      </w:pPr>
      <w:r>
        <w:t xml:space="preserve">Research capacity: design, pooled samples, review and use of findings.</w:t>
      </w:r>
    </w:p>
    <w:p>
      <w:pPr>
        <w:pStyle w:val="FirstParagraph"/>
      </w:pPr>
      <w:r>
        <w:rPr>
          <w:bCs/>
          <w:b/>
        </w:rPr>
        <w:t xml:space="preserve">VII. Way Forward: Strategy for Implementation</w:t>
      </w:r>
    </w:p>
    <w:p>
      <w:pPr>
        <w:pStyle w:val="BodyText"/>
      </w:pPr>
      <w:r>
        <w:rPr>
          <w:iCs/>
          <w:i/>
          <w:bCs/>
          <w:b/>
        </w:rPr>
        <w:t xml:space="preserve">Administrative</w:t>
      </w:r>
    </w:p>
    <w:p>
      <w:pPr>
        <w:pStyle w:val="BodyText"/>
      </w:pPr>
      <w:r>
        <w:t xml:space="preserve">Constitute a State Research Council in school education, chaired by the Commissioner or Secretary, to approve the annual agenda, receive findings and assign follow-up. Require each major scheme to cite the relevant studies in its annual plan.</w:t>
      </w:r>
    </w:p>
    <w:p>
      <w:pPr>
        <w:pStyle w:val="BodyText"/>
      </w:pPr>
      <w:r>
        <w:rPr>
          <w:iCs/>
          <w:i/>
          <w:bCs/>
          <w:b/>
        </w:rPr>
        <w:t xml:space="preserve">Technological</w:t>
      </w:r>
    </w:p>
    <w:p>
      <w:pPr>
        <w:pStyle w:val="BodyText"/>
      </w:pPr>
      <w:r>
        <w:t xml:space="preserve">Move the tracker to a shared digital platform with cloud storage, so that districts upload proposals, abstracts and reports in common formats and the duplication and coverage checks run automatically. Publish abstracts openly.</w:t>
      </w:r>
    </w:p>
    <w:p>
      <w:pPr>
        <w:pStyle w:val="BodyText"/>
      </w:pPr>
      <w:r>
        <w:rPr>
          <w:iCs/>
          <w:i/>
          <w:bCs/>
          <w:b/>
        </w:rPr>
        <w:t xml:space="preserve">Budgetary</w:t>
      </w:r>
    </w:p>
    <w:p>
      <w:pPr>
        <w:pStyle w:val="BodyText"/>
      </w:pPr>
      <w:r>
        <w:t xml:space="preserve">Protect a research line in the budget of each DIET, as the 2026-27 allocation of Rs 10,00,000 per DIET does, and provide additional funds for statewide pooled studies and experimental designs.</w:t>
      </w:r>
    </w:p>
    <w:p>
      <w:pPr>
        <w:pStyle w:val="BodyText"/>
      </w:pPr>
      <w:r>
        <w:rPr>
          <w:iCs/>
          <w:i/>
          <w:bCs/>
          <w:b/>
        </w:rPr>
        <w:t xml:space="preserve">Legal and policy</w:t>
      </w:r>
    </w:p>
    <w:p>
      <w:pPr>
        <w:pStyle w:val="BodyText"/>
      </w:pPr>
      <w:r>
        <w:t xml:space="preserve">No new legislation is needed. A government order setting out the process for the research agenda, the requirement to respond to findings and the norms for sharing data would be enough. The National Education Policy 2020 and its research objectives provide the policy basis.</w:t>
      </w:r>
    </w:p>
    <w:p>
      <w:pPr>
        <w:pStyle w:val="BodyText"/>
      </w:pPr>
      <w:r>
        <w:rPr>
          <w:iCs/>
          <w:i/>
          <w:bCs/>
          <w:b/>
        </w:rPr>
        <w:t xml:space="preserve">Monitoring</w:t>
      </w:r>
    </w:p>
    <w:p>
      <w:pPr>
        <w:pStyle w:val="BodyText"/>
      </w:pPr>
      <w:r>
        <w:t xml:space="preserve">Report each year the number of studies, the share using comparison designs, the number of findings acted upon, and the programmes changed as a result.</w:t>
      </w:r>
    </w:p>
    <w:p>
      <w:pPr>
        <w:pStyle w:val="BodyText"/>
      </w:pPr>
      <w:r>
        <w:rPr>
          <w:bCs/>
          <w:b/>
        </w:rPr>
        <w:t xml:space="preserve">References</w:t>
      </w:r>
    </w:p>
    <w:p>
      <w:pPr>
        <w:pStyle w:val="BodyText"/>
      </w:pPr>
      <w:r>
        <w:t xml:space="preserve">Department of State Educational Research and Training (DSERT), Karnataka (2025). Research Abstracts 2024-25. Bengaluru.</w:t>
      </w:r>
    </w:p>
    <w:p>
      <w:pPr>
        <w:pStyle w:val="BodyText"/>
      </w:pPr>
      <w:r>
        <w:t xml:space="preserve">Department of State Educational Research and Training (DSERT), Karnataka (2026). Research Abstracts 2025-26. Bengaluru.</w:t>
      </w:r>
    </w:p>
    <w:p>
      <w:pPr>
        <w:pStyle w:val="BodyText"/>
      </w:pPr>
      <w:r>
        <w:t xml:space="preserve">Department of State Educational Research and Training (DSERT), Karnataka (2026). Research Studies Tracker 2026-27 (workbook, data as of 13 October 2026). Research Wing, Bengaluru.</w:t>
      </w:r>
    </w:p>
    <w:p>
      <w:pPr>
        <w:pStyle w:val="BodyText"/>
      </w:pPr>
      <w:r>
        <w:t xml:space="preserve">Ministry of Education, Government of India (2020). National Education Policy 2020. New Delhi.</w:t>
      </w:r>
    </w:p>
    <w:p>
      <w:pPr>
        <w:pStyle w:val="BodyText"/>
      </w:pPr>
      <w:r>
        <w:t xml:space="preserve">Study numbers in the text refer to the serial numbers in the compendium (Studies 1 to 100 for 2024-25 and 101 to 188 for 2025-26).</w:t>
      </w:r>
    </w:p>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pPr>
    <w:rPr>
      <w:rFonts w:ascii="Calibri" w:hAnsi="Calibri"/>
      <w:color w:val="000000"/>
      <w:sz w:val="22"/>
    </w:rPr>
  </w:style>
  <w:style w:styleId="BodyText" w:type="paragraph">
    <w:name w:val="Body Text"/>
    <w:basedOn w:val="Normal"/>
    <w:link w:val="BodyTextChar"/>
    <w:pPr>
      <w:spacing w:after="120" w:before="180"/>
    </w:pPr>
    <w:qFormat/>
    <w:rPr>
      <w:rFonts w:ascii="Calibri" w:hAnsi="Calibri"/>
      <w:color w:val="000000"/>
      <w:sz w:val="22"/>
    </w:rPr>
  </w:style>
  <w:style w:customStyle="1" w:styleId="FirstParagraph" w:type="paragraph">
    <w:name w:val="First Paragraph"/>
    <w:basedOn w:val="BodyText"/>
    <w:next w:val="BodyText"/>
    <w:qFormat/>
    <w:pPr>
      <w:spacing w:after="120"/>
    </w:pPr>
    <w:rPr>
      <w:rFonts w:ascii="Calibri" w:hAnsi="Calibri"/>
      <w:color w:val="000000"/>
      <w:sz w:val="22"/>
    </w:rPr>
  </w:style>
  <w:style w:customStyle="1" w:styleId="Compact" w:type="paragraph">
    <w:name w:val="Compact"/>
    <w:basedOn w:val="BodyText"/>
    <w:qFormat/>
    <w:pPr>
      <w:spacing w:after="120" w:before="36"/>
    </w:pPr>
    <w:rPr>
      <w:rFonts w:ascii="Calibri" w:hAnsi="Calibri"/>
      <w:color w:val="000000"/>
      <w:sz w:val="20"/>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00000"/>
      <w:sz w:val="36"/>
      <w:szCs w:val="36"/>
    </w:rPr>
  </w:style>
  <w:style w:styleId="Subtitle" w:type="paragraph">
    <w:name w:val="Subtitle"/>
    <w:basedOn w:val="Title"/>
    <w:next w:val="BodyText"/>
    <w:qFormat/>
    <w:pPr>
      <w:keepNext/>
      <w:keepLines/>
      <w:spacing w:after="240" w:before="240"/>
      <w:jc w:val="center"/>
    </w:pPr>
    <w:rPr>
      <w:rFonts w:ascii="Calibri" w:hAnsi="Calibri"/>
      <w:color w:val="000000"/>
      <w:sz w:val="30"/>
      <w:szCs w:val="30"/>
    </w:rPr>
  </w:style>
  <w:style w:customStyle="1" w:styleId="Author" w:type="paragraph">
    <w:name w:val="Author"/>
    <w:next w:val="BodyText"/>
    <w:qFormat/>
    <w:pPr>
      <w:keepNext/>
      <w:keepLines/>
      <w:jc w:val="center"/>
    </w:pPr>
    <w:rPr>
      <w:rFonts w:ascii="Calibri" w:hAnsi="Calibri"/>
      <w:color w:val="000000"/>
    </w:rPr>
  </w:style>
  <w:style w:styleId="Date" w:type="paragraph">
    <w:name w:val="Date"/>
    <w:next w:val="BodyText"/>
    <w:qFormat/>
    <w:pPr>
      <w:keepNext/>
      <w:keepLines/>
      <w:jc w:val="center"/>
    </w:pPr>
    <w:rPr>
      <w:rFonts w:ascii="Calibri" w:hAnsi="Calibri"/>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Calibri" w:hAnsi="Calibri"/>
      <w:b/>
    </w:rPr>
  </w:style>
  <w:style w:customStyle="1" w:styleId="Abstract" w:type="paragraph">
    <w:name w:val="Abstract"/>
    <w:basedOn w:val="Normal"/>
    <w:next w:val="BodyText"/>
    <w:qFormat/>
    <w:pPr>
      <w:keepNext/>
      <w:keepLines/>
      <w:spacing w:after="300" w:before="100"/>
    </w:pPr>
    <w:rPr>
      <w:rFonts w:ascii="Calibri" w:hAnsi="Calibri"/>
      <w:color w:val="000000"/>
      <w:sz w:val="20"/>
      <w:szCs w:val="20"/>
    </w:rPr>
  </w:style>
  <w:style w:styleId="Bibliography" w:type="paragraph">
    <w:name w:val="Bibliography"/>
    <w:basedOn w:val="Normal"/>
    <w:next w:val="Bibliography"/>
    <w:qFormat/>
    <w:pPr/>
    <w:rPr>
      <w:rFonts w:ascii="Calibri" w:hAnsi="Calibri"/>
      <w:color w:val="000000"/>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000000"/>
    </w:rPr>
  </w:style>
  <w:style w:styleId="FootnoteText" w:type="paragraph">
    <w:name w:val="Footnote Text"/>
    <w:basedOn w:val="Normal"/>
    <w:next w:val="FootnoteText"/>
    <w:uiPriority w:val="9"/>
    <w:unhideWhenUsed/>
    <w:qFormat/>
    <w:rPr>
      <w:rFonts w:ascii="Calibri" w:hAnsi="Calibri"/>
      <w:color w:val="000000"/>
    </w:rPr>
  </w:style>
  <w:style w:default="1" w:styleId="DefaultParagraphFont" w:type="character">
    <w:name w:val="Default Paragraph Font"/>
    <w:semiHidden/>
    <w:unhideWhenUsed/>
    <w:rPr>
      <w:rFonts w:ascii="Calibri" w:hAnsi="Calibri"/>
      <w:color w:val="000000"/>
    </w:rPr>
  </w:style>
  <w:style w:default="1" w:styleId="Table" w:type="table">
    <w:name w:val="Table"/>
    <w:basedOn w:val="TableNormal"/>
    <w:semiHidden/>
    <w:unhideWhenUsed/>
    <w:qFormat/>
    <w:rPr>
      <w:rFonts w:ascii="Calibri" w:hAnsi="Calibri"/>
      <w:color w:val="000000"/>
    </w:rPr>
    <w:tblPr>
      <w:tblInd w:type="dxa" w:w="0"/>
      <w:tblCellMar>
        <w:top w:type="dxa" w:w="0"/>
        <w:left w:type="dxa" w:w="108"/>
        <w:bottom w:type="dxa" w:w="0"/>
        <w:right w:type="dxa" w:w="108"/>
      </w:tblCellMar>
      <w:tblBorders>
        <w:top w:color="808080" w:sz="4" w:val="single"/>
        <w:left w:color="808080" w:sz="4" w:val="single"/>
        <w:bottom w:color="808080" w:sz="4" w:val="single"/>
        <w:right w:color="808080" w:sz="4" w:val="single"/>
        <w:insideH w:color="808080" w:sz="4" w:val="single"/>
        <w:insideV w:color="80808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color w:val="000000"/>
    </w:rPr>
  </w:style>
  <w:style w:customStyle="1" w:styleId="Definition" w:type="paragraph">
    <w:name w:val="Definition"/>
    <w:basedOn w:val="Normal"/>
    <w:rPr>
      <w:rFonts w:ascii="Calibri" w:hAnsi="Calibri"/>
      <w:color w:val="000000"/>
    </w:rPr>
  </w:style>
  <w:style w:styleId="Caption" w:type="paragraph">
    <w:name w:val="Caption"/>
    <w:basedOn w:val="Normal"/>
    <w:link w:val="BodyTextChar"/>
    <w:pPr>
      <w:spacing w:after="120" w:before="0"/>
    </w:pPr>
    <w:rPr>
      <w:rFonts w:ascii="Calibri" w:hAnsi="Calibri"/>
      <w:i/>
      <w:color w:val="000000"/>
    </w:rPr>
  </w:style>
  <w:style w:customStyle="1" w:styleId="TableCaption" w:type="paragraph">
    <w:name w:val="Table Caption"/>
    <w:basedOn w:val="Caption"/>
    <w:pPr>
      <w:keepNext/>
    </w:pPr>
    <w:rPr>
      <w:rFonts w:ascii="Calibri" w:hAnsi="Calibri"/>
      <w:color w:val="000000"/>
    </w:rPr>
  </w:style>
  <w:style w:customStyle="1" w:styleId="ImageCaption" w:type="paragraph">
    <w:name w:val="Image Caption"/>
    <w:basedOn w:val="Caption"/>
    <w:rPr>
      <w:rFonts w:ascii="Calibri" w:hAnsi="Calibri"/>
      <w:color w:val="000000"/>
    </w:rPr>
  </w:style>
  <w:style w:customStyle="1" w:styleId="Figure" w:type="paragraph">
    <w:name w:val="Figure"/>
    <w:basedOn w:val="Normal"/>
    <w:rPr>
      <w:rFonts w:ascii="Calibri" w:hAnsi="Calibri"/>
      <w:color w:val="000000"/>
    </w:rPr>
  </w:style>
  <w:style w:customStyle="1" w:styleId="CaptionedFigure" w:type="paragraph">
    <w:name w:val="Captioned Figure"/>
    <w:basedOn w:val="Figure"/>
    <w:pPr>
      <w:keepNext/>
    </w:pPr>
    <w:rPr>
      <w:rFonts w:ascii="Calibri" w:hAnsi="Calibri"/>
      <w:color w:val="000000"/>
    </w:rPr>
  </w:style>
  <w:style w:customStyle="1" w:styleId="BodyTextChar" w:type="character">
    <w:name w:val="Body Text Char"/>
    <w:basedOn w:val="DefaultParagraphFont"/>
    <w:link w:val="BodyText"/>
    <w:rPr>
      <w:rFonts w:ascii="Calibri" w:hAnsi="Calibri"/>
      <w:color w:val="000000"/>
    </w:rPr>
  </w:style>
  <w:style w:customStyle="1" w:styleId="VerbatimChar" w:type="character">
    <w:name w:val="Verbatim Char"/>
    <w:basedOn w:val="BodyTextChar"/>
    <w:rPr>
      <w:rFonts w:ascii="Calibri" w:hAnsi="Calibri"/>
      <w:color w:val="000000"/>
      <w:sz w:val="22"/>
    </w:rPr>
  </w:style>
  <w:style w:customStyle="1" w:styleId="SectionNumber" w:type="character">
    <w:name w:val="Section Number"/>
    <w:basedOn w:val="BodyTextChar"/>
    <w:rPr>
      <w:rFonts w:ascii="Calibri" w:hAnsi="Calibri"/>
      <w:color w:val="000000"/>
    </w:rPr>
  </w:style>
  <w:style w:styleId="FootnoteReference" w:type="character">
    <w:name w:val="Footnote Reference"/>
    <w:basedOn w:val="BodyTextChar"/>
    <w:rPr>
      <w:rFonts w:ascii="Calibri" w:hAnsi="Calibri"/>
      <w:color w:val="000000"/>
      <w:vertAlign w:val="superscript"/>
    </w:rPr>
  </w:style>
  <w:style w:styleId="Hyperlink" w:type="character">
    <w:name w:val="Hyperlink"/>
    <w:basedOn w:val="BodyTextChar"/>
    <w:rPr>
      <w:rFonts w:ascii="Calibri" w:hAnsi="Calibri"/>
      <w:color w:val="000000"/>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2026-10-14T09:10:46Z</dcterms:created>
  <dcterms:modified xsi:type="dcterms:W3CDTF">2026-10-14T09:10:46Z</dcterms:modified>
</cp:coreProperties>
</file>

<file path=docProps/custom.xml><?xml version="1.0" encoding="utf-8"?>
<Properties xmlns="http://schemas.openxmlformats.org/officeDocument/2006/custom-properties" xmlns:vt="http://schemas.openxmlformats.org/officeDocument/2006/docPropsVTypes"/>
</file>