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b/>
          <w:i w:val="0"/>
          <w:u w:val="none"/>
        </w:rPr>
        <w:t>Annexure-1</w:t>
      </w:r>
    </w:p>
    <w:p>
      <w:pPr>
        <w:spacing w:after="80" w:before="0"/>
        <w:jc w:val="center"/>
      </w:pPr>
      <w:r>
        <w:rPr>
          <w:b/>
          <w:i w:val="0"/>
          <w:sz w:val="28"/>
          <w:u w:val="none"/>
        </w:rPr>
        <w:t>Feedback Notes from DIET Research Studies</w:t>
      </w:r>
    </w:p>
    <w:p>
      <w:pPr>
        <w:spacing w:after="80" w:before="0"/>
        <w:jc w:val="center"/>
      </w:pPr>
      <w:r>
        <w:rPr>
          <w:b/>
          <w:i w:val="0"/>
          <w:sz w:val="24"/>
          <w:u w:val="none"/>
        </w:rPr>
        <w:t>Evidence from the District Institutes of Education and Training (DIETs) of Karnataka</w:t>
      </w:r>
    </w:p>
    <w:p>
      <w:pPr>
        <w:spacing w:after="40" w:before="0"/>
        <w:jc w:val="center"/>
      </w:pPr>
      <w:r>
        <w:rPr>
          <w:b w:val="0"/>
          <w:i w:val="0"/>
          <w:u w:val="none"/>
        </w:rPr>
        <w:t>Sixth National Conference of Chief Secretaries</w:t>
      </w:r>
    </w:p>
    <w:p>
      <w:pPr>
        <w:spacing w:after="40" w:before="0"/>
        <w:jc w:val="center"/>
      </w:pPr>
      <w:r>
        <w:rPr>
          <w:b w:val="0"/>
          <w:i/>
          <w:u w:val="none"/>
        </w:rPr>
        <w:t>Topic: Human Development: Ensure Quality Education</w:t>
      </w:r>
    </w:p>
    <w:p>
      <w:pPr>
        <w:spacing w:after="40" w:before="0"/>
        <w:jc w:val="center"/>
      </w:pPr>
      <w:r>
        <w:rPr>
          <w:b w:val="0"/>
          <w:i/>
          <w:u w:val="none"/>
        </w:rPr>
        <w:t>Theme: Quality Education and Creating Equal Opportunity for All: The Karnataka Approach, 2026-27</w:t>
      </w:r>
    </w:p>
    <w:p>
      <w:pPr>
        <w:spacing w:after="280" w:before="0"/>
        <w:jc w:val="center"/>
      </w:pPr>
      <w:r>
        <w:rPr>
          <w:b w:val="0"/>
          <w:i/>
          <w:u w:val="none"/>
        </w:rPr>
        <w:t>Department of State Educational Research and Training (DSERT), Bengaluru, Government of Karnataka</w:t>
      </w:r>
    </w:p>
    <w:p>
      <w:pPr>
        <w:spacing w:after="120" w:before="0"/>
      </w:pPr>
      <w:r>
        <w:rPr>
          <w:b/>
          <w:i w:val="0"/>
          <w:sz w:val="24"/>
          <w:u w:val="none"/>
        </w:rPr>
        <w:t>List of Feedback Notes</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720"/>
        <w:gridCol w:w="5616"/>
        <w:gridCol w:w="2736"/>
      </w:tblGrid>
      <w:tr>
        <w:trPr>
          <w:cantSplit/>
          <w:tblHeader/>
        </w:trPr>
        <w:tc>
          <w:tcPr>
            <w:tcW w:type="dxa" w:w="720"/>
            <w:shd w:val="clear" w:color="auto" w:fill="D9D9D9"/>
          </w:tcPr>
          <w:p>
            <w:r/>
            <w:r>
              <w:rPr>
                <w:b/>
                <w:sz w:val="20"/>
              </w:rPr>
              <w:t>No.</w:t>
            </w:r>
          </w:p>
        </w:tc>
        <w:tc>
          <w:tcPr>
            <w:tcW w:type="dxa" w:w="5616"/>
            <w:shd w:val="clear" w:color="auto" w:fill="D9D9D9"/>
          </w:tcPr>
          <w:p>
            <w:r/>
            <w:r>
              <w:rPr>
                <w:b/>
                <w:sz w:val="20"/>
              </w:rPr>
              <w:t>Name of the topic</w:t>
            </w:r>
          </w:p>
        </w:tc>
        <w:tc>
          <w:tcPr>
            <w:tcW w:type="dxa" w:w="2736"/>
            <w:shd w:val="clear" w:color="auto" w:fill="D9D9D9"/>
          </w:tcPr>
          <w:p>
            <w:r/>
            <w:r>
              <w:rPr>
                <w:b/>
                <w:sz w:val="20"/>
              </w:rPr>
              <w:t>Current posting</w:t>
            </w:r>
          </w:p>
        </w:tc>
      </w:tr>
      <w:tr>
        <w:trPr>
          <w:cantSplit/>
        </w:trPr>
        <w:tc>
          <w:tcPr>
            <w:tcW w:type="dxa" w:w="720"/>
          </w:tcPr>
          <w:p>
            <w:pPr>
              <w:spacing w:after="0"/>
            </w:pPr>
            <w:r/>
            <w:r>
              <w:rPr>
                <w:sz w:val="20"/>
              </w:rPr>
              <w:t>1</w:t>
            </w:r>
          </w:p>
        </w:tc>
        <w:tc>
          <w:tcPr>
            <w:tcW w:type="dxa" w:w="5616"/>
          </w:tcPr>
          <w:p>
            <w:pPr>
              <w:spacing w:after="0"/>
            </w:pPr>
            <w:r/>
            <w:r>
              <w:rPr>
                <w:sz w:val="20"/>
              </w:rPr>
              <w:t>How teachers use assessment data for remedial teaching</w:t>
            </w:r>
          </w:p>
        </w:tc>
        <w:tc>
          <w:tcPr>
            <w:tcW w:type="dxa" w:w="2736"/>
          </w:tcPr>
          <w:p>
            <w:pPr>
              <w:spacing w:after="0"/>
            </w:pPr>
            <w:r/>
            <w:r>
              <w:rPr>
                <w:sz w:val="20"/>
              </w:rPr>
              <w:t>DIET, Ballari</w:t>
            </w:r>
          </w:p>
        </w:tc>
      </w:tr>
      <w:tr>
        <w:trPr>
          <w:cantSplit/>
        </w:trPr>
        <w:tc>
          <w:tcPr>
            <w:tcW w:type="dxa" w:w="720"/>
          </w:tcPr>
          <w:p>
            <w:pPr>
              <w:spacing w:after="0"/>
            </w:pPr>
            <w:r/>
            <w:r>
              <w:rPr>
                <w:sz w:val="20"/>
              </w:rPr>
              <w:t>2</w:t>
            </w:r>
          </w:p>
        </w:tc>
        <w:tc>
          <w:tcPr>
            <w:tcW w:type="dxa" w:w="5616"/>
          </w:tcPr>
          <w:p>
            <w:pPr>
              <w:spacing w:after="0"/>
            </w:pPr>
            <w:r/>
            <w:r>
              <w:rPr>
                <w:sz w:val="20"/>
              </w:rPr>
              <w:t>Factors behind SSLC results</w:t>
            </w:r>
          </w:p>
        </w:tc>
        <w:tc>
          <w:tcPr>
            <w:tcW w:type="dxa" w:w="2736"/>
          </w:tcPr>
          <w:p>
            <w:pPr>
              <w:spacing w:after="0"/>
            </w:pPr>
            <w:r/>
            <w:r>
              <w:rPr>
                <w:sz w:val="20"/>
              </w:rPr>
              <w:t>DIET, Ballari</w:t>
            </w:r>
          </w:p>
        </w:tc>
      </w:tr>
      <w:tr>
        <w:trPr>
          <w:cantSplit/>
        </w:trPr>
        <w:tc>
          <w:tcPr>
            <w:tcW w:type="dxa" w:w="720"/>
          </w:tcPr>
          <w:p>
            <w:pPr>
              <w:spacing w:after="0"/>
            </w:pPr>
            <w:r/>
            <w:r>
              <w:rPr>
                <w:sz w:val="20"/>
              </w:rPr>
              <w:t>3</w:t>
            </w:r>
          </w:p>
        </w:tc>
        <w:tc>
          <w:tcPr>
            <w:tcW w:type="dxa" w:w="5616"/>
          </w:tcPr>
          <w:p>
            <w:pPr>
              <w:spacing w:after="0"/>
            </w:pPr>
            <w:r/>
            <w:r>
              <w:rPr>
                <w:sz w:val="20"/>
              </w:rPr>
              <w:t>Home language and learning in tribal areas</w:t>
            </w:r>
          </w:p>
        </w:tc>
        <w:tc>
          <w:tcPr>
            <w:tcW w:type="dxa" w:w="2736"/>
          </w:tcPr>
          <w:p>
            <w:pPr>
              <w:spacing w:after="0"/>
            </w:pPr>
            <w:r/>
            <w:r>
              <w:rPr>
                <w:sz w:val="20"/>
              </w:rPr>
              <w:t>DIET, Ballari</w:t>
            </w:r>
          </w:p>
        </w:tc>
      </w:tr>
      <w:tr>
        <w:trPr>
          <w:cantSplit/>
        </w:trPr>
        <w:tc>
          <w:tcPr>
            <w:tcW w:type="dxa" w:w="720"/>
          </w:tcPr>
          <w:p>
            <w:pPr>
              <w:spacing w:after="0"/>
            </w:pPr>
            <w:r/>
            <w:r>
              <w:rPr>
                <w:sz w:val="20"/>
              </w:rPr>
              <w:t>4</w:t>
            </w:r>
          </w:p>
        </w:tc>
        <w:tc>
          <w:tcPr>
            <w:tcW w:type="dxa" w:w="5616"/>
          </w:tcPr>
          <w:p>
            <w:pPr>
              <w:spacing w:after="0"/>
            </w:pPr>
            <w:r/>
            <w:r>
              <w:rPr>
                <w:sz w:val="20"/>
              </w:rPr>
              <w:t>Use of ICT labs, TALP and smart classes</w:t>
            </w:r>
          </w:p>
        </w:tc>
        <w:tc>
          <w:tcPr>
            <w:tcW w:type="dxa" w:w="2736"/>
          </w:tcPr>
          <w:p>
            <w:pPr>
              <w:spacing w:after="0"/>
            </w:pPr>
            <w:r/>
            <w:r>
              <w:rPr>
                <w:sz w:val="20"/>
              </w:rPr>
              <w:t>DIET, Ballari</w:t>
            </w:r>
          </w:p>
        </w:tc>
      </w:tr>
      <w:tr>
        <w:trPr>
          <w:cantSplit/>
        </w:trPr>
        <w:tc>
          <w:tcPr>
            <w:tcW w:type="dxa" w:w="720"/>
          </w:tcPr>
          <w:p>
            <w:pPr>
              <w:spacing w:after="0"/>
            </w:pPr>
            <w:r/>
            <w:r>
              <w:rPr>
                <w:sz w:val="20"/>
              </w:rPr>
              <w:t>5</w:t>
            </w:r>
          </w:p>
        </w:tc>
        <w:tc>
          <w:tcPr>
            <w:tcW w:type="dxa" w:w="5616"/>
          </w:tcPr>
          <w:p>
            <w:pPr>
              <w:spacing w:after="0"/>
            </w:pPr>
            <w:r/>
            <w:r>
              <w:rPr>
                <w:sz w:val="20"/>
              </w:rPr>
              <w:t>Functioning of SDMCs in school development</w:t>
            </w:r>
          </w:p>
        </w:tc>
        <w:tc>
          <w:tcPr>
            <w:tcW w:type="dxa" w:w="2736"/>
          </w:tcPr>
          <w:p>
            <w:pPr>
              <w:spacing w:after="0"/>
            </w:pPr>
            <w:r/>
            <w:r>
              <w:rPr>
                <w:sz w:val="20"/>
              </w:rPr>
              <w:t>DIET, Ballari</w:t>
            </w:r>
          </w:p>
        </w:tc>
      </w:tr>
      <w:tr>
        <w:trPr>
          <w:cantSplit/>
        </w:trPr>
        <w:tc>
          <w:tcPr>
            <w:tcW w:type="dxa" w:w="720"/>
          </w:tcPr>
          <w:p>
            <w:pPr>
              <w:spacing w:after="0"/>
            </w:pPr>
            <w:r/>
            <w:r>
              <w:rPr>
                <w:sz w:val="20"/>
              </w:rPr>
              <w:t>6</w:t>
            </w:r>
          </w:p>
        </w:tc>
        <w:tc>
          <w:tcPr>
            <w:tcW w:type="dxa" w:w="5616"/>
          </w:tcPr>
          <w:p>
            <w:pPr>
              <w:spacing w:after="0"/>
            </w:pPr>
            <w:r/>
            <w:r>
              <w:rPr>
                <w:sz w:val="20"/>
              </w:rPr>
              <w:t>Science laboratories, Atal Tinkering Labs and experiential science</w:t>
            </w:r>
          </w:p>
        </w:tc>
        <w:tc>
          <w:tcPr>
            <w:tcW w:type="dxa" w:w="2736"/>
          </w:tcPr>
          <w:p>
            <w:pPr>
              <w:spacing w:after="0"/>
            </w:pPr>
            <w:r/>
            <w:r>
              <w:rPr>
                <w:sz w:val="20"/>
              </w:rPr>
              <w:t>DIET, Ballari</w:t>
            </w:r>
          </w:p>
        </w:tc>
      </w:tr>
      <w:tr>
        <w:trPr>
          <w:cantSplit/>
        </w:trPr>
        <w:tc>
          <w:tcPr>
            <w:tcW w:type="dxa" w:w="720"/>
          </w:tcPr>
          <w:p>
            <w:pPr>
              <w:spacing w:after="0"/>
            </w:pPr>
            <w:r/>
            <w:r>
              <w:rPr>
                <w:sz w:val="20"/>
              </w:rPr>
              <w:t>7</w:t>
            </w:r>
          </w:p>
        </w:tc>
        <w:tc>
          <w:tcPr>
            <w:tcW w:type="dxa" w:w="5616"/>
          </w:tcPr>
          <w:p>
            <w:pPr>
              <w:spacing w:after="0"/>
            </w:pPr>
            <w:r/>
            <w:r>
              <w:rPr>
                <w:sz w:val="20"/>
              </w:rPr>
              <w:t>Subject pedagogy and teaching-learning materials</w:t>
            </w:r>
          </w:p>
        </w:tc>
        <w:tc>
          <w:tcPr>
            <w:tcW w:type="dxa" w:w="2736"/>
          </w:tcPr>
          <w:p>
            <w:pPr>
              <w:spacing w:after="0"/>
            </w:pPr>
            <w:r/>
            <w:r>
              <w:rPr>
                <w:sz w:val="20"/>
              </w:rPr>
              <w:t>DIET, Ballari</w:t>
            </w:r>
          </w:p>
        </w:tc>
      </w:tr>
      <w:tr>
        <w:trPr>
          <w:cantSplit/>
        </w:trPr>
        <w:tc>
          <w:tcPr>
            <w:tcW w:type="dxa" w:w="720"/>
          </w:tcPr>
          <w:p>
            <w:pPr>
              <w:spacing w:after="0"/>
            </w:pPr>
            <w:r/>
            <w:r>
              <w:rPr>
                <w:sz w:val="20"/>
              </w:rPr>
              <w:t>8</w:t>
            </w:r>
          </w:p>
        </w:tc>
        <w:tc>
          <w:tcPr>
            <w:tcW w:type="dxa" w:w="5616"/>
          </w:tcPr>
          <w:p>
            <w:pPr>
              <w:spacing w:after="0"/>
            </w:pPr>
            <w:r/>
            <w:r>
              <w:rPr>
                <w:sz w:val="20"/>
              </w:rPr>
              <w:t>Effect of Sethubandha/FLN programmes on closing FLN and learning-outcome gaps</w:t>
            </w:r>
          </w:p>
        </w:tc>
        <w:tc>
          <w:tcPr>
            <w:tcW w:type="dxa" w:w="2736"/>
          </w:tcPr>
          <w:p>
            <w:pPr>
              <w:spacing w:after="0"/>
            </w:pPr>
            <w:r/>
            <w:r>
              <w:rPr>
                <w:sz w:val="20"/>
              </w:rPr>
              <w:t>DIET, Bengaluru Rural</w:t>
            </w:r>
          </w:p>
        </w:tc>
      </w:tr>
      <w:tr>
        <w:trPr>
          <w:cantSplit/>
        </w:trPr>
        <w:tc>
          <w:tcPr>
            <w:tcW w:type="dxa" w:w="720"/>
          </w:tcPr>
          <w:p>
            <w:pPr>
              <w:spacing w:after="0"/>
            </w:pPr>
            <w:r/>
            <w:r>
              <w:rPr>
                <w:sz w:val="20"/>
              </w:rPr>
              <w:t>9</w:t>
            </w:r>
          </w:p>
        </w:tc>
        <w:tc>
          <w:tcPr>
            <w:tcW w:type="dxa" w:w="5616"/>
          </w:tcPr>
          <w:p>
            <w:pPr>
              <w:spacing w:after="0"/>
            </w:pPr>
            <w:r/>
            <w:r>
              <w:rPr>
                <w:sz w:val="20"/>
              </w:rPr>
              <w:t>Students' English speaking and communication skills</w:t>
            </w:r>
          </w:p>
        </w:tc>
        <w:tc>
          <w:tcPr>
            <w:tcW w:type="dxa" w:w="2736"/>
          </w:tcPr>
          <w:p>
            <w:pPr>
              <w:spacing w:after="0"/>
            </w:pPr>
            <w:r/>
            <w:r>
              <w:rPr>
                <w:sz w:val="20"/>
              </w:rPr>
              <w:t>DIET, Bengaluru Rural</w:t>
            </w:r>
          </w:p>
        </w:tc>
      </w:tr>
      <w:tr>
        <w:trPr>
          <w:cantSplit/>
        </w:trPr>
        <w:tc>
          <w:tcPr>
            <w:tcW w:type="dxa" w:w="720"/>
          </w:tcPr>
          <w:p>
            <w:pPr>
              <w:spacing w:after="0"/>
            </w:pPr>
            <w:r/>
            <w:r>
              <w:rPr>
                <w:sz w:val="20"/>
              </w:rPr>
              <w:t>10</w:t>
            </w:r>
          </w:p>
        </w:tc>
        <w:tc>
          <w:tcPr>
            <w:tcW w:type="dxa" w:w="5616"/>
          </w:tcPr>
          <w:p>
            <w:pPr>
              <w:spacing w:after="0"/>
            </w:pPr>
            <w:r/>
            <w:r>
              <w:rPr>
                <w:sz w:val="20"/>
              </w:rPr>
              <w:t>Readiness and effect of pre-primary (LKG/UKG, ECCE) education</w:t>
            </w:r>
          </w:p>
        </w:tc>
        <w:tc>
          <w:tcPr>
            <w:tcW w:type="dxa" w:w="2736"/>
          </w:tcPr>
          <w:p>
            <w:pPr>
              <w:spacing w:after="0"/>
            </w:pPr>
            <w:r/>
            <w:r>
              <w:rPr>
                <w:sz w:val="20"/>
              </w:rPr>
              <w:t>DIET, Bengaluru Rural</w:t>
            </w:r>
          </w:p>
        </w:tc>
      </w:tr>
      <w:tr>
        <w:trPr>
          <w:cantSplit/>
        </w:trPr>
        <w:tc>
          <w:tcPr>
            <w:tcW w:type="dxa" w:w="720"/>
          </w:tcPr>
          <w:p>
            <w:pPr>
              <w:spacing w:after="0"/>
            </w:pPr>
            <w:r/>
            <w:r>
              <w:rPr>
                <w:sz w:val="20"/>
              </w:rPr>
              <w:t>11</w:t>
            </w:r>
          </w:p>
        </w:tc>
        <w:tc>
          <w:tcPr>
            <w:tcW w:type="dxa" w:w="5616"/>
          </w:tcPr>
          <w:p>
            <w:pPr>
              <w:spacing w:after="0"/>
            </w:pPr>
            <w:r/>
            <w:r>
              <w:rPr>
                <w:sz w:val="20"/>
              </w:rPr>
              <w:t>Value education and life skills</w:t>
            </w:r>
          </w:p>
        </w:tc>
        <w:tc>
          <w:tcPr>
            <w:tcW w:type="dxa" w:w="2736"/>
          </w:tcPr>
          <w:p>
            <w:pPr>
              <w:spacing w:after="0"/>
            </w:pPr>
            <w:r/>
            <w:r>
              <w:rPr>
                <w:sz w:val="20"/>
              </w:rPr>
              <w:t>DIET, Bengaluru Rural</w:t>
            </w:r>
          </w:p>
        </w:tc>
      </w:tr>
      <w:tr>
        <w:trPr>
          <w:cantSplit/>
        </w:trPr>
        <w:tc>
          <w:tcPr>
            <w:tcW w:type="dxa" w:w="720"/>
          </w:tcPr>
          <w:p>
            <w:pPr>
              <w:spacing w:after="0"/>
            </w:pPr>
            <w:r/>
            <w:r>
              <w:rPr>
                <w:sz w:val="20"/>
              </w:rPr>
              <w:t>12</w:t>
            </w:r>
          </w:p>
        </w:tc>
        <w:tc>
          <w:tcPr>
            <w:tcW w:type="dxa" w:w="5616"/>
          </w:tcPr>
          <w:p>
            <w:pPr>
              <w:spacing w:after="0"/>
            </w:pPr>
            <w:r/>
            <w:r>
              <w:rPr>
                <w:sz w:val="20"/>
              </w:rPr>
              <w:t>School libraries and reading habits</w:t>
            </w:r>
          </w:p>
        </w:tc>
        <w:tc>
          <w:tcPr>
            <w:tcW w:type="dxa" w:w="2736"/>
          </w:tcPr>
          <w:p>
            <w:pPr>
              <w:spacing w:after="0"/>
            </w:pPr>
            <w:r/>
            <w:r>
              <w:rPr>
                <w:sz w:val="20"/>
              </w:rPr>
              <w:t>DIET, Bengaluru Rural</w:t>
            </w:r>
          </w:p>
        </w:tc>
      </w:tr>
      <w:tr>
        <w:trPr>
          <w:cantSplit/>
        </w:trPr>
        <w:tc>
          <w:tcPr>
            <w:tcW w:type="dxa" w:w="720"/>
          </w:tcPr>
          <w:p>
            <w:pPr>
              <w:spacing w:after="0"/>
            </w:pPr>
            <w:r/>
            <w:r>
              <w:rPr>
                <w:sz w:val="20"/>
              </w:rPr>
              <w:t>13</w:t>
            </w:r>
          </w:p>
        </w:tc>
        <w:tc>
          <w:tcPr>
            <w:tcW w:type="dxa" w:w="5616"/>
          </w:tcPr>
          <w:p>
            <w:pPr>
              <w:spacing w:after="0"/>
            </w:pPr>
            <w:r/>
            <w:r>
              <w:rPr>
                <w:sz w:val="20"/>
              </w:rPr>
              <w:t>Use of ICT labs, TALP and smart classes</w:t>
            </w:r>
          </w:p>
        </w:tc>
        <w:tc>
          <w:tcPr>
            <w:tcW w:type="dxa" w:w="2736"/>
          </w:tcPr>
          <w:p>
            <w:pPr>
              <w:spacing w:after="0"/>
            </w:pPr>
            <w:r/>
            <w:r>
              <w:rPr>
                <w:sz w:val="20"/>
              </w:rPr>
              <w:t>DIET, Bengaluru Rural</w:t>
            </w:r>
          </w:p>
        </w:tc>
      </w:tr>
      <w:tr>
        <w:trPr>
          <w:cantSplit/>
        </w:trPr>
        <w:tc>
          <w:tcPr>
            <w:tcW w:type="dxa" w:w="720"/>
          </w:tcPr>
          <w:p>
            <w:pPr>
              <w:spacing w:after="0"/>
            </w:pPr>
            <w:r/>
            <w:r>
              <w:rPr>
                <w:sz w:val="20"/>
              </w:rPr>
              <w:t>14</w:t>
            </w:r>
          </w:p>
        </w:tc>
        <w:tc>
          <w:tcPr>
            <w:tcW w:type="dxa" w:w="5616"/>
          </w:tcPr>
          <w:p>
            <w:pPr>
              <w:spacing w:after="0"/>
            </w:pPr>
            <w:r/>
            <w:r>
              <w:rPr>
                <w:sz w:val="20"/>
              </w:rPr>
              <w:t>Effect of in-service training on classroom practice</w:t>
            </w:r>
          </w:p>
        </w:tc>
        <w:tc>
          <w:tcPr>
            <w:tcW w:type="dxa" w:w="2736"/>
          </w:tcPr>
          <w:p>
            <w:pPr>
              <w:spacing w:after="0"/>
            </w:pPr>
            <w:r/>
            <w:r>
              <w:rPr>
                <w:sz w:val="20"/>
              </w:rPr>
              <w:t>DIET, Bengaluru Rural</w:t>
            </w:r>
          </w:p>
        </w:tc>
      </w:tr>
      <w:tr>
        <w:trPr>
          <w:cantSplit/>
        </w:trPr>
        <w:tc>
          <w:tcPr>
            <w:tcW w:type="dxa" w:w="720"/>
          </w:tcPr>
          <w:p>
            <w:pPr>
              <w:spacing w:after="0"/>
            </w:pPr>
            <w:r/>
            <w:r>
              <w:rPr>
                <w:sz w:val="20"/>
              </w:rPr>
              <w:t>15</w:t>
            </w:r>
          </w:p>
        </w:tc>
        <w:tc>
          <w:tcPr>
            <w:tcW w:type="dxa" w:w="5616"/>
          </w:tcPr>
          <w:p>
            <w:pPr>
              <w:spacing w:after="0"/>
            </w:pPr>
            <w:r/>
            <w:r>
              <w:rPr>
                <w:sz w:val="20"/>
              </w:rPr>
              <w:t>Training needs analysis of teachers</w:t>
            </w:r>
          </w:p>
        </w:tc>
        <w:tc>
          <w:tcPr>
            <w:tcW w:type="dxa" w:w="2736"/>
          </w:tcPr>
          <w:p>
            <w:pPr>
              <w:spacing w:after="0"/>
            </w:pPr>
            <w:r/>
            <w:r>
              <w:rPr>
                <w:sz w:val="20"/>
              </w:rPr>
              <w:t>DIET, Bengaluru Rural</w:t>
            </w:r>
          </w:p>
        </w:tc>
      </w:tr>
      <w:tr>
        <w:trPr>
          <w:cantSplit/>
        </w:trPr>
        <w:tc>
          <w:tcPr>
            <w:tcW w:type="dxa" w:w="720"/>
          </w:tcPr>
          <w:p>
            <w:pPr>
              <w:spacing w:after="0"/>
            </w:pPr>
            <w:r/>
            <w:r>
              <w:rPr>
                <w:sz w:val="20"/>
              </w:rPr>
              <w:t>16</w:t>
            </w:r>
          </w:p>
        </w:tc>
        <w:tc>
          <w:tcPr>
            <w:tcW w:type="dxa" w:w="5616"/>
          </w:tcPr>
          <w:p>
            <w:pPr>
              <w:spacing w:after="0"/>
            </w:pPr>
            <w:r/>
            <w:r>
              <w:rPr>
                <w:sz w:val="20"/>
              </w:rPr>
              <w:t>Science laboratories, Atal Tinkering Labs and experiential science</w:t>
            </w:r>
          </w:p>
        </w:tc>
        <w:tc>
          <w:tcPr>
            <w:tcW w:type="dxa" w:w="2736"/>
          </w:tcPr>
          <w:p>
            <w:pPr>
              <w:spacing w:after="0"/>
            </w:pPr>
            <w:r/>
            <w:r>
              <w:rPr>
                <w:sz w:val="20"/>
              </w:rPr>
              <w:t>DIET, Bengaluru Rural</w:t>
            </w:r>
          </w:p>
        </w:tc>
      </w:tr>
      <w:tr>
        <w:trPr>
          <w:cantSplit/>
        </w:trPr>
        <w:tc>
          <w:tcPr>
            <w:tcW w:type="dxa" w:w="720"/>
          </w:tcPr>
          <w:p>
            <w:pPr>
              <w:spacing w:after="0"/>
            </w:pPr>
            <w:r/>
            <w:r>
              <w:rPr>
                <w:sz w:val="20"/>
              </w:rPr>
              <w:t>17</w:t>
            </w:r>
          </w:p>
        </w:tc>
        <w:tc>
          <w:tcPr>
            <w:tcW w:type="dxa" w:w="5616"/>
          </w:tcPr>
          <w:p>
            <w:pPr>
              <w:spacing w:after="0"/>
            </w:pPr>
            <w:r/>
            <w:r>
              <w:rPr>
                <w:sz w:val="20"/>
              </w:rPr>
              <w:t>Adult and mass education</w:t>
            </w:r>
          </w:p>
        </w:tc>
        <w:tc>
          <w:tcPr>
            <w:tcW w:type="dxa" w:w="2736"/>
          </w:tcPr>
          <w:p>
            <w:pPr>
              <w:spacing w:after="0"/>
            </w:pPr>
            <w:r/>
            <w:r>
              <w:rPr>
                <w:sz w:val="20"/>
              </w:rPr>
              <w:t>DIET, Bengaluru Rural</w:t>
            </w:r>
          </w:p>
        </w:tc>
      </w:tr>
      <w:tr>
        <w:trPr>
          <w:cantSplit/>
        </w:trPr>
        <w:tc>
          <w:tcPr>
            <w:tcW w:type="dxa" w:w="720"/>
          </w:tcPr>
          <w:p>
            <w:pPr>
              <w:spacing w:after="0"/>
            </w:pPr>
            <w:r/>
            <w:r>
              <w:rPr>
                <w:sz w:val="20"/>
              </w:rPr>
              <w:t>18</w:t>
            </w:r>
          </w:p>
        </w:tc>
        <w:tc>
          <w:tcPr>
            <w:tcW w:type="dxa" w:w="5616"/>
          </w:tcPr>
          <w:p>
            <w:pPr>
              <w:spacing w:after="0"/>
            </w:pPr>
            <w:r/>
            <w:r>
              <w:rPr>
                <w:sz w:val="20"/>
              </w:rPr>
              <w:t>Effect of Sethubandha/FLN programmes on closing FLN and learning-outcome gaps</w:t>
            </w:r>
          </w:p>
        </w:tc>
        <w:tc>
          <w:tcPr>
            <w:tcW w:type="dxa" w:w="2736"/>
          </w:tcPr>
          <w:p>
            <w:pPr>
              <w:spacing w:after="0"/>
            </w:pPr>
            <w:r/>
            <w:r>
              <w:rPr>
                <w:sz w:val="20"/>
              </w:rPr>
              <w:t>DIET, Bengaluru Urban</w:t>
            </w:r>
          </w:p>
        </w:tc>
      </w:tr>
      <w:tr>
        <w:trPr>
          <w:cantSplit/>
        </w:trPr>
        <w:tc>
          <w:tcPr>
            <w:tcW w:type="dxa" w:w="720"/>
          </w:tcPr>
          <w:p>
            <w:pPr>
              <w:spacing w:after="0"/>
            </w:pPr>
            <w:r/>
            <w:r>
              <w:rPr>
                <w:sz w:val="20"/>
              </w:rPr>
              <w:t>19</w:t>
            </w:r>
          </w:p>
        </w:tc>
        <w:tc>
          <w:tcPr>
            <w:tcW w:type="dxa" w:w="5616"/>
          </w:tcPr>
          <w:p>
            <w:pPr>
              <w:spacing w:after="0"/>
            </w:pPr>
            <w:r/>
            <w:r>
              <w:rPr>
                <w:sz w:val="20"/>
              </w:rPr>
              <w:t>How teachers use assessment data for remedial teaching</w:t>
            </w:r>
          </w:p>
        </w:tc>
        <w:tc>
          <w:tcPr>
            <w:tcW w:type="dxa" w:w="2736"/>
          </w:tcPr>
          <w:p>
            <w:pPr>
              <w:spacing w:after="0"/>
            </w:pPr>
            <w:r/>
            <w:r>
              <w:rPr>
                <w:sz w:val="20"/>
              </w:rPr>
              <w:t>DIET, Bengaluru Urban</w:t>
            </w:r>
          </w:p>
        </w:tc>
      </w:tr>
      <w:tr>
        <w:trPr>
          <w:cantSplit/>
        </w:trPr>
        <w:tc>
          <w:tcPr>
            <w:tcW w:type="dxa" w:w="720"/>
          </w:tcPr>
          <w:p>
            <w:pPr>
              <w:spacing w:after="0"/>
            </w:pPr>
            <w:r/>
            <w:r>
              <w:rPr>
                <w:sz w:val="20"/>
              </w:rPr>
              <w:t>20</w:t>
            </w:r>
          </w:p>
        </w:tc>
        <w:tc>
          <w:tcPr>
            <w:tcW w:type="dxa" w:w="5616"/>
          </w:tcPr>
          <w:p>
            <w:pPr>
              <w:spacing w:after="0"/>
            </w:pPr>
            <w:r/>
            <w:r>
              <w:rPr>
                <w:sz w:val="20"/>
              </w:rPr>
              <w:t>Factors behind SSLC results</w:t>
            </w:r>
          </w:p>
        </w:tc>
        <w:tc>
          <w:tcPr>
            <w:tcW w:type="dxa" w:w="2736"/>
          </w:tcPr>
          <w:p>
            <w:pPr>
              <w:spacing w:after="0"/>
            </w:pPr>
            <w:r/>
            <w:r>
              <w:rPr>
                <w:sz w:val="20"/>
              </w:rPr>
              <w:t>DIET, Bengaluru Urban</w:t>
            </w:r>
          </w:p>
        </w:tc>
      </w:tr>
      <w:tr>
        <w:trPr>
          <w:cantSplit/>
        </w:trPr>
        <w:tc>
          <w:tcPr>
            <w:tcW w:type="dxa" w:w="720"/>
          </w:tcPr>
          <w:p>
            <w:pPr>
              <w:spacing w:after="0"/>
            </w:pPr>
            <w:r/>
            <w:r>
              <w:rPr>
                <w:sz w:val="20"/>
              </w:rPr>
              <w:t>21</w:t>
            </w:r>
          </w:p>
        </w:tc>
        <w:tc>
          <w:tcPr>
            <w:tcW w:type="dxa" w:w="5616"/>
          </w:tcPr>
          <w:p>
            <w:pPr>
              <w:spacing w:after="0"/>
            </w:pPr>
            <w:r/>
            <w:r>
              <w:rPr>
                <w:sz w:val="20"/>
              </w:rPr>
              <w:t>Classroom practices in bilingual (Kannada-English) schools</w:t>
            </w:r>
          </w:p>
        </w:tc>
        <w:tc>
          <w:tcPr>
            <w:tcW w:type="dxa" w:w="2736"/>
          </w:tcPr>
          <w:p>
            <w:pPr>
              <w:spacing w:after="0"/>
            </w:pPr>
            <w:r/>
            <w:r>
              <w:rPr>
                <w:sz w:val="20"/>
              </w:rPr>
              <w:t>DIET, Bengaluru Urban</w:t>
            </w:r>
          </w:p>
        </w:tc>
      </w:tr>
      <w:tr>
        <w:trPr>
          <w:cantSplit/>
        </w:trPr>
        <w:tc>
          <w:tcPr>
            <w:tcW w:type="dxa" w:w="720"/>
          </w:tcPr>
          <w:p>
            <w:pPr>
              <w:spacing w:after="0"/>
            </w:pPr>
            <w:r/>
            <w:r>
              <w:rPr>
                <w:sz w:val="20"/>
              </w:rPr>
              <w:t>22</w:t>
            </w:r>
          </w:p>
        </w:tc>
        <w:tc>
          <w:tcPr>
            <w:tcW w:type="dxa" w:w="5616"/>
          </w:tcPr>
          <w:p>
            <w:pPr>
              <w:spacing w:after="0"/>
            </w:pPr>
            <w:r/>
            <w:r>
              <w:rPr>
                <w:sz w:val="20"/>
              </w:rPr>
              <w:t>School libraries and reading habits</w:t>
            </w:r>
          </w:p>
        </w:tc>
        <w:tc>
          <w:tcPr>
            <w:tcW w:type="dxa" w:w="2736"/>
          </w:tcPr>
          <w:p>
            <w:pPr>
              <w:spacing w:after="0"/>
            </w:pPr>
            <w:r/>
            <w:r>
              <w:rPr>
                <w:sz w:val="20"/>
              </w:rPr>
              <w:t>DIET, Bengaluru Urban</w:t>
            </w:r>
          </w:p>
        </w:tc>
      </w:tr>
      <w:tr>
        <w:trPr>
          <w:cantSplit/>
        </w:trPr>
        <w:tc>
          <w:tcPr>
            <w:tcW w:type="dxa" w:w="720"/>
          </w:tcPr>
          <w:p>
            <w:pPr>
              <w:spacing w:after="0"/>
            </w:pPr>
            <w:r/>
            <w:r>
              <w:rPr>
                <w:sz w:val="20"/>
              </w:rPr>
              <w:t>23</w:t>
            </w:r>
          </w:p>
        </w:tc>
        <w:tc>
          <w:tcPr>
            <w:tcW w:type="dxa" w:w="5616"/>
          </w:tcPr>
          <w:p>
            <w:pPr>
              <w:spacing w:after="0"/>
            </w:pPr>
            <w:r/>
            <w:r>
              <w:rPr>
                <w:sz w:val="20"/>
              </w:rPr>
              <w:t>Use of ICT labs, TALP and smart classes</w:t>
            </w:r>
          </w:p>
        </w:tc>
        <w:tc>
          <w:tcPr>
            <w:tcW w:type="dxa" w:w="2736"/>
          </w:tcPr>
          <w:p>
            <w:pPr>
              <w:spacing w:after="0"/>
            </w:pPr>
            <w:r/>
            <w:r>
              <w:rPr>
                <w:sz w:val="20"/>
              </w:rPr>
              <w:t>DIET, Bengaluru Urban</w:t>
            </w:r>
          </w:p>
        </w:tc>
      </w:tr>
      <w:tr>
        <w:trPr>
          <w:cantSplit/>
        </w:trPr>
        <w:tc>
          <w:tcPr>
            <w:tcW w:type="dxa" w:w="720"/>
          </w:tcPr>
          <w:p>
            <w:pPr>
              <w:spacing w:after="0"/>
            </w:pPr>
            <w:r/>
            <w:r>
              <w:rPr>
                <w:sz w:val="20"/>
              </w:rPr>
              <w:t>24</w:t>
            </w:r>
          </w:p>
        </w:tc>
        <w:tc>
          <w:tcPr>
            <w:tcW w:type="dxa" w:w="5616"/>
          </w:tcPr>
          <w:p>
            <w:pPr>
              <w:spacing w:after="0"/>
            </w:pPr>
            <w:r/>
            <w:r>
              <w:rPr>
                <w:sz w:val="20"/>
              </w:rPr>
              <w:t>Inclusive education for children with special needs (CWSN)</w:t>
            </w:r>
          </w:p>
        </w:tc>
        <w:tc>
          <w:tcPr>
            <w:tcW w:type="dxa" w:w="2736"/>
          </w:tcPr>
          <w:p>
            <w:pPr>
              <w:spacing w:after="0"/>
            </w:pPr>
            <w:r/>
            <w:r>
              <w:rPr>
                <w:sz w:val="20"/>
              </w:rPr>
              <w:t>DIET, Bengaluru Urban</w:t>
            </w:r>
          </w:p>
        </w:tc>
      </w:tr>
      <w:tr>
        <w:trPr>
          <w:cantSplit/>
        </w:trPr>
        <w:tc>
          <w:tcPr>
            <w:tcW w:type="dxa" w:w="720"/>
          </w:tcPr>
          <w:p>
            <w:pPr>
              <w:spacing w:after="0"/>
            </w:pPr>
            <w:r/>
            <w:r>
              <w:rPr>
                <w:sz w:val="20"/>
              </w:rPr>
              <w:t>25</w:t>
            </w:r>
          </w:p>
        </w:tc>
        <w:tc>
          <w:tcPr>
            <w:tcW w:type="dxa" w:w="5616"/>
          </w:tcPr>
          <w:p>
            <w:pPr>
              <w:spacing w:after="0"/>
            </w:pPr>
            <w:r/>
            <w:r>
              <w:rPr>
                <w:sz w:val="20"/>
              </w:rPr>
              <w:t>Science laboratories, Atal Tinkering Labs and experiential science</w:t>
            </w:r>
          </w:p>
        </w:tc>
        <w:tc>
          <w:tcPr>
            <w:tcW w:type="dxa" w:w="2736"/>
          </w:tcPr>
          <w:p>
            <w:pPr>
              <w:spacing w:after="0"/>
            </w:pPr>
            <w:r/>
            <w:r>
              <w:rPr>
                <w:sz w:val="20"/>
              </w:rPr>
              <w:t>DIET, Bidar</w:t>
            </w:r>
          </w:p>
        </w:tc>
      </w:tr>
      <w:tr>
        <w:trPr>
          <w:cantSplit/>
        </w:trPr>
        <w:tc>
          <w:tcPr>
            <w:tcW w:type="dxa" w:w="720"/>
          </w:tcPr>
          <w:p>
            <w:pPr>
              <w:spacing w:after="0"/>
            </w:pPr>
            <w:r/>
            <w:r>
              <w:rPr>
                <w:sz w:val="20"/>
              </w:rPr>
              <w:t>26</w:t>
            </w:r>
          </w:p>
        </w:tc>
        <w:tc>
          <w:tcPr>
            <w:tcW w:type="dxa" w:w="5616"/>
          </w:tcPr>
          <w:p>
            <w:pPr>
              <w:spacing w:after="0"/>
            </w:pPr>
            <w:r/>
            <w:r>
              <w:rPr>
                <w:sz w:val="20"/>
              </w:rPr>
              <w:t>Effect of Sethubandha/FLN programmes on closing FLN and learning-outcome gaps</w:t>
            </w:r>
          </w:p>
        </w:tc>
        <w:tc>
          <w:tcPr>
            <w:tcW w:type="dxa" w:w="2736"/>
          </w:tcPr>
          <w:p>
            <w:pPr>
              <w:spacing w:after="0"/>
            </w:pPr>
            <w:r/>
            <w:r>
              <w:rPr>
                <w:sz w:val="20"/>
              </w:rPr>
              <w:t>DIET, Chamarajanagar</w:t>
            </w:r>
          </w:p>
        </w:tc>
      </w:tr>
      <w:tr>
        <w:trPr>
          <w:cantSplit/>
        </w:trPr>
        <w:tc>
          <w:tcPr>
            <w:tcW w:type="dxa" w:w="720"/>
          </w:tcPr>
          <w:p>
            <w:pPr>
              <w:spacing w:after="0"/>
            </w:pPr>
            <w:r/>
            <w:r>
              <w:rPr>
                <w:sz w:val="20"/>
              </w:rPr>
              <w:t>27</w:t>
            </w:r>
          </w:p>
        </w:tc>
        <w:tc>
          <w:tcPr>
            <w:tcW w:type="dxa" w:w="5616"/>
          </w:tcPr>
          <w:p>
            <w:pPr>
              <w:spacing w:after="0"/>
            </w:pPr>
            <w:r/>
            <w:r>
              <w:rPr>
                <w:sz w:val="20"/>
              </w:rPr>
              <w:t>Students' English speaking and communication skills</w:t>
            </w:r>
          </w:p>
        </w:tc>
        <w:tc>
          <w:tcPr>
            <w:tcW w:type="dxa" w:w="2736"/>
          </w:tcPr>
          <w:p>
            <w:pPr>
              <w:spacing w:after="0"/>
            </w:pPr>
            <w:r/>
            <w:r>
              <w:rPr>
                <w:sz w:val="20"/>
              </w:rPr>
              <w:t>DIET, Chamarajanagar</w:t>
            </w:r>
          </w:p>
        </w:tc>
      </w:tr>
      <w:tr>
        <w:trPr>
          <w:cantSplit/>
        </w:trPr>
        <w:tc>
          <w:tcPr>
            <w:tcW w:type="dxa" w:w="720"/>
          </w:tcPr>
          <w:p>
            <w:pPr>
              <w:spacing w:after="0"/>
            </w:pPr>
            <w:r/>
            <w:r>
              <w:rPr>
                <w:sz w:val="20"/>
              </w:rPr>
              <w:t>28</w:t>
            </w:r>
          </w:p>
        </w:tc>
        <w:tc>
          <w:tcPr>
            <w:tcW w:type="dxa" w:w="5616"/>
          </w:tcPr>
          <w:p>
            <w:pPr>
              <w:spacing w:after="0"/>
            </w:pPr>
            <w:r/>
            <w:r>
              <w:rPr>
                <w:sz w:val="20"/>
              </w:rPr>
              <w:t>Use of ICT labs, TALP and smart classes</w:t>
            </w:r>
          </w:p>
        </w:tc>
        <w:tc>
          <w:tcPr>
            <w:tcW w:type="dxa" w:w="2736"/>
          </w:tcPr>
          <w:p>
            <w:pPr>
              <w:spacing w:after="0"/>
            </w:pPr>
            <w:r/>
            <w:r>
              <w:rPr>
                <w:sz w:val="20"/>
              </w:rPr>
              <w:t>DIET, Chamarajanagar</w:t>
            </w:r>
          </w:p>
        </w:tc>
      </w:tr>
      <w:tr>
        <w:trPr>
          <w:cantSplit/>
        </w:trPr>
        <w:tc>
          <w:tcPr>
            <w:tcW w:type="dxa" w:w="720"/>
          </w:tcPr>
          <w:p>
            <w:pPr>
              <w:spacing w:after="0"/>
            </w:pPr>
            <w:r/>
            <w:r>
              <w:rPr>
                <w:sz w:val="20"/>
              </w:rPr>
              <w:t>29</w:t>
            </w:r>
          </w:p>
        </w:tc>
        <w:tc>
          <w:tcPr>
            <w:tcW w:type="dxa" w:w="5616"/>
          </w:tcPr>
          <w:p>
            <w:pPr>
              <w:spacing w:after="0"/>
            </w:pPr>
            <w:r/>
            <w:r>
              <w:rPr>
                <w:sz w:val="20"/>
              </w:rPr>
              <w:t>Inclusive education for children with special needs (CWSN)</w:t>
            </w:r>
          </w:p>
        </w:tc>
        <w:tc>
          <w:tcPr>
            <w:tcW w:type="dxa" w:w="2736"/>
          </w:tcPr>
          <w:p>
            <w:pPr>
              <w:spacing w:after="0"/>
            </w:pPr>
            <w:r/>
            <w:r>
              <w:rPr>
                <w:sz w:val="20"/>
              </w:rPr>
              <w:t>DIET, Chamarajanagar</w:t>
            </w:r>
          </w:p>
        </w:tc>
      </w:tr>
      <w:tr>
        <w:trPr>
          <w:cantSplit/>
        </w:trPr>
        <w:tc>
          <w:tcPr>
            <w:tcW w:type="dxa" w:w="720"/>
          </w:tcPr>
          <w:p>
            <w:pPr>
              <w:spacing w:after="0"/>
            </w:pPr>
            <w:r/>
            <w:r>
              <w:rPr>
                <w:sz w:val="20"/>
              </w:rPr>
              <w:t>30</w:t>
            </w:r>
          </w:p>
        </w:tc>
        <w:tc>
          <w:tcPr>
            <w:tcW w:type="dxa" w:w="5616"/>
          </w:tcPr>
          <w:p>
            <w:pPr>
              <w:spacing w:after="0"/>
            </w:pPr>
            <w:r/>
            <w:r>
              <w:rPr>
                <w:sz w:val="20"/>
              </w:rPr>
              <w:t>Learning outcomes of tribal and first-generation learners</w:t>
            </w:r>
          </w:p>
        </w:tc>
        <w:tc>
          <w:tcPr>
            <w:tcW w:type="dxa" w:w="2736"/>
          </w:tcPr>
          <w:p>
            <w:pPr>
              <w:spacing w:after="0"/>
            </w:pPr>
            <w:r/>
            <w:r>
              <w:rPr>
                <w:sz w:val="20"/>
              </w:rPr>
              <w:t>DIET, Chamarajanagar</w:t>
            </w:r>
          </w:p>
        </w:tc>
      </w:tr>
      <w:tr>
        <w:trPr>
          <w:cantSplit/>
        </w:trPr>
        <w:tc>
          <w:tcPr>
            <w:tcW w:type="dxa" w:w="720"/>
          </w:tcPr>
          <w:p>
            <w:pPr>
              <w:spacing w:after="0"/>
            </w:pPr>
            <w:r/>
            <w:r>
              <w:rPr>
                <w:sz w:val="20"/>
              </w:rPr>
              <w:t>31</w:t>
            </w:r>
          </w:p>
        </w:tc>
        <w:tc>
          <w:tcPr>
            <w:tcW w:type="dxa" w:w="5616"/>
          </w:tcPr>
          <w:p>
            <w:pPr>
              <w:spacing w:after="0"/>
            </w:pPr>
            <w:r/>
            <w:r>
              <w:rPr>
                <w:sz w:val="20"/>
              </w:rPr>
              <w:t>Physical education, sports and fitness</w:t>
            </w:r>
          </w:p>
        </w:tc>
        <w:tc>
          <w:tcPr>
            <w:tcW w:type="dxa" w:w="2736"/>
          </w:tcPr>
          <w:p>
            <w:pPr>
              <w:spacing w:after="0"/>
            </w:pPr>
            <w:r/>
            <w:r>
              <w:rPr>
                <w:sz w:val="20"/>
              </w:rPr>
              <w:t>DIET, Chamarajanagar</w:t>
            </w:r>
          </w:p>
        </w:tc>
      </w:tr>
      <w:tr>
        <w:trPr>
          <w:cantSplit/>
        </w:trPr>
        <w:tc>
          <w:tcPr>
            <w:tcW w:type="dxa" w:w="720"/>
          </w:tcPr>
          <w:p>
            <w:pPr>
              <w:spacing w:after="0"/>
            </w:pPr>
            <w:r/>
            <w:r>
              <w:rPr>
                <w:sz w:val="20"/>
              </w:rPr>
              <w:t>32</w:t>
            </w:r>
          </w:p>
        </w:tc>
        <w:tc>
          <w:tcPr>
            <w:tcW w:type="dxa" w:w="5616"/>
          </w:tcPr>
          <w:p>
            <w:pPr>
              <w:spacing w:after="0"/>
            </w:pPr>
            <w:r/>
            <w:r>
              <w:rPr>
                <w:sz w:val="20"/>
              </w:rPr>
              <w:t>Subject pedagogy and teaching-learning materials</w:t>
            </w:r>
          </w:p>
        </w:tc>
        <w:tc>
          <w:tcPr>
            <w:tcW w:type="dxa" w:w="2736"/>
          </w:tcPr>
          <w:p>
            <w:pPr>
              <w:spacing w:after="0"/>
            </w:pPr>
            <w:r/>
            <w:r>
              <w:rPr>
                <w:sz w:val="20"/>
              </w:rPr>
              <w:t>DIET, Chamarajanagar</w:t>
            </w:r>
          </w:p>
        </w:tc>
      </w:tr>
      <w:tr>
        <w:trPr>
          <w:cantSplit/>
        </w:trPr>
        <w:tc>
          <w:tcPr>
            <w:tcW w:type="dxa" w:w="720"/>
          </w:tcPr>
          <w:p>
            <w:pPr>
              <w:spacing w:after="0"/>
            </w:pPr>
            <w:r/>
            <w:r>
              <w:rPr>
                <w:sz w:val="20"/>
              </w:rPr>
              <w:t>33</w:t>
            </w:r>
          </w:p>
        </w:tc>
        <w:tc>
          <w:tcPr>
            <w:tcW w:type="dxa" w:w="5616"/>
          </w:tcPr>
          <w:p>
            <w:pPr>
              <w:spacing w:after="0"/>
            </w:pPr>
            <w:r/>
            <w:r>
              <w:rPr>
                <w:sz w:val="20"/>
              </w:rPr>
              <w:t>School quality, leadership and partnerships</w:t>
            </w:r>
          </w:p>
        </w:tc>
        <w:tc>
          <w:tcPr>
            <w:tcW w:type="dxa" w:w="2736"/>
          </w:tcPr>
          <w:p>
            <w:pPr>
              <w:spacing w:after="0"/>
            </w:pPr>
            <w:r/>
            <w:r>
              <w:rPr>
                <w:sz w:val="20"/>
              </w:rPr>
              <w:t>DIET, Chamarajanagar</w:t>
            </w:r>
          </w:p>
        </w:tc>
      </w:tr>
      <w:tr>
        <w:trPr>
          <w:cantSplit/>
        </w:trPr>
        <w:tc>
          <w:tcPr>
            <w:tcW w:type="dxa" w:w="720"/>
          </w:tcPr>
          <w:p>
            <w:pPr>
              <w:spacing w:after="0"/>
            </w:pPr>
            <w:r/>
            <w:r>
              <w:rPr>
                <w:sz w:val="20"/>
              </w:rPr>
              <w:t>34</w:t>
            </w:r>
          </w:p>
        </w:tc>
        <w:tc>
          <w:tcPr>
            <w:tcW w:type="dxa" w:w="5616"/>
          </w:tcPr>
          <w:p>
            <w:pPr>
              <w:spacing w:after="0"/>
            </w:pPr>
            <w:r/>
            <w:r>
              <w:rPr>
                <w:sz w:val="20"/>
              </w:rPr>
              <w:t>Sambhrama Shanivara (bag-less day)</w:t>
            </w:r>
          </w:p>
        </w:tc>
        <w:tc>
          <w:tcPr>
            <w:tcW w:type="dxa" w:w="2736"/>
          </w:tcPr>
          <w:p>
            <w:pPr>
              <w:spacing w:after="0"/>
            </w:pPr>
            <w:r/>
            <w:r>
              <w:rPr>
                <w:sz w:val="20"/>
              </w:rPr>
              <w:t>DIET, Chikkaballapur</w:t>
            </w:r>
          </w:p>
        </w:tc>
      </w:tr>
      <w:tr>
        <w:trPr>
          <w:cantSplit/>
        </w:trPr>
        <w:tc>
          <w:tcPr>
            <w:tcW w:type="dxa" w:w="720"/>
          </w:tcPr>
          <w:p>
            <w:pPr>
              <w:spacing w:after="0"/>
            </w:pPr>
            <w:r/>
            <w:r>
              <w:rPr>
                <w:sz w:val="20"/>
              </w:rPr>
              <w:t>35</w:t>
            </w:r>
          </w:p>
        </w:tc>
        <w:tc>
          <w:tcPr>
            <w:tcW w:type="dxa" w:w="5616"/>
          </w:tcPr>
          <w:p>
            <w:pPr>
              <w:spacing w:after="0"/>
            </w:pPr>
            <w:r/>
            <w:r>
              <w:rPr>
                <w:sz w:val="20"/>
              </w:rPr>
              <w:t>Teachers' creation and use of digital resources (e-content)</w:t>
            </w:r>
          </w:p>
        </w:tc>
        <w:tc>
          <w:tcPr>
            <w:tcW w:type="dxa" w:w="2736"/>
          </w:tcPr>
          <w:p>
            <w:pPr>
              <w:spacing w:after="0"/>
            </w:pPr>
            <w:r/>
            <w:r>
              <w:rPr>
                <w:sz w:val="20"/>
              </w:rPr>
              <w:t>DIET, Chikkaballapur</w:t>
            </w:r>
          </w:p>
        </w:tc>
      </w:tr>
      <w:tr>
        <w:trPr>
          <w:cantSplit/>
        </w:trPr>
        <w:tc>
          <w:tcPr>
            <w:tcW w:type="dxa" w:w="720"/>
          </w:tcPr>
          <w:p>
            <w:pPr>
              <w:spacing w:after="0"/>
            </w:pPr>
            <w:r/>
            <w:r>
              <w:rPr>
                <w:sz w:val="20"/>
              </w:rPr>
              <w:t>36</w:t>
            </w:r>
          </w:p>
        </w:tc>
        <w:tc>
          <w:tcPr>
            <w:tcW w:type="dxa" w:w="5616"/>
          </w:tcPr>
          <w:p>
            <w:pPr>
              <w:spacing w:after="0"/>
            </w:pPr>
            <w:r/>
            <w:r>
              <w:rPr>
                <w:sz w:val="20"/>
              </w:rPr>
              <w:t>Gender equality and girls' education</w:t>
            </w:r>
          </w:p>
        </w:tc>
        <w:tc>
          <w:tcPr>
            <w:tcW w:type="dxa" w:w="2736"/>
          </w:tcPr>
          <w:p>
            <w:pPr>
              <w:spacing w:after="0"/>
            </w:pPr>
            <w:r/>
            <w:r>
              <w:rPr>
                <w:sz w:val="20"/>
              </w:rPr>
              <w:t>DIET, Chikkaballapur</w:t>
            </w:r>
          </w:p>
        </w:tc>
      </w:tr>
      <w:tr>
        <w:trPr>
          <w:cantSplit/>
        </w:trPr>
        <w:tc>
          <w:tcPr>
            <w:tcW w:type="dxa" w:w="720"/>
          </w:tcPr>
          <w:p>
            <w:pPr>
              <w:spacing w:after="0"/>
            </w:pPr>
            <w:r/>
            <w:r>
              <w:rPr>
                <w:sz w:val="20"/>
              </w:rPr>
              <w:t>37</w:t>
            </w:r>
          </w:p>
        </w:tc>
        <w:tc>
          <w:tcPr>
            <w:tcW w:type="dxa" w:w="5616"/>
          </w:tcPr>
          <w:p>
            <w:pPr>
              <w:spacing w:after="0"/>
            </w:pPr>
            <w:r/>
            <w:r>
              <w:rPr>
                <w:sz w:val="20"/>
              </w:rPr>
              <w:t>Effectiveness of academic monitoring and cluster support</w:t>
            </w:r>
          </w:p>
        </w:tc>
        <w:tc>
          <w:tcPr>
            <w:tcW w:type="dxa" w:w="2736"/>
          </w:tcPr>
          <w:p>
            <w:pPr>
              <w:spacing w:after="0"/>
            </w:pPr>
            <w:r/>
            <w:r>
              <w:rPr>
                <w:sz w:val="20"/>
              </w:rPr>
              <w:t>DIET, Chikkaballapur</w:t>
            </w:r>
          </w:p>
        </w:tc>
      </w:tr>
      <w:tr>
        <w:trPr>
          <w:cantSplit/>
        </w:trPr>
        <w:tc>
          <w:tcPr>
            <w:tcW w:type="dxa" w:w="720"/>
          </w:tcPr>
          <w:p>
            <w:pPr>
              <w:spacing w:after="0"/>
            </w:pPr>
            <w:r/>
            <w:r>
              <w:rPr>
                <w:sz w:val="20"/>
              </w:rPr>
              <w:t>38</w:t>
            </w:r>
          </w:p>
        </w:tc>
        <w:tc>
          <w:tcPr>
            <w:tcW w:type="dxa" w:w="5616"/>
          </w:tcPr>
          <w:p>
            <w:pPr>
              <w:spacing w:after="0"/>
            </w:pPr>
            <w:r/>
            <w:r>
              <w:rPr>
                <w:sz w:val="20"/>
              </w:rPr>
              <w:t>Sambhrama Shanivara (bag-less day)</w:t>
            </w:r>
          </w:p>
        </w:tc>
        <w:tc>
          <w:tcPr>
            <w:tcW w:type="dxa" w:w="2736"/>
          </w:tcPr>
          <w:p>
            <w:pPr>
              <w:spacing w:after="0"/>
            </w:pPr>
            <w:r/>
            <w:r>
              <w:rPr>
                <w:sz w:val="20"/>
              </w:rPr>
              <w:t>DIET, Chikkamagaluru</w:t>
            </w:r>
          </w:p>
        </w:tc>
      </w:tr>
      <w:tr>
        <w:trPr>
          <w:cantSplit/>
        </w:trPr>
        <w:tc>
          <w:tcPr>
            <w:tcW w:type="dxa" w:w="720"/>
          </w:tcPr>
          <w:p>
            <w:pPr>
              <w:spacing w:after="0"/>
            </w:pPr>
            <w:r/>
            <w:r>
              <w:rPr>
                <w:sz w:val="20"/>
              </w:rPr>
              <w:t>39</w:t>
            </w:r>
          </w:p>
        </w:tc>
        <w:tc>
          <w:tcPr>
            <w:tcW w:type="dxa" w:w="5616"/>
          </w:tcPr>
          <w:p>
            <w:pPr>
              <w:spacing w:after="0"/>
            </w:pPr>
            <w:r/>
            <w:r>
              <w:rPr>
                <w:sz w:val="20"/>
              </w:rPr>
              <w:t>Use of ICT labs, TALP and smart classes</w:t>
            </w:r>
          </w:p>
        </w:tc>
        <w:tc>
          <w:tcPr>
            <w:tcW w:type="dxa" w:w="2736"/>
          </w:tcPr>
          <w:p>
            <w:pPr>
              <w:spacing w:after="0"/>
            </w:pPr>
            <w:r/>
            <w:r>
              <w:rPr>
                <w:sz w:val="20"/>
              </w:rPr>
              <w:t>DIET, Chikkamagaluru</w:t>
            </w:r>
          </w:p>
        </w:tc>
      </w:tr>
      <w:tr>
        <w:trPr>
          <w:cantSplit/>
        </w:trPr>
        <w:tc>
          <w:tcPr>
            <w:tcW w:type="dxa" w:w="720"/>
          </w:tcPr>
          <w:p>
            <w:pPr>
              <w:spacing w:after="0"/>
            </w:pPr>
            <w:r/>
            <w:r>
              <w:rPr>
                <w:sz w:val="20"/>
              </w:rPr>
              <w:t>40</w:t>
            </w:r>
          </w:p>
        </w:tc>
        <w:tc>
          <w:tcPr>
            <w:tcW w:type="dxa" w:w="5616"/>
          </w:tcPr>
          <w:p>
            <w:pPr>
              <w:spacing w:after="0"/>
            </w:pPr>
            <w:r/>
            <w:r>
              <w:rPr>
                <w:sz w:val="20"/>
              </w:rPr>
              <w:t>Effectiveness of academic monitoring and cluster support</w:t>
            </w:r>
          </w:p>
        </w:tc>
        <w:tc>
          <w:tcPr>
            <w:tcW w:type="dxa" w:w="2736"/>
          </w:tcPr>
          <w:p>
            <w:pPr>
              <w:spacing w:after="0"/>
            </w:pPr>
            <w:r/>
            <w:r>
              <w:rPr>
                <w:sz w:val="20"/>
              </w:rPr>
              <w:t>DIET, Chikkamagaluru</w:t>
            </w:r>
          </w:p>
        </w:tc>
      </w:tr>
      <w:tr>
        <w:trPr>
          <w:cantSplit/>
        </w:trPr>
        <w:tc>
          <w:tcPr>
            <w:tcW w:type="dxa" w:w="720"/>
          </w:tcPr>
          <w:p>
            <w:pPr>
              <w:spacing w:after="0"/>
            </w:pPr>
            <w:r/>
            <w:r>
              <w:rPr>
                <w:sz w:val="20"/>
              </w:rPr>
              <w:t>41</w:t>
            </w:r>
          </w:p>
        </w:tc>
        <w:tc>
          <w:tcPr>
            <w:tcW w:type="dxa" w:w="5616"/>
          </w:tcPr>
          <w:p>
            <w:pPr>
              <w:spacing w:after="0"/>
            </w:pPr>
            <w:r/>
            <w:r>
              <w:rPr>
                <w:sz w:val="20"/>
              </w:rPr>
              <w:t>Science laboratories, Atal Tinkering Labs and experiential science</w:t>
            </w:r>
          </w:p>
        </w:tc>
        <w:tc>
          <w:tcPr>
            <w:tcW w:type="dxa" w:w="2736"/>
          </w:tcPr>
          <w:p>
            <w:pPr>
              <w:spacing w:after="0"/>
            </w:pPr>
            <w:r/>
            <w:r>
              <w:rPr>
                <w:sz w:val="20"/>
              </w:rPr>
              <w:t>DIET, Chikkamagaluru</w:t>
            </w:r>
          </w:p>
        </w:tc>
      </w:tr>
      <w:tr>
        <w:trPr>
          <w:cantSplit/>
        </w:trPr>
        <w:tc>
          <w:tcPr>
            <w:tcW w:type="dxa" w:w="720"/>
          </w:tcPr>
          <w:p>
            <w:pPr>
              <w:spacing w:after="0"/>
            </w:pPr>
            <w:r/>
            <w:r>
              <w:rPr>
                <w:sz w:val="20"/>
              </w:rPr>
              <w:t>42</w:t>
            </w:r>
          </w:p>
        </w:tc>
        <w:tc>
          <w:tcPr>
            <w:tcW w:type="dxa" w:w="5616"/>
          </w:tcPr>
          <w:p>
            <w:pPr>
              <w:spacing w:after="0"/>
            </w:pPr>
            <w:r/>
            <w:r>
              <w:rPr>
                <w:sz w:val="20"/>
              </w:rPr>
              <w:t>Subject pedagogy and teaching-learning materials</w:t>
            </w:r>
          </w:p>
        </w:tc>
        <w:tc>
          <w:tcPr>
            <w:tcW w:type="dxa" w:w="2736"/>
          </w:tcPr>
          <w:p>
            <w:pPr>
              <w:spacing w:after="0"/>
            </w:pPr>
            <w:r/>
            <w:r>
              <w:rPr>
                <w:sz w:val="20"/>
              </w:rPr>
              <w:t>DIET, Chikkamagaluru</w:t>
            </w:r>
          </w:p>
        </w:tc>
      </w:tr>
      <w:tr>
        <w:trPr>
          <w:cantSplit/>
        </w:trPr>
        <w:tc>
          <w:tcPr>
            <w:tcW w:type="dxa" w:w="720"/>
          </w:tcPr>
          <w:p>
            <w:pPr>
              <w:spacing w:after="0"/>
            </w:pPr>
            <w:r/>
            <w:r>
              <w:rPr>
                <w:sz w:val="20"/>
              </w:rPr>
              <w:t>43</w:t>
            </w:r>
          </w:p>
        </w:tc>
        <w:tc>
          <w:tcPr>
            <w:tcW w:type="dxa" w:w="5616"/>
          </w:tcPr>
          <w:p>
            <w:pPr>
              <w:spacing w:after="0"/>
            </w:pPr>
            <w:r/>
            <w:r>
              <w:rPr>
                <w:sz w:val="20"/>
              </w:rPr>
              <w:t>Teachers' English proficiency and English-medium classroom practice</w:t>
            </w:r>
          </w:p>
        </w:tc>
        <w:tc>
          <w:tcPr>
            <w:tcW w:type="dxa" w:w="2736"/>
          </w:tcPr>
          <w:p>
            <w:pPr>
              <w:spacing w:after="0"/>
            </w:pPr>
            <w:r/>
            <w:r>
              <w:rPr>
                <w:sz w:val="20"/>
              </w:rPr>
              <w:t>DIET, Chitradurga</w:t>
            </w:r>
          </w:p>
        </w:tc>
      </w:tr>
      <w:tr>
        <w:trPr>
          <w:cantSplit/>
        </w:trPr>
        <w:tc>
          <w:tcPr>
            <w:tcW w:type="dxa" w:w="720"/>
          </w:tcPr>
          <w:p>
            <w:pPr>
              <w:spacing w:after="0"/>
            </w:pPr>
            <w:r/>
            <w:r>
              <w:rPr>
                <w:sz w:val="20"/>
              </w:rPr>
              <w:t>44</w:t>
            </w:r>
          </w:p>
        </w:tc>
        <w:tc>
          <w:tcPr>
            <w:tcW w:type="dxa" w:w="5616"/>
          </w:tcPr>
          <w:p>
            <w:pPr>
              <w:spacing w:after="0"/>
            </w:pPr>
            <w:r/>
            <w:r>
              <w:rPr>
                <w:sz w:val="20"/>
              </w:rPr>
              <w:t>Karnataka Public Schools: teaching, learning and infrastructure</w:t>
            </w:r>
          </w:p>
        </w:tc>
        <w:tc>
          <w:tcPr>
            <w:tcW w:type="dxa" w:w="2736"/>
          </w:tcPr>
          <w:p>
            <w:pPr>
              <w:spacing w:after="0"/>
            </w:pPr>
            <w:r/>
            <w:r>
              <w:rPr>
                <w:sz w:val="20"/>
              </w:rPr>
              <w:t>DIET, Chitradurga</w:t>
            </w:r>
          </w:p>
        </w:tc>
      </w:tr>
      <w:tr>
        <w:trPr>
          <w:cantSplit/>
        </w:trPr>
        <w:tc>
          <w:tcPr>
            <w:tcW w:type="dxa" w:w="720"/>
          </w:tcPr>
          <w:p>
            <w:pPr>
              <w:spacing w:after="0"/>
            </w:pPr>
            <w:r/>
            <w:r>
              <w:rPr>
                <w:sz w:val="20"/>
              </w:rPr>
              <w:t>45</w:t>
            </w:r>
          </w:p>
        </w:tc>
        <w:tc>
          <w:tcPr>
            <w:tcW w:type="dxa" w:w="5616"/>
          </w:tcPr>
          <w:p>
            <w:pPr>
              <w:spacing w:after="0"/>
            </w:pPr>
            <w:r/>
            <w:r>
              <w:rPr>
                <w:sz w:val="20"/>
              </w:rPr>
              <w:t>Science laboratories, Atal Tinkering Labs and experiential science</w:t>
            </w:r>
          </w:p>
        </w:tc>
        <w:tc>
          <w:tcPr>
            <w:tcW w:type="dxa" w:w="2736"/>
          </w:tcPr>
          <w:p>
            <w:pPr>
              <w:spacing w:after="0"/>
            </w:pPr>
            <w:r/>
            <w:r>
              <w:rPr>
                <w:sz w:val="20"/>
              </w:rPr>
              <w:t>DIET, Chitradurga</w:t>
            </w:r>
          </w:p>
        </w:tc>
      </w:tr>
      <w:tr>
        <w:trPr>
          <w:cantSplit/>
        </w:trPr>
        <w:tc>
          <w:tcPr>
            <w:tcW w:type="dxa" w:w="720"/>
          </w:tcPr>
          <w:p>
            <w:pPr>
              <w:spacing w:after="0"/>
            </w:pPr>
            <w:r/>
            <w:r>
              <w:rPr>
                <w:sz w:val="20"/>
              </w:rPr>
              <w:t>46</w:t>
            </w:r>
          </w:p>
        </w:tc>
        <w:tc>
          <w:tcPr>
            <w:tcW w:type="dxa" w:w="5616"/>
          </w:tcPr>
          <w:p>
            <w:pPr>
              <w:spacing w:after="0"/>
            </w:pPr>
            <w:r/>
            <w:r>
              <w:rPr>
                <w:sz w:val="20"/>
              </w:rPr>
              <w:t>Subject pedagogy and teaching-learning materials</w:t>
            </w:r>
          </w:p>
        </w:tc>
        <w:tc>
          <w:tcPr>
            <w:tcW w:type="dxa" w:w="2736"/>
          </w:tcPr>
          <w:p>
            <w:pPr>
              <w:spacing w:after="0"/>
            </w:pPr>
            <w:r/>
            <w:r>
              <w:rPr>
                <w:sz w:val="20"/>
              </w:rPr>
              <w:t>DIET, Chitradurga</w:t>
            </w:r>
          </w:p>
        </w:tc>
      </w:tr>
      <w:tr>
        <w:trPr>
          <w:cantSplit/>
        </w:trPr>
        <w:tc>
          <w:tcPr>
            <w:tcW w:type="dxa" w:w="720"/>
          </w:tcPr>
          <w:p>
            <w:pPr>
              <w:spacing w:after="0"/>
            </w:pPr>
            <w:r/>
            <w:r>
              <w:rPr>
                <w:sz w:val="20"/>
              </w:rPr>
              <w:t>47</w:t>
            </w:r>
          </w:p>
        </w:tc>
        <w:tc>
          <w:tcPr>
            <w:tcW w:type="dxa" w:w="5616"/>
          </w:tcPr>
          <w:p>
            <w:pPr>
              <w:spacing w:after="0"/>
            </w:pPr>
            <w:r/>
            <w:r>
              <w:rPr>
                <w:sz w:val="20"/>
              </w:rPr>
              <w:t>Teachers' English proficiency and English-medium classroom practice</w:t>
            </w:r>
          </w:p>
        </w:tc>
        <w:tc>
          <w:tcPr>
            <w:tcW w:type="dxa" w:w="2736"/>
          </w:tcPr>
          <w:p>
            <w:pPr>
              <w:spacing w:after="0"/>
            </w:pPr>
            <w:r/>
            <w:r>
              <w:rPr>
                <w:sz w:val="20"/>
              </w:rPr>
              <w:t>DIET, Dakshina Kannada</w:t>
            </w:r>
          </w:p>
        </w:tc>
      </w:tr>
      <w:tr>
        <w:trPr>
          <w:cantSplit/>
        </w:trPr>
        <w:tc>
          <w:tcPr>
            <w:tcW w:type="dxa" w:w="720"/>
          </w:tcPr>
          <w:p>
            <w:pPr>
              <w:spacing w:after="0"/>
            </w:pPr>
            <w:r/>
            <w:r>
              <w:rPr>
                <w:sz w:val="20"/>
              </w:rPr>
              <w:t>48</w:t>
            </w:r>
          </w:p>
        </w:tc>
        <w:tc>
          <w:tcPr>
            <w:tcW w:type="dxa" w:w="5616"/>
          </w:tcPr>
          <w:p>
            <w:pPr>
              <w:spacing w:after="0"/>
            </w:pPr>
            <w:r/>
            <w:r>
              <w:rPr>
                <w:sz w:val="20"/>
              </w:rPr>
              <w:t>Professional learning communities and peer learning among teachers</w:t>
            </w:r>
          </w:p>
        </w:tc>
        <w:tc>
          <w:tcPr>
            <w:tcW w:type="dxa" w:w="2736"/>
          </w:tcPr>
          <w:p>
            <w:pPr>
              <w:spacing w:after="0"/>
            </w:pPr>
            <w:r/>
            <w:r>
              <w:rPr>
                <w:sz w:val="20"/>
              </w:rPr>
              <w:t>DIET, Dakshina Kannada</w:t>
            </w:r>
          </w:p>
        </w:tc>
      </w:tr>
      <w:tr>
        <w:trPr>
          <w:cantSplit/>
        </w:trPr>
        <w:tc>
          <w:tcPr>
            <w:tcW w:type="dxa" w:w="720"/>
          </w:tcPr>
          <w:p>
            <w:pPr>
              <w:spacing w:after="0"/>
            </w:pPr>
            <w:r/>
            <w:r>
              <w:rPr>
                <w:sz w:val="20"/>
              </w:rPr>
              <w:t>49</w:t>
            </w:r>
          </w:p>
        </w:tc>
        <w:tc>
          <w:tcPr>
            <w:tcW w:type="dxa" w:w="5616"/>
          </w:tcPr>
          <w:p>
            <w:pPr>
              <w:spacing w:after="0"/>
            </w:pPr>
            <w:r/>
            <w:r>
              <w:rPr>
                <w:sz w:val="20"/>
              </w:rPr>
              <w:t>Science laboratories, Atal Tinkering Labs and experiential science</w:t>
            </w:r>
          </w:p>
        </w:tc>
        <w:tc>
          <w:tcPr>
            <w:tcW w:type="dxa" w:w="2736"/>
          </w:tcPr>
          <w:p>
            <w:pPr>
              <w:spacing w:after="0"/>
            </w:pPr>
            <w:r/>
            <w:r>
              <w:rPr>
                <w:sz w:val="20"/>
              </w:rPr>
              <w:t>DIET, Dakshina Kannada</w:t>
            </w:r>
          </w:p>
        </w:tc>
      </w:tr>
      <w:tr>
        <w:trPr>
          <w:cantSplit/>
        </w:trPr>
        <w:tc>
          <w:tcPr>
            <w:tcW w:type="dxa" w:w="720"/>
          </w:tcPr>
          <w:p>
            <w:pPr>
              <w:spacing w:after="0"/>
            </w:pPr>
            <w:r/>
            <w:r>
              <w:rPr>
                <w:sz w:val="20"/>
              </w:rPr>
              <w:t>50</w:t>
            </w:r>
          </w:p>
        </w:tc>
        <w:tc>
          <w:tcPr>
            <w:tcW w:type="dxa" w:w="5616"/>
          </w:tcPr>
          <w:p>
            <w:pPr>
              <w:spacing w:after="0"/>
            </w:pPr>
            <w:r/>
            <w:r>
              <w:rPr>
                <w:sz w:val="20"/>
              </w:rPr>
              <w:t>Adolescent development</w:t>
            </w:r>
          </w:p>
        </w:tc>
        <w:tc>
          <w:tcPr>
            <w:tcW w:type="dxa" w:w="2736"/>
          </w:tcPr>
          <w:p>
            <w:pPr>
              <w:spacing w:after="0"/>
            </w:pPr>
            <w:r/>
            <w:r>
              <w:rPr>
                <w:sz w:val="20"/>
              </w:rPr>
              <w:t>DIET, Dakshina Kannada</w:t>
            </w:r>
          </w:p>
        </w:tc>
      </w:tr>
      <w:tr>
        <w:trPr>
          <w:cantSplit/>
        </w:trPr>
        <w:tc>
          <w:tcPr>
            <w:tcW w:type="dxa" w:w="720"/>
          </w:tcPr>
          <w:p>
            <w:pPr>
              <w:spacing w:after="0"/>
            </w:pPr>
            <w:r/>
            <w:r>
              <w:rPr>
                <w:sz w:val="20"/>
              </w:rPr>
              <w:t>51</w:t>
            </w:r>
          </w:p>
        </w:tc>
        <w:tc>
          <w:tcPr>
            <w:tcW w:type="dxa" w:w="5616"/>
          </w:tcPr>
          <w:p>
            <w:pPr>
              <w:spacing w:after="0"/>
            </w:pPr>
            <w:r/>
            <w:r>
              <w:rPr>
                <w:sz w:val="20"/>
              </w:rPr>
              <w:t>Science laboratories, Atal Tinkering Labs and experiential science</w:t>
            </w:r>
          </w:p>
        </w:tc>
        <w:tc>
          <w:tcPr>
            <w:tcW w:type="dxa" w:w="2736"/>
          </w:tcPr>
          <w:p>
            <w:pPr>
              <w:spacing w:after="0"/>
            </w:pPr>
            <w:r/>
            <w:r>
              <w:rPr>
                <w:sz w:val="20"/>
              </w:rPr>
              <w:t>DIET, Dharwad</w:t>
            </w:r>
          </w:p>
        </w:tc>
      </w:tr>
      <w:tr>
        <w:trPr>
          <w:cantSplit/>
        </w:trPr>
        <w:tc>
          <w:tcPr>
            <w:tcW w:type="dxa" w:w="720"/>
          </w:tcPr>
          <w:p>
            <w:pPr>
              <w:spacing w:after="0"/>
            </w:pPr>
            <w:r/>
            <w:r>
              <w:rPr>
                <w:sz w:val="20"/>
              </w:rPr>
              <w:t>52</w:t>
            </w:r>
          </w:p>
        </w:tc>
        <w:tc>
          <w:tcPr>
            <w:tcW w:type="dxa" w:w="5616"/>
          </w:tcPr>
          <w:p>
            <w:pPr>
              <w:spacing w:after="0"/>
            </w:pPr>
            <w:r/>
            <w:r>
              <w:rPr>
                <w:sz w:val="20"/>
              </w:rPr>
              <w:t>Parent engagement in children's learning</w:t>
            </w:r>
          </w:p>
        </w:tc>
        <w:tc>
          <w:tcPr>
            <w:tcW w:type="dxa" w:w="2736"/>
          </w:tcPr>
          <w:p>
            <w:pPr>
              <w:spacing w:after="0"/>
            </w:pPr>
            <w:r/>
            <w:r>
              <w:rPr>
                <w:sz w:val="20"/>
              </w:rPr>
              <w:t>DIET, Dharwad</w:t>
            </w:r>
          </w:p>
        </w:tc>
      </w:tr>
      <w:tr>
        <w:trPr>
          <w:cantSplit/>
        </w:trPr>
        <w:tc>
          <w:tcPr>
            <w:tcW w:type="dxa" w:w="720"/>
          </w:tcPr>
          <w:p>
            <w:pPr>
              <w:spacing w:after="0"/>
            </w:pPr>
            <w:r/>
            <w:r>
              <w:rPr>
                <w:sz w:val="20"/>
              </w:rPr>
              <w:t>53</w:t>
            </w:r>
          </w:p>
        </w:tc>
        <w:tc>
          <w:tcPr>
            <w:tcW w:type="dxa" w:w="5616"/>
          </w:tcPr>
          <w:p>
            <w:pPr>
              <w:spacing w:after="0"/>
            </w:pPr>
            <w:r/>
            <w:r>
              <w:rPr>
                <w:sz w:val="20"/>
              </w:rPr>
              <w:t>School libraries and reading habits</w:t>
            </w:r>
          </w:p>
        </w:tc>
        <w:tc>
          <w:tcPr>
            <w:tcW w:type="dxa" w:w="2736"/>
          </w:tcPr>
          <w:p>
            <w:pPr>
              <w:spacing w:after="0"/>
            </w:pPr>
            <w:r/>
            <w:r>
              <w:rPr>
                <w:sz w:val="20"/>
              </w:rPr>
              <w:t>DIET, Dharwad</w:t>
            </w:r>
          </w:p>
        </w:tc>
      </w:tr>
      <w:tr>
        <w:trPr>
          <w:cantSplit/>
        </w:trPr>
        <w:tc>
          <w:tcPr>
            <w:tcW w:type="dxa" w:w="720"/>
          </w:tcPr>
          <w:p>
            <w:pPr>
              <w:spacing w:after="0"/>
            </w:pPr>
            <w:r/>
            <w:r>
              <w:rPr>
                <w:sz w:val="20"/>
              </w:rPr>
              <w:t>54</w:t>
            </w:r>
          </w:p>
        </w:tc>
        <w:tc>
          <w:tcPr>
            <w:tcW w:type="dxa" w:w="5616"/>
          </w:tcPr>
          <w:p>
            <w:pPr>
              <w:spacing w:after="0"/>
            </w:pPr>
            <w:r/>
            <w:r>
              <w:rPr>
                <w:sz w:val="20"/>
              </w:rPr>
              <w:t>Effect of Sethubandha/FLN programmes on closing FLN and learning-outcome gaps</w:t>
            </w:r>
          </w:p>
        </w:tc>
        <w:tc>
          <w:tcPr>
            <w:tcW w:type="dxa" w:w="2736"/>
          </w:tcPr>
          <w:p>
            <w:pPr>
              <w:spacing w:after="0"/>
            </w:pPr>
            <w:r/>
            <w:r>
              <w:rPr>
                <w:sz w:val="20"/>
              </w:rPr>
              <w:t>DIET, Hassan</w:t>
            </w:r>
          </w:p>
        </w:tc>
      </w:tr>
      <w:tr>
        <w:trPr>
          <w:cantSplit/>
        </w:trPr>
        <w:tc>
          <w:tcPr>
            <w:tcW w:type="dxa" w:w="720"/>
          </w:tcPr>
          <w:p>
            <w:pPr>
              <w:spacing w:after="0"/>
            </w:pPr>
            <w:r/>
            <w:r>
              <w:rPr>
                <w:sz w:val="20"/>
              </w:rPr>
              <w:t>55</w:t>
            </w:r>
          </w:p>
        </w:tc>
        <w:tc>
          <w:tcPr>
            <w:tcW w:type="dxa" w:w="5616"/>
          </w:tcPr>
          <w:p>
            <w:pPr>
              <w:spacing w:after="0"/>
            </w:pPr>
            <w:r/>
            <w:r>
              <w:rPr>
                <w:sz w:val="20"/>
              </w:rPr>
              <w:t>Factors behind SSLC results</w:t>
            </w:r>
          </w:p>
        </w:tc>
        <w:tc>
          <w:tcPr>
            <w:tcW w:type="dxa" w:w="2736"/>
          </w:tcPr>
          <w:p>
            <w:pPr>
              <w:spacing w:after="0"/>
            </w:pPr>
            <w:r/>
            <w:r>
              <w:rPr>
                <w:sz w:val="20"/>
              </w:rPr>
              <w:t>DIET, Hassan</w:t>
            </w:r>
          </w:p>
        </w:tc>
      </w:tr>
      <w:tr>
        <w:trPr>
          <w:cantSplit/>
        </w:trPr>
        <w:tc>
          <w:tcPr>
            <w:tcW w:type="dxa" w:w="720"/>
          </w:tcPr>
          <w:p>
            <w:pPr>
              <w:spacing w:after="0"/>
            </w:pPr>
            <w:r/>
            <w:r>
              <w:rPr>
                <w:sz w:val="20"/>
              </w:rPr>
              <w:t>56</w:t>
            </w:r>
          </w:p>
        </w:tc>
        <w:tc>
          <w:tcPr>
            <w:tcW w:type="dxa" w:w="5616"/>
          </w:tcPr>
          <w:p>
            <w:pPr>
              <w:spacing w:after="0"/>
            </w:pPr>
            <w:r/>
            <w:r>
              <w:rPr>
                <w:sz w:val="20"/>
              </w:rPr>
              <w:t>Teachers' English proficiency and English-medium classroom practice</w:t>
            </w:r>
          </w:p>
        </w:tc>
        <w:tc>
          <w:tcPr>
            <w:tcW w:type="dxa" w:w="2736"/>
          </w:tcPr>
          <w:p>
            <w:pPr>
              <w:spacing w:after="0"/>
            </w:pPr>
            <w:r/>
            <w:r>
              <w:rPr>
                <w:sz w:val="20"/>
              </w:rPr>
              <w:t>DIET, Hassan</w:t>
            </w:r>
          </w:p>
        </w:tc>
      </w:tr>
      <w:tr>
        <w:trPr>
          <w:cantSplit/>
        </w:trPr>
        <w:tc>
          <w:tcPr>
            <w:tcW w:type="dxa" w:w="720"/>
          </w:tcPr>
          <w:p>
            <w:pPr>
              <w:spacing w:after="0"/>
            </w:pPr>
            <w:r/>
            <w:r>
              <w:rPr>
                <w:sz w:val="20"/>
              </w:rPr>
              <w:t>57</w:t>
            </w:r>
          </w:p>
        </w:tc>
        <w:tc>
          <w:tcPr>
            <w:tcW w:type="dxa" w:w="5616"/>
          </w:tcPr>
          <w:p>
            <w:pPr>
              <w:spacing w:after="0"/>
            </w:pPr>
            <w:r/>
            <w:r>
              <w:rPr>
                <w:sz w:val="20"/>
              </w:rPr>
              <w:t>Out-of-school and dropout children</w:t>
            </w:r>
          </w:p>
        </w:tc>
        <w:tc>
          <w:tcPr>
            <w:tcW w:type="dxa" w:w="2736"/>
          </w:tcPr>
          <w:p>
            <w:pPr>
              <w:spacing w:after="0"/>
            </w:pPr>
            <w:r/>
            <w:r>
              <w:rPr>
                <w:sz w:val="20"/>
              </w:rPr>
              <w:t>DIET, Hassan</w:t>
            </w:r>
          </w:p>
        </w:tc>
      </w:tr>
      <w:tr>
        <w:trPr>
          <w:cantSplit/>
        </w:trPr>
        <w:tc>
          <w:tcPr>
            <w:tcW w:type="dxa" w:w="720"/>
          </w:tcPr>
          <w:p>
            <w:pPr>
              <w:spacing w:after="0"/>
            </w:pPr>
            <w:r/>
            <w:r>
              <w:rPr>
                <w:sz w:val="20"/>
              </w:rPr>
              <w:t>58</w:t>
            </w:r>
          </w:p>
        </w:tc>
        <w:tc>
          <w:tcPr>
            <w:tcW w:type="dxa" w:w="5616"/>
          </w:tcPr>
          <w:p>
            <w:pPr>
              <w:spacing w:after="0"/>
            </w:pPr>
            <w:r/>
            <w:r>
              <w:rPr>
                <w:sz w:val="20"/>
              </w:rPr>
              <w:t>Readiness and effect of pre-primary (LKG/UKG, ECCE) education</w:t>
            </w:r>
          </w:p>
        </w:tc>
        <w:tc>
          <w:tcPr>
            <w:tcW w:type="dxa" w:w="2736"/>
          </w:tcPr>
          <w:p>
            <w:pPr>
              <w:spacing w:after="0"/>
            </w:pPr>
            <w:r/>
            <w:r>
              <w:rPr>
                <w:sz w:val="20"/>
              </w:rPr>
              <w:t>DIET, Hassan</w:t>
            </w:r>
          </w:p>
        </w:tc>
      </w:tr>
      <w:tr>
        <w:trPr>
          <w:cantSplit/>
        </w:trPr>
        <w:tc>
          <w:tcPr>
            <w:tcW w:type="dxa" w:w="720"/>
          </w:tcPr>
          <w:p>
            <w:pPr>
              <w:spacing w:after="0"/>
            </w:pPr>
            <w:r/>
            <w:r>
              <w:rPr>
                <w:sz w:val="20"/>
              </w:rPr>
              <w:t>59</w:t>
            </w:r>
          </w:p>
        </w:tc>
        <w:tc>
          <w:tcPr>
            <w:tcW w:type="dxa" w:w="5616"/>
          </w:tcPr>
          <w:p>
            <w:pPr>
              <w:spacing w:after="0"/>
            </w:pPr>
            <w:r/>
            <w:r>
              <w:rPr>
                <w:sz w:val="20"/>
              </w:rPr>
              <w:t>Value education and life skills</w:t>
            </w:r>
          </w:p>
        </w:tc>
        <w:tc>
          <w:tcPr>
            <w:tcW w:type="dxa" w:w="2736"/>
          </w:tcPr>
          <w:p>
            <w:pPr>
              <w:spacing w:after="0"/>
            </w:pPr>
            <w:r/>
            <w:r>
              <w:rPr>
                <w:sz w:val="20"/>
              </w:rPr>
              <w:t>DIET, Hassan</w:t>
            </w:r>
          </w:p>
        </w:tc>
      </w:tr>
      <w:tr>
        <w:trPr>
          <w:cantSplit/>
        </w:trPr>
        <w:tc>
          <w:tcPr>
            <w:tcW w:type="dxa" w:w="720"/>
          </w:tcPr>
          <w:p>
            <w:pPr>
              <w:spacing w:after="0"/>
            </w:pPr>
            <w:r/>
            <w:r>
              <w:rPr>
                <w:sz w:val="20"/>
              </w:rPr>
              <w:t>60</w:t>
            </w:r>
          </w:p>
        </w:tc>
        <w:tc>
          <w:tcPr>
            <w:tcW w:type="dxa" w:w="5616"/>
          </w:tcPr>
          <w:p>
            <w:pPr>
              <w:spacing w:after="0"/>
            </w:pPr>
            <w:r/>
            <w:r>
              <w:rPr>
                <w:sz w:val="20"/>
              </w:rPr>
              <w:t>School libraries and reading habits</w:t>
            </w:r>
          </w:p>
        </w:tc>
        <w:tc>
          <w:tcPr>
            <w:tcW w:type="dxa" w:w="2736"/>
          </w:tcPr>
          <w:p>
            <w:pPr>
              <w:spacing w:after="0"/>
            </w:pPr>
            <w:r/>
            <w:r>
              <w:rPr>
                <w:sz w:val="20"/>
              </w:rPr>
              <w:t>DIET, Hassan</w:t>
            </w:r>
          </w:p>
        </w:tc>
      </w:tr>
      <w:tr>
        <w:trPr>
          <w:cantSplit/>
        </w:trPr>
        <w:tc>
          <w:tcPr>
            <w:tcW w:type="dxa" w:w="720"/>
          </w:tcPr>
          <w:p>
            <w:pPr>
              <w:spacing w:after="0"/>
            </w:pPr>
            <w:r/>
            <w:r>
              <w:rPr>
                <w:sz w:val="20"/>
              </w:rPr>
              <w:t>61</w:t>
            </w:r>
          </w:p>
        </w:tc>
        <w:tc>
          <w:tcPr>
            <w:tcW w:type="dxa" w:w="5616"/>
          </w:tcPr>
          <w:p>
            <w:pPr>
              <w:spacing w:after="0"/>
            </w:pPr>
            <w:r/>
            <w:r>
              <w:rPr>
                <w:sz w:val="20"/>
              </w:rPr>
              <w:t>Use of ICT labs, TALP and smart classes</w:t>
            </w:r>
          </w:p>
        </w:tc>
        <w:tc>
          <w:tcPr>
            <w:tcW w:type="dxa" w:w="2736"/>
          </w:tcPr>
          <w:p>
            <w:pPr>
              <w:spacing w:after="0"/>
            </w:pPr>
            <w:r/>
            <w:r>
              <w:rPr>
                <w:sz w:val="20"/>
              </w:rPr>
              <w:t>DIET, Hassan</w:t>
            </w:r>
          </w:p>
        </w:tc>
      </w:tr>
      <w:tr>
        <w:trPr>
          <w:cantSplit/>
        </w:trPr>
        <w:tc>
          <w:tcPr>
            <w:tcW w:type="dxa" w:w="720"/>
          </w:tcPr>
          <w:p>
            <w:pPr>
              <w:spacing w:after="0"/>
            </w:pPr>
            <w:r/>
            <w:r>
              <w:rPr>
                <w:sz w:val="20"/>
              </w:rPr>
              <w:t>62</w:t>
            </w:r>
          </w:p>
        </w:tc>
        <w:tc>
          <w:tcPr>
            <w:tcW w:type="dxa" w:w="5616"/>
          </w:tcPr>
          <w:p>
            <w:pPr>
              <w:spacing w:after="0"/>
            </w:pPr>
            <w:r/>
            <w:r>
              <w:rPr>
                <w:sz w:val="20"/>
              </w:rPr>
              <w:t>Teachers' creation and use of digital resources (e-content)</w:t>
            </w:r>
          </w:p>
        </w:tc>
        <w:tc>
          <w:tcPr>
            <w:tcW w:type="dxa" w:w="2736"/>
          </w:tcPr>
          <w:p>
            <w:pPr>
              <w:spacing w:after="0"/>
            </w:pPr>
            <w:r/>
            <w:r>
              <w:rPr>
                <w:sz w:val="20"/>
              </w:rPr>
              <w:t>DIET, Hassan</w:t>
            </w:r>
          </w:p>
        </w:tc>
      </w:tr>
      <w:tr>
        <w:trPr>
          <w:cantSplit/>
        </w:trPr>
        <w:tc>
          <w:tcPr>
            <w:tcW w:type="dxa" w:w="720"/>
          </w:tcPr>
          <w:p>
            <w:pPr>
              <w:spacing w:after="0"/>
            </w:pPr>
            <w:r/>
            <w:r>
              <w:rPr>
                <w:sz w:val="20"/>
              </w:rPr>
              <w:t>63</w:t>
            </w:r>
          </w:p>
        </w:tc>
        <w:tc>
          <w:tcPr>
            <w:tcW w:type="dxa" w:w="5616"/>
          </w:tcPr>
          <w:p>
            <w:pPr>
              <w:spacing w:after="0"/>
            </w:pPr>
            <w:r/>
            <w:r>
              <w:rPr>
                <w:sz w:val="20"/>
              </w:rPr>
              <w:t>Inclusive education for children with special needs (CWSN)</w:t>
            </w:r>
          </w:p>
        </w:tc>
        <w:tc>
          <w:tcPr>
            <w:tcW w:type="dxa" w:w="2736"/>
          </w:tcPr>
          <w:p>
            <w:pPr>
              <w:spacing w:after="0"/>
            </w:pPr>
            <w:r/>
            <w:r>
              <w:rPr>
                <w:sz w:val="20"/>
              </w:rPr>
              <w:t>DIET, Hassan</w:t>
            </w:r>
          </w:p>
        </w:tc>
      </w:tr>
      <w:tr>
        <w:trPr>
          <w:cantSplit/>
        </w:trPr>
        <w:tc>
          <w:tcPr>
            <w:tcW w:type="dxa" w:w="720"/>
          </w:tcPr>
          <w:p>
            <w:pPr>
              <w:spacing w:after="0"/>
            </w:pPr>
            <w:r/>
            <w:r>
              <w:rPr>
                <w:sz w:val="20"/>
              </w:rPr>
              <w:t>64</w:t>
            </w:r>
          </w:p>
        </w:tc>
        <w:tc>
          <w:tcPr>
            <w:tcW w:type="dxa" w:w="5616"/>
          </w:tcPr>
          <w:p>
            <w:pPr>
              <w:spacing w:after="0"/>
            </w:pPr>
            <w:r/>
            <w:r>
              <w:rPr>
                <w:sz w:val="20"/>
              </w:rPr>
              <w:t>Learning outcomes of tribal and first-generation learners</w:t>
            </w:r>
          </w:p>
        </w:tc>
        <w:tc>
          <w:tcPr>
            <w:tcW w:type="dxa" w:w="2736"/>
          </w:tcPr>
          <w:p>
            <w:pPr>
              <w:spacing w:after="0"/>
            </w:pPr>
            <w:r/>
            <w:r>
              <w:rPr>
                <w:sz w:val="20"/>
              </w:rPr>
              <w:t>DIET, Hassan</w:t>
            </w:r>
          </w:p>
        </w:tc>
      </w:tr>
      <w:tr>
        <w:trPr>
          <w:cantSplit/>
        </w:trPr>
        <w:tc>
          <w:tcPr>
            <w:tcW w:type="dxa" w:w="720"/>
          </w:tcPr>
          <w:p>
            <w:pPr>
              <w:spacing w:after="0"/>
            </w:pPr>
            <w:r/>
            <w:r>
              <w:rPr>
                <w:sz w:val="20"/>
              </w:rPr>
              <w:t>65</w:t>
            </w:r>
          </w:p>
        </w:tc>
        <w:tc>
          <w:tcPr>
            <w:tcW w:type="dxa" w:w="5616"/>
          </w:tcPr>
          <w:p>
            <w:pPr>
              <w:spacing w:after="0"/>
            </w:pPr>
            <w:r/>
            <w:r>
              <w:rPr>
                <w:sz w:val="20"/>
              </w:rPr>
              <w:t>Functioning of SDMCs in school development</w:t>
            </w:r>
          </w:p>
        </w:tc>
        <w:tc>
          <w:tcPr>
            <w:tcW w:type="dxa" w:w="2736"/>
          </w:tcPr>
          <w:p>
            <w:pPr>
              <w:spacing w:after="0"/>
            </w:pPr>
            <w:r/>
            <w:r>
              <w:rPr>
                <w:sz w:val="20"/>
              </w:rPr>
              <w:t>DIET, Hassan</w:t>
            </w:r>
          </w:p>
        </w:tc>
      </w:tr>
      <w:tr>
        <w:trPr>
          <w:cantSplit/>
        </w:trPr>
        <w:tc>
          <w:tcPr>
            <w:tcW w:type="dxa" w:w="720"/>
          </w:tcPr>
          <w:p>
            <w:pPr>
              <w:spacing w:after="0"/>
            </w:pPr>
            <w:r/>
            <w:r>
              <w:rPr>
                <w:sz w:val="20"/>
              </w:rPr>
              <w:t>66</w:t>
            </w:r>
          </w:p>
        </w:tc>
        <w:tc>
          <w:tcPr>
            <w:tcW w:type="dxa" w:w="5616"/>
          </w:tcPr>
          <w:p>
            <w:pPr>
              <w:spacing w:after="0"/>
            </w:pPr>
            <w:r/>
            <w:r>
              <w:rPr>
                <w:sz w:val="20"/>
              </w:rPr>
              <w:t>Effectiveness of academic monitoring and cluster support</w:t>
            </w:r>
          </w:p>
        </w:tc>
        <w:tc>
          <w:tcPr>
            <w:tcW w:type="dxa" w:w="2736"/>
          </w:tcPr>
          <w:p>
            <w:pPr>
              <w:spacing w:after="0"/>
            </w:pPr>
            <w:r/>
            <w:r>
              <w:rPr>
                <w:sz w:val="20"/>
              </w:rPr>
              <w:t>DIET, Hassan</w:t>
            </w:r>
          </w:p>
        </w:tc>
      </w:tr>
      <w:tr>
        <w:trPr>
          <w:cantSplit/>
        </w:trPr>
        <w:tc>
          <w:tcPr>
            <w:tcW w:type="dxa" w:w="720"/>
          </w:tcPr>
          <w:p>
            <w:pPr>
              <w:spacing w:after="0"/>
            </w:pPr>
            <w:r/>
            <w:r>
              <w:rPr>
                <w:sz w:val="20"/>
              </w:rPr>
              <w:t>67</w:t>
            </w:r>
          </w:p>
        </w:tc>
        <w:tc>
          <w:tcPr>
            <w:tcW w:type="dxa" w:w="5616"/>
          </w:tcPr>
          <w:p>
            <w:pPr>
              <w:spacing w:after="0"/>
            </w:pPr>
            <w:r/>
            <w:r>
              <w:rPr>
                <w:sz w:val="20"/>
              </w:rPr>
              <w:t>Mid-day meals / PM POSHAN: effect on attendance, nutrition and learning</w:t>
            </w:r>
          </w:p>
        </w:tc>
        <w:tc>
          <w:tcPr>
            <w:tcW w:type="dxa" w:w="2736"/>
          </w:tcPr>
          <w:p>
            <w:pPr>
              <w:spacing w:after="0"/>
            </w:pPr>
            <w:r/>
            <w:r>
              <w:rPr>
                <w:sz w:val="20"/>
              </w:rPr>
              <w:t>DIET, Hassan</w:t>
            </w:r>
          </w:p>
        </w:tc>
      </w:tr>
      <w:tr>
        <w:trPr>
          <w:cantSplit/>
        </w:trPr>
        <w:tc>
          <w:tcPr>
            <w:tcW w:type="dxa" w:w="720"/>
          </w:tcPr>
          <w:p>
            <w:pPr>
              <w:spacing w:after="0"/>
            </w:pPr>
            <w:r/>
            <w:r>
              <w:rPr>
                <w:sz w:val="20"/>
              </w:rPr>
              <w:t>68</w:t>
            </w:r>
          </w:p>
        </w:tc>
        <w:tc>
          <w:tcPr>
            <w:tcW w:type="dxa" w:w="5616"/>
          </w:tcPr>
          <w:p>
            <w:pPr>
              <w:spacing w:after="0"/>
            </w:pPr>
            <w:r/>
            <w:r>
              <w:rPr>
                <w:sz w:val="20"/>
              </w:rPr>
              <w:t>Subject pedagogy and teaching-learning materials</w:t>
            </w:r>
          </w:p>
        </w:tc>
        <w:tc>
          <w:tcPr>
            <w:tcW w:type="dxa" w:w="2736"/>
          </w:tcPr>
          <w:p>
            <w:pPr>
              <w:spacing w:after="0"/>
            </w:pPr>
            <w:r/>
            <w:r>
              <w:rPr>
                <w:sz w:val="20"/>
              </w:rPr>
              <w:t>DIET, Hassan</w:t>
            </w:r>
          </w:p>
        </w:tc>
      </w:tr>
      <w:tr>
        <w:trPr>
          <w:cantSplit/>
        </w:trPr>
        <w:tc>
          <w:tcPr>
            <w:tcW w:type="dxa" w:w="720"/>
          </w:tcPr>
          <w:p>
            <w:pPr>
              <w:spacing w:after="0"/>
            </w:pPr>
            <w:r/>
            <w:r>
              <w:rPr>
                <w:sz w:val="20"/>
              </w:rPr>
              <w:t>69</w:t>
            </w:r>
          </w:p>
        </w:tc>
        <w:tc>
          <w:tcPr>
            <w:tcW w:type="dxa" w:w="5616"/>
          </w:tcPr>
          <w:p>
            <w:pPr>
              <w:spacing w:after="0"/>
            </w:pPr>
            <w:r/>
            <w:r>
              <w:rPr>
                <w:sz w:val="20"/>
              </w:rPr>
              <w:t>Adolescent development</w:t>
            </w:r>
          </w:p>
        </w:tc>
        <w:tc>
          <w:tcPr>
            <w:tcW w:type="dxa" w:w="2736"/>
          </w:tcPr>
          <w:p>
            <w:pPr>
              <w:spacing w:after="0"/>
            </w:pPr>
            <w:r/>
            <w:r>
              <w:rPr>
                <w:sz w:val="20"/>
              </w:rPr>
              <w:t>DIET, Hassan</w:t>
            </w:r>
          </w:p>
        </w:tc>
      </w:tr>
      <w:tr>
        <w:trPr>
          <w:cantSplit/>
        </w:trPr>
        <w:tc>
          <w:tcPr>
            <w:tcW w:type="dxa" w:w="720"/>
          </w:tcPr>
          <w:p>
            <w:pPr>
              <w:spacing w:after="0"/>
            </w:pPr>
            <w:r/>
            <w:r>
              <w:rPr>
                <w:sz w:val="20"/>
              </w:rPr>
              <w:t>70</w:t>
            </w:r>
          </w:p>
        </w:tc>
        <w:tc>
          <w:tcPr>
            <w:tcW w:type="dxa" w:w="5616"/>
          </w:tcPr>
          <w:p>
            <w:pPr>
              <w:spacing w:after="0"/>
            </w:pPr>
            <w:r/>
            <w:r>
              <w:rPr>
                <w:sz w:val="20"/>
              </w:rPr>
              <w:t>NMMS scholarship examination and outcomes</w:t>
            </w:r>
          </w:p>
        </w:tc>
        <w:tc>
          <w:tcPr>
            <w:tcW w:type="dxa" w:w="2736"/>
          </w:tcPr>
          <w:p>
            <w:pPr>
              <w:spacing w:after="0"/>
            </w:pPr>
            <w:r/>
            <w:r>
              <w:rPr>
                <w:sz w:val="20"/>
              </w:rPr>
              <w:t>DIET, Hassan</w:t>
            </w:r>
          </w:p>
        </w:tc>
      </w:tr>
      <w:tr>
        <w:trPr>
          <w:cantSplit/>
        </w:trPr>
        <w:tc>
          <w:tcPr>
            <w:tcW w:type="dxa" w:w="720"/>
          </w:tcPr>
          <w:p>
            <w:pPr>
              <w:spacing w:after="0"/>
            </w:pPr>
            <w:r/>
            <w:r>
              <w:rPr>
                <w:sz w:val="20"/>
              </w:rPr>
              <w:t>71</w:t>
            </w:r>
          </w:p>
        </w:tc>
        <w:tc>
          <w:tcPr>
            <w:tcW w:type="dxa" w:w="5616"/>
          </w:tcPr>
          <w:p>
            <w:pPr>
              <w:spacing w:after="0"/>
            </w:pPr>
            <w:r/>
            <w:r>
              <w:rPr>
                <w:sz w:val="20"/>
              </w:rPr>
              <w:t>How teachers use assessment data for remedial teaching</w:t>
            </w:r>
          </w:p>
        </w:tc>
        <w:tc>
          <w:tcPr>
            <w:tcW w:type="dxa" w:w="2736"/>
          </w:tcPr>
          <w:p>
            <w:pPr>
              <w:spacing w:after="0"/>
            </w:pPr>
            <w:r/>
            <w:r>
              <w:rPr>
                <w:sz w:val="20"/>
              </w:rPr>
              <w:t>DIET, Ilkal (Bagalkote)</w:t>
            </w:r>
          </w:p>
        </w:tc>
      </w:tr>
      <w:tr>
        <w:trPr>
          <w:cantSplit/>
        </w:trPr>
        <w:tc>
          <w:tcPr>
            <w:tcW w:type="dxa" w:w="720"/>
          </w:tcPr>
          <w:p>
            <w:pPr>
              <w:spacing w:after="0"/>
            </w:pPr>
            <w:r/>
            <w:r>
              <w:rPr>
                <w:sz w:val="20"/>
              </w:rPr>
              <w:t>72</w:t>
            </w:r>
          </w:p>
        </w:tc>
        <w:tc>
          <w:tcPr>
            <w:tcW w:type="dxa" w:w="5616"/>
          </w:tcPr>
          <w:p>
            <w:pPr>
              <w:spacing w:after="0"/>
            </w:pPr>
            <w:r/>
            <w:r>
              <w:rPr>
                <w:sz w:val="20"/>
              </w:rPr>
              <w:t>Classroom practices in bilingual (Kannada-English) schools</w:t>
            </w:r>
          </w:p>
        </w:tc>
        <w:tc>
          <w:tcPr>
            <w:tcW w:type="dxa" w:w="2736"/>
          </w:tcPr>
          <w:p>
            <w:pPr>
              <w:spacing w:after="0"/>
            </w:pPr>
            <w:r/>
            <w:r>
              <w:rPr>
                <w:sz w:val="20"/>
              </w:rPr>
              <w:t>DIET, Ilkal (Bagalkote)</w:t>
            </w:r>
          </w:p>
        </w:tc>
      </w:tr>
      <w:tr>
        <w:trPr>
          <w:cantSplit/>
        </w:trPr>
        <w:tc>
          <w:tcPr>
            <w:tcW w:type="dxa" w:w="720"/>
          </w:tcPr>
          <w:p>
            <w:pPr>
              <w:spacing w:after="0"/>
            </w:pPr>
            <w:r/>
            <w:r>
              <w:rPr>
                <w:sz w:val="20"/>
              </w:rPr>
              <w:t>73</w:t>
            </w:r>
          </w:p>
        </w:tc>
        <w:tc>
          <w:tcPr>
            <w:tcW w:type="dxa" w:w="5616"/>
          </w:tcPr>
          <w:p>
            <w:pPr>
              <w:spacing w:after="0"/>
            </w:pPr>
            <w:r/>
            <w:r>
              <w:rPr>
                <w:sz w:val="20"/>
              </w:rPr>
              <w:t>Teachers' English proficiency and English-medium classroom practice</w:t>
            </w:r>
          </w:p>
        </w:tc>
        <w:tc>
          <w:tcPr>
            <w:tcW w:type="dxa" w:w="2736"/>
          </w:tcPr>
          <w:p>
            <w:pPr>
              <w:spacing w:after="0"/>
            </w:pPr>
            <w:r/>
            <w:r>
              <w:rPr>
                <w:sz w:val="20"/>
              </w:rPr>
              <w:t>DIET, Ilkal (Bagalkote)</w:t>
            </w:r>
          </w:p>
        </w:tc>
      </w:tr>
      <w:tr>
        <w:trPr>
          <w:cantSplit/>
        </w:trPr>
        <w:tc>
          <w:tcPr>
            <w:tcW w:type="dxa" w:w="720"/>
          </w:tcPr>
          <w:p>
            <w:pPr>
              <w:spacing w:after="0"/>
            </w:pPr>
            <w:r/>
            <w:r>
              <w:rPr>
                <w:sz w:val="20"/>
              </w:rPr>
              <w:t>74</w:t>
            </w:r>
          </w:p>
        </w:tc>
        <w:tc>
          <w:tcPr>
            <w:tcW w:type="dxa" w:w="5616"/>
          </w:tcPr>
          <w:p>
            <w:pPr>
              <w:spacing w:after="0"/>
            </w:pPr>
            <w:r/>
            <w:r>
              <w:rPr>
                <w:sz w:val="20"/>
              </w:rPr>
              <w:t>Out-of-school and dropout children</w:t>
            </w:r>
          </w:p>
        </w:tc>
        <w:tc>
          <w:tcPr>
            <w:tcW w:type="dxa" w:w="2736"/>
          </w:tcPr>
          <w:p>
            <w:pPr>
              <w:spacing w:after="0"/>
            </w:pPr>
            <w:r/>
            <w:r>
              <w:rPr>
                <w:sz w:val="20"/>
              </w:rPr>
              <w:t>DIET, Ilkal (Bagalkote)</w:t>
            </w:r>
          </w:p>
        </w:tc>
      </w:tr>
      <w:tr>
        <w:trPr>
          <w:cantSplit/>
        </w:trPr>
        <w:tc>
          <w:tcPr>
            <w:tcW w:type="dxa" w:w="720"/>
          </w:tcPr>
          <w:p>
            <w:pPr>
              <w:spacing w:after="0"/>
            </w:pPr>
            <w:r/>
            <w:r>
              <w:rPr>
                <w:sz w:val="20"/>
              </w:rPr>
              <w:t>75</w:t>
            </w:r>
          </w:p>
        </w:tc>
        <w:tc>
          <w:tcPr>
            <w:tcW w:type="dxa" w:w="5616"/>
          </w:tcPr>
          <w:p>
            <w:pPr>
              <w:spacing w:after="0"/>
            </w:pPr>
            <w:r/>
            <w:r>
              <w:rPr>
                <w:sz w:val="20"/>
              </w:rPr>
              <w:t>Use of ICT labs, TALP and smart classes</w:t>
            </w:r>
          </w:p>
        </w:tc>
        <w:tc>
          <w:tcPr>
            <w:tcW w:type="dxa" w:w="2736"/>
          </w:tcPr>
          <w:p>
            <w:pPr>
              <w:spacing w:after="0"/>
            </w:pPr>
            <w:r/>
            <w:r>
              <w:rPr>
                <w:sz w:val="20"/>
              </w:rPr>
              <w:t>DIET, Ilkal (Bagalkote)</w:t>
            </w:r>
          </w:p>
        </w:tc>
      </w:tr>
      <w:tr>
        <w:trPr>
          <w:cantSplit/>
        </w:trPr>
        <w:tc>
          <w:tcPr>
            <w:tcW w:type="dxa" w:w="720"/>
          </w:tcPr>
          <w:p>
            <w:pPr>
              <w:spacing w:after="0"/>
            </w:pPr>
            <w:r/>
            <w:r>
              <w:rPr>
                <w:sz w:val="20"/>
              </w:rPr>
              <w:t>76</w:t>
            </w:r>
          </w:p>
        </w:tc>
        <w:tc>
          <w:tcPr>
            <w:tcW w:type="dxa" w:w="5616"/>
          </w:tcPr>
          <w:p>
            <w:pPr>
              <w:spacing w:after="0"/>
            </w:pPr>
            <w:r/>
            <w:r>
              <w:rPr>
                <w:sz w:val="20"/>
              </w:rPr>
              <w:t>Skill education (NSQF) and 21st-century skills</w:t>
            </w:r>
          </w:p>
        </w:tc>
        <w:tc>
          <w:tcPr>
            <w:tcW w:type="dxa" w:w="2736"/>
          </w:tcPr>
          <w:p>
            <w:pPr>
              <w:spacing w:after="0"/>
            </w:pPr>
            <w:r/>
            <w:r>
              <w:rPr>
                <w:sz w:val="20"/>
              </w:rPr>
              <w:t>DIET, Ilkal (Bagalkote)</w:t>
            </w:r>
          </w:p>
        </w:tc>
      </w:tr>
      <w:tr>
        <w:trPr>
          <w:cantSplit/>
        </w:trPr>
        <w:tc>
          <w:tcPr>
            <w:tcW w:type="dxa" w:w="720"/>
          </w:tcPr>
          <w:p>
            <w:pPr>
              <w:spacing w:after="0"/>
            </w:pPr>
            <w:r/>
            <w:r>
              <w:rPr>
                <w:sz w:val="20"/>
              </w:rPr>
              <w:t>77</w:t>
            </w:r>
          </w:p>
        </w:tc>
        <w:tc>
          <w:tcPr>
            <w:tcW w:type="dxa" w:w="5616"/>
          </w:tcPr>
          <w:p>
            <w:pPr>
              <w:spacing w:after="0"/>
            </w:pPr>
            <w:r/>
            <w:r>
              <w:rPr>
                <w:sz w:val="20"/>
              </w:rPr>
              <w:t>Effect of in-service training on classroom practice</w:t>
            </w:r>
          </w:p>
        </w:tc>
        <w:tc>
          <w:tcPr>
            <w:tcW w:type="dxa" w:w="2736"/>
          </w:tcPr>
          <w:p>
            <w:pPr>
              <w:spacing w:after="0"/>
            </w:pPr>
            <w:r/>
            <w:r>
              <w:rPr>
                <w:sz w:val="20"/>
              </w:rPr>
              <w:t>DIET, Ilkal (Bagalkote)</w:t>
            </w:r>
          </w:p>
        </w:tc>
      </w:tr>
      <w:tr>
        <w:trPr>
          <w:cantSplit/>
        </w:trPr>
        <w:tc>
          <w:tcPr>
            <w:tcW w:type="dxa" w:w="720"/>
          </w:tcPr>
          <w:p>
            <w:pPr>
              <w:spacing w:after="0"/>
            </w:pPr>
            <w:r/>
            <w:r>
              <w:rPr>
                <w:sz w:val="20"/>
              </w:rPr>
              <w:t>78</w:t>
            </w:r>
          </w:p>
        </w:tc>
        <w:tc>
          <w:tcPr>
            <w:tcW w:type="dxa" w:w="5616"/>
          </w:tcPr>
          <w:p>
            <w:pPr>
              <w:spacing w:after="0"/>
            </w:pPr>
            <w:r/>
            <w:r>
              <w:rPr>
                <w:sz w:val="20"/>
              </w:rPr>
              <w:t>Functioning of SDMCs in school development</w:t>
            </w:r>
          </w:p>
        </w:tc>
        <w:tc>
          <w:tcPr>
            <w:tcW w:type="dxa" w:w="2736"/>
          </w:tcPr>
          <w:p>
            <w:pPr>
              <w:spacing w:after="0"/>
            </w:pPr>
            <w:r/>
            <w:r>
              <w:rPr>
                <w:sz w:val="20"/>
              </w:rPr>
              <w:t>DIET, Ilkal (Bagalkote)</w:t>
            </w:r>
          </w:p>
        </w:tc>
      </w:tr>
      <w:tr>
        <w:trPr>
          <w:cantSplit/>
        </w:trPr>
        <w:tc>
          <w:tcPr>
            <w:tcW w:type="dxa" w:w="720"/>
          </w:tcPr>
          <w:p>
            <w:pPr>
              <w:spacing w:after="0"/>
            </w:pPr>
            <w:r/>
            <w:r>
              <w:rPr>
                <w:sz w:val="20"/>
              </w:rPr>
              <w:t>79</w:t>
            </w:r>
          </w:p>
        </w:tc>
        <w:tc>
          <w:tcPr>
            <w:tcW w:type="dxa" w:w="5616"/>
          </w:tcPr>
          <w:p>
            <w:pPr>
              <w:spacing w:after="0"/>
            </w:pPr>
            <w:r/>
            <w:r>
              <w:rPr>
                <w:sz w:val="20"/>
              </w:rPr>
              <w:t>Mid-day meals / PM POSHAN: effect on attendance, nutrition and learning</w:t>
            </w:r>
          </w:p>
        </w:tc>
        <w:tc>
          <w:tcPr>
            <w:tcW w:type="dxa" w:w="2736"/>
          </w:tcPr>
          <w:p>
            <w:pPr>
              <w:spacing w:after="0"/>
            </w:pPr>
            <w:r/>
            <w:r>
              <w:rPr>
                <w:sz w:val="20"/>
              </w:rPr>
              <w:t>DIET, Ilkal (Bagalkote)</w:t>
            </w:r>
          </w:p>
        </w:tc>
      </w:tr>
      <w:tr>
        <w:trPr>
          <w:cantSplit/>
        </w:trPr>
        <w:tc>
          <w:tcPr>
            <w:tcW w:type="dxa" w:w="720"/>
          </w:tcPr>
          <w:p>
            <w:pPr>
              <w:spacing w:after="0"/>
            </w:pPr>
            <w:r/>
            <w:r>
              <w:rPr>
                <w:sz w:val="20"/>
              </w:rPr>
              <w:t>80</w:t>
            </w:r>
          </w:p>
        </w:tc>
        <w:tc>
          <w:tcPr>
            <w:tcW w:type="dxa" w:w="5616"/>
          </w:tcPr>
          <w:p>
            <w:pPr>
              <w:spacing w:after="0"/>
            </w:pPr>
            <w:r/>
            <w:r>
              <w:rPr>
                <w:sz w:val="20"/>
              </w:rPr>
              <w:t>Science laboratories, Atal Tinkering Labs and experiential science</w:t>
            </w:r>
          </w:p>
        </w:tc>
        <w:tc>
          <w:tcPr>
            <w:tcW w:type="dxa" w:w="2736"/>
          </w:tcPr>
          <w:p>
            <w:pPr>
              <w:spacing w:after="0"/>
            </w:pPr>
            <w:r/>
            <w:r>
              <w:rPr>
                <w:sz w:val="20"/>
              </w:rPr>
              <w:t>DIET, Ilkal (Bagalkote)</w:t>
            </w:r>
          </w:p>
        </w:tc>
      </w:tr>
      <w:tr>
        <w:trPr>
          <w:cantSplit/>
        </w:trPr>
        <w:tc>
          <w:tcPr>
            <w:tcW w:type="dxa" w:w="720"/>
          </w:tcPr>
          <w:p>
            <w:pPr>
              <w:spacing w:after="0"/>
            </w:pPr>
            <w:r/>
            <w:r>
              <w:rPr>
                <w:sz w:val="20"/>
              </w:rPr>
              <w:t>81</w:t>
            </w:r>
          </w:p>
        </w:tc>
        <w:tc>
          <w:tcPr>
            <w:tcW w:type="dxa" w:w="5616"/>
          </w:tcPr>
          <w:p>
            <w:pPr>
              <w:spacing w:after="0"/>
            </w:pPr>
            <w:r/>
            <w:r>
              <w:rPr>
                <w:sz w:val="20"/>
              </w:rPr>
              <w:t>NMMS scholarship examination and outcomes</w:t>
            </w:r>
          </w:p>
        </w:tc>
        <w:tc>
          <w:tcPr>
            <w:tcW w:type="dxa" w:w="2736"/>
          </w:tcPr>
          <w:p>
            <w:pPr>
              <w:spacing w:after="0"/>
            </w:pPr>
            <w:r/>
            <w:r>
              <w:rPr>
                <w:sz w:val="20"/>
              </w:rPr>
              <w:t>DIET, Ilkal (Bagalkote)</w:t>
            </w:r>
          </w:p>
        </w:tc>
      </w:tr>
      <w:tr>
        <w:trPr>
          <w:cantSplit/>
        </w:trPr>
        <w:tc>
          <w:tcPr>
            <w:tcW w:type="dxa" w:w="720"/>
          </w:tcPr>
          <w:p>
            <w:pPr>
              <w:spacing w:after="0"/>
            </w:pPr>
            <w:r/>
            <w:r>
              <w:rPr>
                <w:sz w:val="20"/>
              </w:rPr>
              <w:t>82</w:t>
            </w:r>
          </w:p>
        </w:tc>
        <w:tc>
          <w:tcPr>
            <w:tcW w:type="dxa" w:w="5616"/>
          </w:tcPr>
          <w:p>
            <w:pPr>
              <w:spacing w:after="0"/>
            </w:pPr>
            <w:r/>
            <w:r>
              <w:rPr>
                <w:sz w:val="20"/>
              </w:rPr>
              <w:t>Readiness and effect of pre-primary (LKG/UKG, ECCE) education</w:t>
            </w:r>
          </w:p>
        </w:tc>
        <w:tc>
          <w:tcPr>
            <w:tcW w:type="dxa" w:w="2736"/>
          </w:tcPr>
          <w:p>
            <w:pPr>
              <w:spacing w:after="0"/>
            </w:pPr>
            <w:r/>
            <w:r>
              <w:rPr>
                <w:sz w:val="20"/>
              </w:rPr>
              <w:t>DIET, Kalaburagi</w:t>
            </w:r>
          </w:p>
        </w:tc>
      </w:tr>
      <w:tr>
        <w:trPr>
          <w:cantSplit/>
        </w:trPr>
        <w:tc>
          <w:tcPr>
            <w:tcW w:type="dxa" w:w="720"/>
          </w:tcPr>
          <w:p>
            <w:pPr>
              <w:spacing w:after="0"/>
            </w:pPr>
            <w:r/>
            <w:r>
              <w:rPr>
                <w:sz w:val="20"/>
              </w:rPr>
              <w:t>83</w:t>
            </w:r>
          </w:p>
        </w:tc>
        <w:tc>
          <w:tcPr>
            <w:tcW w:type="dxa" w:w="5616"/>
          </w:tcPr>
          <w:p>
            <w:pPr>
              <w:spacing w:after="0"/>
            </w:pPr>
            <w:r/>
            <w:r>
              <w:rPr>
                <w:sz w:val="20"/>
              </w:rPr>
              <w:t>Examination stress and mental health of secondary students</w:t>
            </w:r>
          </w:p>
        </w:tc>
        <w:tc>
          <w:tcPr>
            <w:tcW w:type="dxa" w:w="2736"/>
          </w:tcPr>
          <w:p>
            <w:pPr>
              <w:spacing w:after="0"/>
            </w:pPr>
            <w:r/>
            <w:r>
              <w:rPr>
                <w:sz w:val="20"/>
              </w:rPr>
              <w:t>DIET, Kalaburagi</w:t>
            </w:r>
          </w:p>
        </w:tc>
      </w:tr>
      <w:tr>
        <w:trPr>
          <w:cantSplit/>
        </w:trPr>
        <w:tc>
          <w:tcPr>
            <w:tcW w:type="dxa" w:w="720"/>
          </w:tcPr>
          <w:p>
            <w:pPr>
              <w:spacing w:after="0"/>
            </w:pPr>
            <w:r/>
            <w:r>
              <w:rPr>
                <w:sz w:val="20"/>
              </w:rPr>
              <w:t>84</w:t>
            </w:r>
          </w:p>
        </w:tc>
        <w:tc>
          <w:tcPr>
            <w:tcW w:type="dxa" w:w="5616"/>
          </w:tcPr>
          <w:p>
            <w:pPr>
              <w:spacing w:after="0"/>
            </w:pPr>
            <w:r/>
            <w:r>
              <w:rPr>
                <w:sz w:val="20"/>
              </w:rPr>
              <w:t>Use of ICT labs, TALP and smart classes</w:t>
            </w:r>
          </w:p>
        </w:tc>
        <w:tc>
          <w:tcPr>
            <w:tcW w:type="dxa" w:w="2736"/>
          </w:tcPr>
          <w:p>
            <w:pPr>
              <w:spacing w:after="0"/>
            </w:pPr>
            <w:r/>
            <w:r>
              <w:rPr>
                <w:sz w:val="20"/>
              </w:rPr>
              <w:t>DIET, Kalaburagi</w:t>
            </w:r>
          </w:p>
        </w:tc>
      </w:tr>
      <w:tr>
        <w:trPr>
          <w:cantSplit/>
        </w:trPr>
        <w:tc>
          <w:tcPr>
            <w:tcW w:type="dxa" w:w="720"/>
          </w:tcPr>
          <w:p>
            <w:pPr>
              <w:spacing w:after="0"/>
            </w:pPr>
            <w:r/>
            <w:r>
              <w:rPr>
                <w:sz w:val="20"/>
              </w:rPr>
              <w:t>85</w:t>
            </w:r>
          </w:p>
        </w:tc>
        <w:tc>
          <w:tcPr>
            <w:tcW w:type="dxa" w:w="5616"/>
          </w:tcPr>
          <w:p>
            <w:pPr>
              <w:spacing w:after="0"/>
            </w:pPr>
            <w:r/>
            <w:r>
              <w:rPr>
                <w:sz w:val="20"/>
              </w:rPr>
              <w:t>Science laboratories, Atal Tinkering Labs and experiential science</w:t>
            </w:r>
          </w:p>
        </w:tc>
        <w:tc>
          <w:tcPr>
            <w:tcW w:type="dxa" w:w="2736"/>
          </w:tcPr>
          <w:p>
            <w:pPr>
              <w:spacing w:after="0"/>
            </w:pPr>
            <w:r/>
            <w:r>
              <w:rPr>
                <w:sz w:val="20"/>
              </w:rPr>
              <w:t>DIET, Kalaburagi</w:t>
            </w:r>
          </w:p>
        </w:tc>
      </w:tr>
      <w:tr>
        <w:trPr>
          <w:cantSplit/>
        </w:trPr>
        <w:tc>
          <w:tcPr>
            <w:tcW w:type="dxa" w:w="720"/>
          </w:tcPr>
          <w:p>
            <w:pPr>
              <w:spacing w:after="0"/>
            </w:pPr>
            <w:r/>
            <w:r>
              <w:rPr>
                <w:sz w:val="20"/>
              </w:rPr>
              <w:t>86</w:t>
            </w:r>
          </w:p>
        </w:tc>
        <w:tc>
          <w:tcPr>
            <w:tcW w:type="dxa" w:w="5616"/>
          </w:tcPr>
          <w:p>
            <w:pPr>
              <w:spacing w:after="0"/>
            </w:pPr>
            <w:r/>
            <w:r>
              <w:rPr>
                <w:sz w:val="20"/>
              </w:rPr>
              <w:t>Effect of Sethubandha/FLN programmes on closing FLN and learning-outcome gaps</w:t>
            </w:r>
          </w:p>
        </w:tc>
        <w:tc>
          <w:tcPr>
            <w:tcW w:type="dxa" w:w="2736"/>
          </w:tcPr>
          <w:p>
            <w:pPr>
              <w:spacing w:after="0"/>
            </w:pPr>
            <w:r/>
            <w:r>
              <w:rPr>
                <w:sz w:val="20"/>
              </w:rPr>
              <w:t>DIET, Kodagu</w:t>
            </w:r>
          </w:p>
        </w:tc>
      </w:tr>
      <w:tr>
        <w:trPr>
          <w:cantSplit/>
        </w:trPr>
        <w:tc>
          <w:tcPr>
            <w:tcW w:type="dxa" w:w="720"/>
          </w:tcPr>
          <w:p>
            <w:pPr>
              <w:spacing w:after="0"/>
            </w:pPr>
            <w:r/>
            <w:r>
              <w:rPr>
                <w:sz w:val="20"/>
              </w:rPr>
              <w:t>87</w:t>
            </w:r>
          </w:p>
        </w:tc>
        <w:tc>
          <w:tcPr>
            <w:tcW w:type="dxa" w:w="5616"/>
          </w:tcPr>
          <w:p>
            <w:pPr>
              <w:spacing w:after="0"/>
            </w:pPr>
            <w:r/>
            <w:r>
              <w:rPr>
                <w:sz w:val="20"/>
              </w:rPr>
              <w:t>Factors behind SSLC results</w:t>
            </w:r>
          </w:p>
        </w:tc>
        <w:tc>
          <w:tcPr>
            <w:tcW w:type="dxa" w:w="2736"/>
          </w:tcPr>
          <w:p>
            <w:pPr>
              <w:spacing w:after="0"/>
            </w:pPr>
            <w:r/>
            <w:r>
              <w:rPr>
                <w:sz w:val="20"/>
              </w:rPr>
              <w:t>DIET, Kodagu</w:t>
            </w:r>
          </w:p>
        </w:tc>
      </w:tr>
      <w:tr>
        <w:trPr>
          <w:cantSplit/>
        </w:trPr>
        <w:tc>
          <w:tcPr>
            <w:tcW w:type="dxa" w:w="720"/>
          </w:tcPr>
          <w:p>
            <w:pPr>
              <w:spacing w:after="0"/>
            </w:pPr>
            <w:r/>
            <w:r>
              <w:rPr>
                <w:sz w:val="20"/>
              </w:rPr>
              <w:t>88</w:t>
            </w:r>
          </w:p>
        </w:tc>
        <w:tc>
          <w:tcPr>
            <w:tcW w:type="dxa" w:w="5616"/>
          </w:tcPr>
          <w:p>
            <w:pPr>
              <w:spacing w:after="0"/>
            </w:pPr>
            <w:r/>
            <w:r>
              <w:rPr>
                <w:sz w:val="20"/>
              </w:rPr>
              <w:t>Students' mobile, internet and social media use</w:t>
            </w:r>
          </w:p>
        </w:tc>
        <w:tc>
          <w:tcPr>
            <w:tcW w:type="dxa" w:w="2736"/>
          </w:tcPr>
          <w:p>
            <w:pPr>
              <w:spacing w:after="0"/>
            </w:pPr>
            <w:r/>
            <w:r>
              <w:rPr>
                <w:sz w:val="20"/>
              </w:rPr>
              <w:t>DIET, Kodagu</w:t>
            </w:r>
          </w:p>
        </w:tc>
      </w:tr>
      <w:tr>
        <w:trPr>
          <w:cantSplit/>
        </w:trPr>
        <w:tc>
          <w:tcPr>
            <w:tcW w:type="dxa" w:w="720"/>
          </w:tcPr>
          <w:p>
            <w:pPr>
              <w:spacing w:after="0"/>
            </w:pPr>
            <w:r/>
            <w:r>
              <w:rPr>
                <w:sz w:val="20"/>
              </w:rPr>
              <w:t>89</w:t>
            </w:r>
          </w:p>
        </w:tc>
        <w:tc>
          <w:tcPr>
            <w:tcW w:type="dxa" w:w="5616"/>
          </w:tcPr>
          <w:p>
            <w:pPr>
              <w:spacing w:after="0"/>
            </w:pPr>
            <w:r/>
            <w:r>
              <w:rPr>
                <w:sz w:val="20"/>
              </w:rPr>
              <w:t>Use of ICT labs, TALP and smart classes</w:t>
            </w:r>
          </w:p>
        </w:tc>
        <w:tc>
          <w:tcPr>
            <w:tcW w:type="dxa" w:w="2736"/>
          </w:tcPr>
          <w:p>
            <w:pPr>
              <w:spacing w:after="0"/>
            </w:pPr>
            <w:r/>
            <w:r>
              <w:rPr>
                <w:sz w:val="20"/>
              </w:rPr>
              <w:t>DIET, Kodagu</w:t>
            </w:r>
          </w:p>
        </w:tc>
      </w:tr>
      <w:tr>
        <w:trPr>
          <w:cantSplit/>
        </w:trPr>
        <w:tc>
          <w:tcPr>
            <w:tcW w:type="dxa" w:w="720"/>
          </w:tcPr>
          <w:p>
            <w:pPr>
              <w:spacing w:after="0"/>
            </w:pPr>
            <w:r/>
            <w:r>
              <w:rPr>
                <w:sz w:val="20"/>
              </w:rPr>
              <w:t>90</w:t>
            </w:r>
          </w:p>
        </w:tc>
        <w:tc>
          <w:tcPr>
            <w:tcW w:type="dxa" w:w="5616"/>
          </w:tcPr>
          <w:p>
            <w:pPr>
              <w:spacing w:after="0"/>
            </w:pPr>
            <w:r/>
            <w:r>
              <w:rPr>
                <w:sz w:val="20"/>
              </w:rPr>
              <w:t>Skill education (NSQF) and 21st-century skills</w:t>
            </w:r>
          </w:p>
        </w:tc>
        <w:tc>
          <w:tcPr>
            <w:tcW w:type="dxa" w:w="2736"/>
          </w:tcPr>
          <w:p>
            <w:pPr>
              <w:spacing w:after="0"/>
            </w:pPr>
            <w:r/>
            <w:r>
              <w:rPr>
                <w:sz w:val="20"/>
              </w:rPr>
              <w:t>DIET, Kodagu</w:t>
            </w:r>
          </w:p>
        </w:tc>
      </w:tr>
      <w:tr>
        <w:trPr>
          <w:cantSplit/>
        </w:trPr>
        <w:tc>
          <w:tcPr>
            <w:tcW w:type="dxa" w:w="720"/>
          </w:tcPr>
          <w:p>
            <w:pPr>
              <w:spacing w:after="0"/>
            </w:pPr>
            <w:r/>
            <w:r>
              <w:rPr>
                <w:sz w:val="20"/>
              </w:rPr>
              <w:t>91</w:t>
            </w:r>
          </w:p>
        </w:tc>
        <w:tc>
          <w:tcPr>
            <w:tcW w:type="dxa" w:w="5616"/>
          </w:tcPr>
          <w:p>
            <w:pPr>
              <w:spacing w:after="0"/>
            </w:pPr>
            <w:r/>
            <w:r>
              <w:rPr>
                <w:sz w:val="20"/>
              </w:rPr>
              <w:t>Functioning of SDMCs in school development</w:t>
            </w:r>
          </w:p>
        </w:tc>
        <w:tc>
          <w:tcPr>
            <w:tcW w:type="dxa" w:w="2736"/>
          </w:tcPr>
          <w:p>
            <w:pPr>
              <w:spacing w:after="0"/>
            </w:pPr>
            <w:r/>
            <w:r>
              <w:rPr>
                <w:sz w:val="20"/>
              </w:rPr>
              <w:t>DIET, Kodagu</w:t>
            </w:r>
          </w:p>
        </w:tc>
      </w:tr>
      <w:tr>
        <w:trPr>
          <w:cantSplit/>
        </w:trPr>
        <w:tc>
          <w:tcPr>
            <w:tcW w:type="dxa" w:w="720"/>
          </w:tcPr>
          <w:p>
            <w:pPr>
              <w:spacing w:after="0"/>
            </w:pPr>
            <w:r/>
            <w:r>
              <w:rPr>
                <w:sz w:val="20"/>
              </w:rPr>
              <w:t>92</w:t>
            </w:r>
          </w:p>
        </w:tc>
        <w:tc>
          <w:tcPr>
            <w:tcW w:type="dxa" w:w="5616"/>
          </w:tcPr>
          <w:p>
            <w:pPr>
              <w:spacing w:after="0"/>
            </w:pPr>
            <w:r/>
            <w:r>
              <w:rPr>
                <w:sz w:val="20"/>
              </w:rPr>
              <w:t>Mid-day meals / PM POSHAN: effect on attendance, nutrition and learning</w:t>
            </w:r>
          </w:p>
        </w:tc>
        <w:tc>
          <w:tcPr>
            <w:tcW w:type="dxa" w:w="2736"/>
          </w:tcPr>
          <w:p>
            <w:pPr>
              <w:spacing w:after="0"/>
            </w:pPr>
            <w:r/>
            <w:r>
              <w:rPr>
                <w:sz w:val="20"/>
              </w:rPr>
              <w:t>DIET, Kodagu</w:t>
            </w:r>
          </w:p>
        </w:tc>
      </w:tr>
      <w:tr>
        <w:trPr>
          <w:cantSplit/>
        </w:trPr>
        <w:tc>
          <w:tcPr>
            <w:tcW w:type="dxa" w:w="720"/>
          </w:tcPr>
          <w:p>
            <w:pPr>
              <w:spacing w:after="0"/>
            </w:pPr>
            <w:r/>
            <w:r>
              <w:rPr>
                <w:sz w:val="20"/>
              </w:rPr>
              <w:t>93</w:t>
            </w:r>
          </w:p>
        </w:tc>
        <w:tc>
          <w:tcPr>
            <w:tcW w:type="dxa" w:w="5616"/>
          </w:tcPr>
          <w:p>
            <w:pPr>
              <w:spacing w:after="0"/>
            </w:pPr>
            <w:r/>
            <w:r>
              <w:rPr>
                <w:sz w:val="20"/>
              </w:rPr>
              <w:t>Subject pedagogy and teaching-learning materials</w:t>
            </w:r>
          </w:p>
        </w:tc>
        <w:tc>
          <w:tcPr>
            <w:tcW w:type="dxa" w:w="2736"/>
          </w:tcPr>
          <w:p>
            <w:pPr>
              <w:spacing w:after="0"/>
            </w:pPr>
            <w:r/>
            <w:r>
              <w:rPr>
                <w:sz w:val="20"/>
              </w:rPr>
              <w:t>DIET, Kodagu</w:t>
            </w:r>
          </w:p>
        </w:tc>
      </w:tr>
      <w:tr>
        <w:trPr>
          <w:cantSplit/>
        </w:trPr>
        <w:tc>
          <w:tcPr>
            <w:tcW w:type="dxa" w:w="720"/>
          </w:tcPr>
          <w:p>
            <w:pPr>
              <w:spacing w:after="0"/>
            </w:pPr>
            <w:r/>
            <w:r>
              <w:rPr>
                <w:sz w:val="20"/>
              </w:rPr>
              <w:t>94</w:t>
            </w:r>
          </w:p>
        </w:tc>
        <w:tc>
          <w:tcPr>
            <w:tcW w:type="dxa" w:w="5616"/>
          </w:tcPr>
          <w:p>
            <w:pPr>
              <w:spacing w:after="0"/>
            </w:pPr>
            <w:r/>
            <w:r>
              <w:rPr>
                <w:sz w:val="20"/>
              </w:rPr>
              <w:t>Readiness and effect of pre-primary (LKG/UKG, ECCE) education</w:t>
            </w:r>
          </w:p>
        </w:tc>
        <w:tc>
          <w:tcPr>
            <w:tcW w:type="dxa" w:w="2736"/>
          </w:tcPr>
          <w:p>
            <w:pPr>
              <w:spacing w:after="0"/>
            </w:pPr>
            <w:r/>
            <w:r>
              <w:rPr>
                <w:sz w:val="20"/>
              </w:rPr>
              <w:t>DIET, Koppal</w:t>
            </w:r>
          </w:p>
        </w:tc>
      </w:tr>
      <w:tr>
        <w:trPr>
          <w:cantSplit/>
        </w:trPr>
        <w:tc>
          <w:tcPr>
            <w:tcW w:type="dxa" w:w="720"/>
          </w:tcPr>
          <w:p>
            <w:pPr>
              <w:spacing w:after="0"/>
            </w:pPr>
            <w:r/>
            <w:r>
              <w:rPr>
                <w:sz w:val="20"/>
              </w:rPr>
              <w:t>95</w:t>
            </w:r>
          </w:p>
        </w:tc>
        <w:tc>
          <w:tcPr>
            <w:tcW w:type="dxa" w:w="5616"/>
          </w:tcPr>
          <w:p>
            <w:pPr>
              <w:spacing w:after="0"/>
            </w:pPr>
            <w:r/>
            <w:r>
              <w:rPr>
                <w:sz w:val="20"/>
              </w:rPr>
              <w:t>Inclusive education for children with special needs (CWSN)</w:t>
            </w:r>
          </w:p>
        </w:tc>
        <w:tc>
          <w:tcPr>
            <w:tcW w:type="dxa" w:w="2736"/>
          </w:tcPr>
          <w:p>
            <w:pPr>
              <w:spacing w:after="0"/>
            </w:pPr>
            <w:r/>
            <w:r>
              <w:rPr>
                <w:sz w:val="20"/>
              </w:rPr>
              <w:t>DIET, Koppal</w:t>
            </w:r>
          </w:p>
        </w:tc>
      </w:tr>
      <w:tr>
        <w:trPr>
          <w:cantSplit/>
        </w:trPr>
        <w:tc>
          <w:tcPr>
            <w:tcW w:type="dxa" w:w="720"/>
          </w:tcPr>
          <w:p>
            <w:pPr>
              <w:spacing w:after="0"/>
            </w:pPr>
            <w:r/>
            <w:r>
              <w:rPr>
                <w:sz w:val="20"/>
              </w:rPr>
              <w:t>96</w:t>
            </w:r>
          </w:p>
        </w:tc>
        <w:tc>
          <w:tcPr>
            <w:tcW w:type="dxa" w:w="5616"/>
          </w:tcPr>
          <w:p>
            <w:pPr>
              <w:spacing w:after="0"/>
            </w:pPr>
            <w:r/>
            <w:r>
              <w:rPr>
                <w:sz w:val="20"/>
              </w:rPr>
              <w:t>Subject pedagogy and teaching-learning materials</w:t>
            </w:r>
          </w:p>
        </w:tc>
        <w:tc>
          <w:tcPr>
            <w:tcW w:type="dxa" w:w="2736"/>
          </w:tcPr>
          <w:p>
            <w:pPr>
              <w:spacing w:after="0"/>
            </w:pPr>
            <w:r/>
            <w:r>
              <w:rPr>
                <w:sz w:val="20"/>
              </w:rPr>
              <w:t>DIET, Koppal</w:t>
            </w:r>
          </w:p>
        </w:tc>
      </w:tr>
      <w:tr>
        <w:trPr>
          <w:cantSplit/>
        </w:trPr>
        <w:tc>
          <w:tcPr>
            <w:tcW w:type="dxa" w:w="720"/>
          </w:tcPr>
          <w:p>
            <w:pPr>
              <w:spacing w:after="0"/>
            </w:pPr>
            <w:r/>
            <w:r>
              <w:rPr>
                <w:sz w:val="20"/>
              </w:rPr>
              <w:t>97</w:t>
            </w:r>
          </w:p>
        </w:tc>
        <w:tc>
          <w:tcPr>
            <w:tcW w:type="dxa" w:w="5616"/>
          </w:tcPr>
          <w:p>
            <w:pPr>
              <w:spacing w:after="0"/>
            </w:pPr>
            <w:r/>
            <w:r>
              <w:rPr>
                <w:sz w:val="20"/>
              </w:rPr>
              <w:t>Effect of Sethubandha/FLN programmes on closing FLN and learning-outcome gaps</w:t>
            </w:r>
          </w:p>
        </w:tc>
        <w:tc>
          <w:tcPr>
            <w:tcW w:type="dxa" w:w="2736"/>
          </w:tcPr>
          <w:p>
            <w:pPr>
              <w:spacing w:after="0"/>
            </w:pPr>
            <w:r/>
            <w:r>
              <w:rPr>
                <w:sz w:val="20"/>
              </w:rPr>
              <w:t>DIET, Kumta (Uttara Kannada)</w:t>
            </w:r>
          </w:p>
        </w:tc>
      </w:tr>
      <w:tr>
        <w:trPr>
          <w:cantSplit/>
        </w:trPr>
        <w:tc>
          <w:tcPr>
            <w:tcW w:type="dxa" w:w="720"/>
          </w:tcPr>
          <w:p>
            <w:pPr>
              <w:spacing w:after="0"/>
            </w:pPr>
            <w:r/>
            <w:r>
              <w:rPr>
                <w:sz w:val="20"/>
              </w:rPr>
              <w:t>98</w:t>
            </w:r>
          </w:p>
        </w:tc>
        <w:tc>
          <w:tcPr>
            <w:tcW w:type="dxa" w:w="5616"/>
          </w:tcPr>
          <w:p>
            <w:pPr>
              <w:spacing w:after="0"/>
            </w:pPr>
            <w:r/>
            <w:r>
              <w:rPr>
                <w:sz w:val="20"/>
              </w:rPr>
              <w:t>Teachers' English proficiency and English-medium classroom practice</w:t>
            </w:r>
          </w:p>
        </w:tc>
        <w:tc>
          <w:tcPr>
            <w:tcW w:type="dxa" w:w="2736"/>
          </w:tcPr>
          <w:p>
            <w:pPr>
              <w:spacing w:after="0"/>
            </w:pPr>
            <w:r/>
            <w:r>
              <w:rPr>
                <w:sz w:val="20"/>
              </w:rPr>
              <w:t>DIET, Kumta (Uttara Kannada)</w:t>
            </w:r>
          </w:p>
        </w:tc>
      </w:tr>
      <w:tr>
        <w:trPr>
          <w:cantSplit/>
        </w:trPr>
        <w:tc>
          <w:tcPr>
            <w:tcW w:type="dxa" w:w="720"/>
          </w:tcPr>
          <w:p>
            <w:pPr>
              <w:spacing w:after="0"/>
            </w:pPr>
            <w:r/>
            <w:r>
              <w:rPr>
                <w:sz w:val="20"/>
              </w:rPr>
              <w:t>99</w:t>
            </w:r>
          </w:p>
        </w:tc>
        <w:tc>
          <w:tcPr>
            <w:tcW w:type="dxa" w:w="5616"/>
          </w:tcPr>
          <w:p>
            <w:pPr>
              <w:spacing w:after="0"/>
            </w:pPr>
            <w:r/>
            <w:r>
              <w:rPr>
                <w:sz w:val="20"/>
              </w:rPr>
              <w:t>Vidya Pravesha and Class 1 school readiness</w:t>
            </w:r>
          </w:p>
        </w:tc>
        <w:tc>
          <w:tcPr>
            <w:tcW w:type="dxa" w:w="2736"/>
          </w:tcPr>
          <w:p>
            <w:pPr>
              <w:spacing w:after="0"/>
            </w:pPr>
            <w:r/>
            <w:r>
              <w:rPr>
                <w:sz w:val="20"/>
              </w:rPr>
              <w:t>DIET, Kumta (Uttara Kannada)</w:t>
            </w:r>
          </w:p>
        </w:tc>
      </w:tr>
      <w:tr>
        <w:trPr>
          <w:cantSplit/>
        </w:trPr>
        <w:tc>
          <w:tcPr>
            <w:tcW w:type="dxa" w:w="720"/>
          </w:tcPr>
          <w:p>
            <w:pPr>
              <w:spacing w:after="0"/>
            </w:pPr>
            <w:r/>
            <w:r>
              <w:rPr>
                <w:sz w:val="20"/>
              </w:rPr>
              <w:t>100</w:t>
            </w:r>
          </w:p>
        </w:tc>
        <w:tc>
          <w:tcPr>
            <w:tcW w:type="dxa" w:w="5616"/>
          </w:tcPr>
          <w:p>
            <w:pPr>
              <w:spacing w:after="0"/>
            </w:pPr>
            <w:r/>
            <w:r>
              <w:rPr>
                <w:sz w:val="20"/>
              </w:rPr>
              <w:t>Sambhrama Shanivara (bag-less day)</w:t>
            </w:r>
          </w:p>
        </w:tc>
        <w:tc>
          <w:tcPr>
            <w:tcW w:type="dxa" w:w="2736"/>
          </w:tcPr>
          <w:p>
            <w:pPr>
              <w:spacing w:after="0"/>
            </w:pPr>
            <w:r/>
            <w:r>
              <w:rPr>
                <w:sz w:val="20"/>
              </w:rPr>
              <w:t>DIET, Kumta (Uttara Kannada)</w:t>
            </w:r>
          </w:p>
        </w:tc>
      </w:tr>
      <w:tr>
        <w:trPr>
          <w:cantSplit/>
        </w:trPr>
        <w:tc>
          <w:tcPr>
            <w:tcW w:type="dxa" w:w="720"/>
          </w:tcPr>
          <w:p>
            <w:pPr>
              <w:spacing w:after="0"/>
            </w:pPr>
            <w:r/>
            <w:r>
              <w:rPr>
                <w:sz w:val="20"/>
              </w:rPr>
              <w:t>101</w:t>
            </w:r>
          </w:p>
        </w:tc>
        <w:tc>
          <w:tcPr>
            <w:tcW w:type="dxa" w:w="5616"/>
          </w:tcPr>
          <w:p>
            <w:pPr>
              <w:spacing w:after="0"/>
            </w:pPr>
            <w:r/>
            <w:r>
              <w:rPr>
                <w:sz w:val="20"/>
              </w:rPr>
              <w:t>Value education and life skills</w:t>
            </w:r>
          </w:p>
        </w:tc>
        <w:tc>
          <w:tcPr>
            <w:tcW w:type="dxa" w:w="2736"/>
          </w:tcPr>
          <w:p>
            <w:pPr>
              <w:spacing w:after="0"/>
            </w:pPr>
            <w:r/>
            <w:r>
              <w:rPr>
                <w:sz w:val="20"/>
              </w:rPr>
              <w:t>DIET, Kumta (Uttara Kannada)</w:t>
            </w:r>
          </w:p>
        </w:tc>
      </w:tr>
      <w:tr>
        <w:trPr>
          <w:cantSplit/>
        </w:trPr>
        <w:tc>
          <w:tcPr>
            <w:tcW w:type="dxa" w:w="720"/>
          </w:tcPr>
          <w:p>
            <w:pPr>
              <w:spacing w:after="0"/>
            </w:pPr>
            <w:r/>
            <w:r>
              <w:rPr>
                <w:sz w:val="20"/>
              </w:rPr>
              <w:t>102</w:t>
            </w:r>
          </w:p>
        </w:tc>
        <w:tc>
          <w:tcPr>
            <w:tcW w:type="dxa" w:w="5616"/>
          </w:tcPr>
          <w:p>
            <w:pPr>
              <w:spacing w:after="0"/>
            </w:pPr>
            <w:r/>
            <w:r>
              <w:rPr>
                <w:sz w:val="20"/>
              </w:rPr>
              <w:t>Use of ICT labs, TALP and smart classes</w:t>
            </w:r>
          </w:p>
        </w:tc>
        <w:tc>
          <w:tcPr>
            <w:tcW w:type="dxa" w:w="2736"/>
          </w:tcPr>
          <w:p>
            <w:pPr>
              <w:spacing w:after="0"/>
            </w:pPr>
            <w:r/>
            <w:r>
              <w:rPr>
                <w:sz w:val="20"/>
              </w:rPr>
              <w:t>DIET, Kumta (Uttara Kannada)</w:t>
            </w:r>
          </w:p>
        </w:tc>
      </w:tr>
      <w:tr>
        <w:trPr>
          <w:cantSplit/>
        </w:trPr>
        <w:tc>
          <w:tcPr>
            <w:tcW w:type="dxa" w:w="720"/>
          </w:tcPr>
          <w:p>
            <w:pPr>
              <w:spacing w:after="0"/>
            </w:pPr>
            <w:r/>
            <w:r>
              <w:rPr>
                <w:sz w:val="20"/>
              </w:rPr>
              <w:t>103</w:t>
            </w:r>
          </w:p>
        </w:tc>
        <w:tc>
          <w:tcPr>
            <w:tcW w:type="dxa" w:w="5616"/>
          </w:tcPr>
          <w:p>
            <w:pPr>
              <w:spacing w:after="0"/>
            </w:pPr>
            <w:r/>
            <w:r>
              <w:rPr>
                <w:sz w:val="20"/>
              </w:rPr>
              <w:t>Skill education (NSQF) and 21st-century skills</w:t>
            </w:r>
          </w:p>
        </w:tc>
        <w:tc>
          <w:tcPr>
            <w:tcW w:type="dxa" w:w="2736"/>
          </w:tcPr>
          <w:p>
            <w:pPr>
              <w:spacing w:after="0"/>
            </w:pPr>
            <w:r/>
            <w:r>
              <w:rPr>
                <w:sz w:val="20"/>
              </w:rPr>
              <w:t>DIET, Kumta (Uttara Kannada)</w:t>
            </w:r>
          </w:p>
        </w:tc>
      </w:tr>
      <w:tr>
        <w:trPr>
          <w:cantSplit/>
        </w:trPr>
        <w:tc>
          <w:tcPr>
            <w:tcW w:type="dxa" w:w="720"/>
          </w:tcPr>
          <w:p>
            <w:pPr>
              <w:spacing w:after="0"/>
            </w:pPr>
            <w:r/>
            <w:r>
              <w:rPr>
                <w:sz w:val="20"/>
              </w:rPr>
              <w:t>104</w:t>
            </w:r>
          </w:p>
        </w:tc>
        <w:tc>
          <w:tcPr>
            <w:tcW w:type="dxa" w:w="5616"/>
          </w:tcPr>
          <w:p>
            <w:pPr>
              <w:spacing w:after="0"/>
            </w:pPr>
            <w:r/>
            <w:r>
              <w:rPr>
                <w:sz w:val="20"/>
              </w:rPr>
              <w:t>Teachers' creation and use of digital resources (e-content)</w:t>
            </w:r>
          </w:p>
        </w:tc>
        <w:tc>
          <w:tcPr>
            <w:tcW w:type="dxa" w:w="2736"/>
          </w:tcPr>
          <w:p>
            <w:pPr>
              <w:spacing w:after="0"/>
            </w:pPr>
            <w:r/>
            <w:r>
              <w:rPr>
                <w:sz w:val="20"/>
              </w:rPr>
              <w:t>DIET, Kumta (Uttara Kannada)</w:t>
            </w:r>
          </w:p>
        </w:tc>
      </w:tr>
      <w:tr>
        <w:trPr>
          <w:cantSplit/>
        </w:trPr>
        <w:tc>
          <w:tcPr>
            <w:tcW w:type="dxa" w:w="720"/>
          </w:tcPr>
          <w:p>
            <w:pPr>
              <w:spacing w:after="0"/>
            </w:pPr>
            <w:r/>
            <w:r>
              <w:rPr>
                <w:sz w:val="20"/>
              </w:rPr>
              <w:t>105</w:t>
            </w:r>
          </w:p>
        </w:tc>
        <w:tc>
          <w:tcPr>
            <w:tcW w:type="dxa" w:w="5616"/>
          </w:tcPr>
          <w:p>
            <w:pPr>
              <w:spacing w:after="0"/>
            </w:pPr>
            <w:r/>
            <w:r>
              <w:rPr>
                <w:sz w:val="20"/>
              </w:rPr>
              <w:t>Inclusive education for children with special needs (CWSN)</w:t>
            </w:r>
          </w:p>
        </w:tc>
        <w:tc>
          <w:tcPr>
            <w:tcW w:type="dxa" w:w="2736"/>
          </w:tcPr>
          <w:p>
            <w:pPr>
              <w:spacing w:after="0"/>
            </w:pPr>
            <w:r/>
            <w:r>
              <w:rPr>
                <w:sz w:val="20"/>
              </w:rPr>
              <w:t>DIET, Kumta (Uttara Kannada)</w:t>
            </w:r>
          </w:p>
        </w:tc>
      </w:tr>
      <w:tr>
        <w:trPr>
          <w:cantSplit/>
        </w:trPr>
        <w:tc>
          <w:tcPr>
            <w:tcW w:type="dxa" w:w="720"/>
          </w:tcPr>
          <w:p>
            <w:pPr>
              <w:spacing w:after="0"/>
            </w:pPr>
            <w:r/>
            <w:r>
              <w:rPr>
                <w:sz w:val="20"/>
              </w:rPr>
              <w:t>106</w:t>
            </w:r>
          </w:p>
        </w:tc>
        <w:tc>
          <w:tcPr>
            <w:tcW w:type="dxa" w:w="5616"/>
          </w:tcPr>
          <w:p>
            <w:pPr>
              <w:spacing w:after="0"/>
            </w:pPr>
            <w:r/>
            <w:r>
              <w:rPr>
                <w:sz w:val="20"/>
              </w:rPr>
              <w:t>Physical education, sports and fitness</w:t>
            </w:r>
          </w:p>
        </w:tc>
        <w:tc>
          <w:tcPr>
            <w:tcW w:type="dxa" w:w="2736"/>
          </w:tcPr>
          <w:p>
            <w:pPr>
              <w:spacing w:after="0"/>
            </w:pPr>
            <w:r/>
            <w:r>
              <w:rPr>
                <w:sz w:val="20"/>
              </w:rPr>
              <w:t>DIET, Kumta (Uttara Kannada)</w:t>
            </w:r>
          </w:p>
        </w:tc>
      </w:tr>
      <w:tr>
        <w:trPr>
          <w:cantSplit/>
        </w:trPr>
        <w:tc>
          <w:tcPr>
            <w:tcW w:type="dxa" w:w="720"/>
          </w:tcPr>
          <w:p>
            <w:pPr>
              <w:spacing w:after="0"/>
            </w:pPr>
            <w:r/>
            <w:r>
              <w:rPr>
                <w:sz w:val="20"/>
              </w:rPr>
              <w:t>107</w:t>
            </w:r>
          </w:p>
        </w:tc>
        <w:tc>
          <w:tcPr>
            <w:tcW w:type="dxa" w:w="5616"/>
          </w:tcPr>
          <w:p>
            <w:pPr>
              <w:spacing w:after="0"/>
            </w:pPr>
            <w:r/>
            <w:r>
              <w:rPr>
                <w:sz w:val="20"/>
              </w:rPr>
              <w:t>Science laboratories, Atal Tinkering Labs and experiential science</w:t>
            </w:r>
          </w:p>
        </w:tc>
        <w:tc>
          <w:tcPr>
            <w:tcW w:type="dxa" w:w="2736"/>
          </w:tcPr>
          <w:p>
            <w:pPr>
              <w:spacing w:after="0"/>
            </w:pPr>
            <w:r/>
            <w:r>
              <w:rPr>
                <w:sz w:val="20"/>
              </w:rPr>
              <w:t>DIET, Kumta (Uttara Kannada)</w:t>
            </w:r>
          </w:p>
        </w:tc>
      </w:tr>
      <w:tr>
        <w:trPr>
          <w:cantSplit/>
        </w:trPr>
        <w:tc>
          <w:tcPr>
            <w:tcW w:type="dxa" w:w="720"/>
          </w:tcPr>
          <w:p>
            <w:pPr>
              <w:spacing w:after="0"/>
            </w:pPr>
            <w:r/>
            <w:r>
              <w:rPr>
                <w:sz w:val="20"/>
              </w:rPr>
              <w:t>108</w:t>
            </w:r>
          </w:p>
        </w:tc>
        <w:tc>
          <w:tcPr>
            <w:tcW w:type="dxa" w:w="5616"/>
          </w:tcPr>
          <w:p>
            <w:pPr>
              <w:spacing w:after="0"/>
            </w:pPr>
            <w:r/>
            <w:r>
              <w:rPr>
                <w:sz w:val="20"/>
              </w:rPr>
              <w:t>Adolescent development</w:t>
            </w:r>
          </w:p>
        </w:tc>
        <w:tc>
          <w:tcPr>
            <w:tcW w:type="dxa" w:w="2736"/>
          </w:tcPr>
          <w:p>
            <w:pPr>
              <w:spacing w:after="0"/>
            </w:pPr>
            <w:r/>
            <w:r>
              <w:rPr>
                <w:sz w:val="20"/>
              </w:rPr>
              <w:t>DIET, Kumta (Uttara Kannada)</w:t>
            </w:r>
          </w:p>
        </w:tc>
      </w:tr>
      <w:tr>
        <w:trPr>
          <w:cantSplit/>
        </w:trPr>
        <w:tc>
          <w:tcPr>
            <w:tcW w:type="dxa" w:w="720"/>
          </w:tcPr>
          <w:p>
            <w:pPr>
              <w:spacing w:after="0"/>
            </w:pPr>
            <w:r/>
            <w:r>
              <w:rPr>
                <w:sz w:val="20"/>
              </w:rPr>
              <w:t>109</w:t>
            </w:r>
          </w:p>
        </w:tc>
        <w:tc>
          <w:tcPr>
            <w:tcW w:type="dxa" w:w="5616"/>
          </w:tcPr>
          <w:p>
            <w:pPr>
              <w:spacing w:after="0"/>
            </w:pPr>
            <w:r/>
            <w:r>
              <w:rPr>
                <w:sz w:val="20"/>
              </w:rPr>
              <w:t>Environmental awareness and Eco Clubs</w:t>
            </w:r>
          </w:p>
        </w:tc>
        <w:tc>
          <w:tcPr>
            <w:tcW w:type="dxa" w:w="2736"/>
          </w:tcPr>
          <w:p>
            <w:pPr>
              <w:spacing w:after="0"/>
            </w:pPr>
            <w:r/>
            <w:r>
              <w:rPr>
                <w:sz w:val="20"/>
              </w:rPr>
              <w:t>DIET, Kumta (Uttara Kannada)</w:t>
            </w:r>
          </w:p>
        </w:tc>
      </w:tr>
      <w:tr>
        <w:trPr>
          <w:cantSplit/>
        </w:trPr>
        <w:tc>
          <w:tcPr>
            <w:tcW w:type="dxa" w:w="720"/>
          </w:tcPr>
          <w:p>
            <w:pPr>
              <w:spacing w:after="0"/>
            </w:pPr>
            <w:r/>
            <w:r>
              <w:rPr>
                <w:sz w:val="20"/>
              </w:rPr>
              <w:t>110</w:t>
            </w:r>
          </w:p>
        </w:tc>
        <w:tc>
          <w:tcPr>
            <w:tcW w:type="dxa" w:w="5616"/>
          </w:tcPr>
          <w:p>
            <w:pPr>
              <w:spacing w:after="0"/>
            </w:pPr>
            <w:r/>
            <w:r>
              <w:rPr>
                <w:sz w:val="20"/>
              </w:rPr>
              <w:t>School quality, leadership and partnerships</w:t>
            </w:r>
          </w:p>
        </w:tc>
        <w:tc>
          <w:tcPr>
            <w:tcW w:type="dxa" w:w="2736"/>
          </w:tcPr>
          <w:p>
            <w:pPr>
              <w:spacing w:after="0"/>
            </w:pPr>
            <w:r/>
            <w:r>
              <w:rPr>
                <w:sz w:val="20"/>
              </w:rPr>
              <w:t>DIET, Kumta (Uttara Kannada)</w:t>
            </w:r>
          </w:p>
        </w:tc>
      </w:tr>
      <w:tr>
        <w:trPr>
          <w:cantSplit/>
        </w:trPr>
        <w:tc>
          <w:tcPr>
            <w:tcW w:type="dxa" w:w="720"/>
          </w:tcPr>
          <w:p>
            <w:pPr>
              <w:spacing w:after="0"/>
            </w:pPr>
            <w:r/>
            <w:r>
              <w:rPr>
                <w:sz w:val="20"/>
              </w:rPr>
              <w:t>111</w:t>
            </w:r>
          </w:p>
        </w:tc>
        <w:tc>
          <w:tcPr>
            <w:tcW w:type="dxa" w:w="5616"/>
          </w:tcPr>
          <w:p>
            <w:pPr>
              <w:spacing w:after="0"/>
            </w:pPr>
            <w:r/>
            <w:r>
              <w:rPr>
                <w:sz w:val="20"/>
              </w:rPr>
              <w:t>NMMS scholarship examination and outcomes</w:t>
            </w:r>
          </w:p>
        </w:tc>
        <w:tc>
          <w:tcPr>
            <w:tcW w:type="dxa" w:w="2736"/>
          </w:tcPr>
          <w:p>
            <w:pPr>
              <w:spacing w:after="0"/>
            </w:pPr>
            <w:r/>
            <w:r>
              <w:rPr>
                <w:sz w:val="20"/>
              </w:rPr>
              <w:t>DIET, Madhugiri</w:t>
            </w:r>
          </w:p>
        </w:tc>
      </w:tr>
      <w:tr>
        <w:trPr>
          <w:cantSplit/>
        </w:trPr>
        <w:tc>
          <w:tcPr>
            <w:tcW w:type="dxa" w:w="720"/>
          </w:tcPr>
          <w:p>
            <w:pPr>
              <w:spacing w:after="0"/>
            </w:pPr>
            <w:r/>
            <w:r>
              <w:rPr>
                <w:sz w:val="20"/>
              </w:rPr>
              <w:t>112</w:t>
            </w:r>
          </w:p>
        </w:tc>
        <w:tc>
          <w:tcPr>
            <w:tcW w:type="dxa" w:w="5616"/>
          </w:tcPr>
          <w:p>
            <w:pPr>
              <w:spacing w:after="0"/>
            </w:pPr>
            <w:r/>
            <w:r>
              <w:rPr>
                <w:sz w:val="20"/>
              </w:rPr>
              <w:t>Effect of Sethubandha/FLN programmes on closing FLN and learning-outcome gaps</w:t>
            </w:r>
          </w:p>
        </w:tc>
        <w:tc>
          <w:tcPr>
            <w:tcW w:type="dxa" w:w="2736"/>
          </w:tcPr>
          <w:p>
            <w:pPr>
              <w:spacing w:after="0"/>
            </w:pPr>
            <w:r/>
            <w:r>
              <w:rPr>
                <w:sz w:val="20"/>
              </w:rPr>
              <w:t>DIET, Mandya</w:t>
            </w:r>
          </w:p>
        </w:tc>
      </w:tr>
      <w:tr>
        <w:trPr>
          <w:cantSplit/>
        </w:trPr>
        <w:tc>
          <w:tcPr>
            <w:tcW w:type="dxa" w:w="720"/>
          </w:tcPr>
          <w:p>
            <w:pPr>
              <w:spacing w:after="0"/>
            </w:pPr>
            <w:r/>
            <w:r>
              <w:rPr>
                <w:sz w:val="20"/>
              </w:rPr>
              <w:t>113</w:t>
            </w:r>
          </w:p>
        </w:tc>
        <w:tc>
          <w:tcPr>
            <w:tcW w:type="dxa" w:w="5616"/>
          </w:tcPr>
          <w:p>
            <w:pPr>
              <w:spacing w:after="0"/>
            </w:pPr>
            <w:r/>
            <w:r>
              <w:rPr>
                <w:sz w:val="20"/>
              </w:rPr>
              <w:t>Factors behind SSLC results</w:t>
            </w:r>
          </w:p>
        </w:tc>
        <w:tc>
          <w:tcPr>
            <w:tcW w:type="dxa" w:w="2736"/>
          </w:tcPr>
          <w:p>
            <w:pPr>
              <w:spacing w:after="0"/>
            </w:pPr>
            <w:r/>
            <w:r>
              <w:rPr>
                <w:sz w:val="20"/>
              </w:rPr>
              <w:t>DIET, Mandya</w:t>
            </w:r>
          </w:p>
        </w:tc>
      </w:tr>
      <w:tr>
        <w:trPr>
          <w:cantSplit/>
        </w:trPr>
        <w:tc>
          <w:tcPr>
            <w:tcW w:type="dxa" w:w="720"/>
          </w:tcPr>
          <w:p>
            <w:pPr>
              <w:spacing w:after="0"/>
            </w:pPr>
            <w:r/>
            <w:r>
              <w:rPr>
                <w:sz w:val="20"/>
              </w:rPr>
              <w:t>114</w:t>
            </w:r>
          </w:p>
        </w:tc>
        <w:tc>
          <w:tcPr>
            <w:tcW w:type="dxa" w:w="5616"/>
          </w:tcPr>
          <w:p>
            <w:pPr>
              <w:spacing w:after="0"/>
            </w:pPr>
            <w:r/>
            <w:r>
              <w:rPr>
                <w:sz w:val="20"/>
              </w:rPr>
              <w:t>Reasons for decline in government school enrolment</w:t>
            </w:r>
          </w:p>
        </w:tc>
        <w:tc>
          <w:tcPr>
            <w:tcW w:type="dxa" w:w="2736"/>
          </w:tcPr>
          <w:p>
            <w:pPr>
              <w:spacing w:after="0"/>
            </w:pPr>
            <w:r/>
            <w:r>
              <w:rPr>
                <w:sz w:val="20"/>
              </w:rPr>
              <w:t>DIET, Mandya</w:t>
            </w:r>
          </w:p>
        </w:tc>
      </w:tr>
      <w:tr>
        <w:trPr>
          <w:cantSplit/>
        </w:trPr>
        <w:tc>
          <w:tcPr>
            <w:tcW w:type="dxa" w:w="720"/>
          </w:tcPr>
          <w:p>
            <w:pPr>
              <w:spacing w:after="0"/>
            </w:pPr>
            <w:r/>
            <w:r>
              <w:rPr>
                <w:sz w:val="20"/>
              </w:rPr>
              <w:t>115</w:t>
            </w:r>
          </w:p>
        </w:tc>
        <w:tc>
          <w:tcPr>
            <w:tcW w:type="dxa" w:w="5616"/>
          </w:tcPr>
          <w:p>
            <w:pPr>
              <w:spacing w:after="0"/>
            </w:pPr>
            <w:r/>
            <w:r>
              <w:rPr>
                <w:sz w:val="20"/>
              </w:rPr>
              <w:t>Sambhrama Shanivara (bag-less day)</w:t>
            </w:r>
          </w:p>
        </w:tc>
        <w:tc>
          <w:tcPr>
            <w:tcW w:type="dxa" w:w="2736"/>
          </w:tcPr>
          <w:p>
            <w:pPr>
              <w:spacing w:after="0"/>
            </w:pPr>
            <w:r/>
            <w:r>
              <w:rPr>
                <w:sz w:val="20"/>
              </w:rPr>
              <w:t>DIET, Mandya</w:t>
            </w:r>
          </w:p>
        </w:tc>
      </w:tr>
      <w:tr>
        <w:trPr>
          <w:cantSplit/>
        </w:trPr>
        <w:tc>
          <w:tcPr>
            <w:tcW w:type="dxa" w:w="720"/>
          </w:tcPr>
          <w:p>
            <w:pPr>
              <w:spacing w:after="0"/>
            </w:pPr>
            <w:r/>
            <w:r>
              <w:rPr>
                <w:sz w:val="20"/>
              </w:rPr>
              <w:t>116</w:t>
            </w:r>
          </w:p>
        </w:tc>
        <w:tc>
          <w:tcPr>
            <w:tcW w:type="dxa" w:w="5616"/>
          </w:tcPr>
          <w:p>
            <w:pPr>
              <w:spacing w:after="0"/>
            </w:pPr>
            <w:r/>
            <w:r>
              <w:rPr>
                <w:sz w:val="20"/>
              </w:rPr>
              <w:t>Value education and life skills</w:t>
            </w:r>
          </w:p>
        </w:tc>
        <w:tc>
          <w:tcPr>
            <w:tcW w:type="dxa" w:w="2736"/>
          </w:tcPr>
          <w:p>
            <w:pPr>
              <w:spacing w:after="0"/>
            </w:pPr>
            <w:r/>
            <w:r>
              <w:rPr>
                <w:sz w:val="20"/>
              </w:rPr>
              <w:t>DIET, Mandya</w:t>
            </w:r>
          </w:p>
        </w:tc>
      </w:tr>
      <w:tr>
        <w:trPr>
          <w:cantSplit/>
        </w:trPr>
        <w:tc>
          <w:tcPr>
            <w:tcW w:type="dxa" w:w="720"/>
          </w:tcPr>
          <w:p>
            <w:pPr>
              <w:spacing w:after="0"/>
            </w:pPr>
            <w:r/>
            <w:r>
              <w:rPr>
                <w:sz w:val="20"/>
              </w:rPr>
              <w:t>117</w:t>
            </w:r>
          </w:p>
        </w:tc>
        <w:tc>
          <w:tcPr>
            <w:tcW w:type="dxa" w:w="5616"/>
          </w:tcPr>
          <w:p>
            <w:pPr>
              <w:spacing w:after="0"/>
            </w:pPr>
            <w:r/>
            <w:r>
              <w:rPr>
                <w:sz w:val="20"/>
              </w:rPr>
              <w:t>Students' mobile, internet and social media use</w:t>
            </w:r>
          </w:p>
        </w:tc>
        <w:tc>
          <w:tcPr>
            <w:tcW w:type="dxa" w:w="2736"/>
          </w:tcPr>
          <w:p>
            <w:pPr>
              <w:spacing w:after="0"/>
            </w:pPr>
            <w:r/>
            <w:r>
              <w:rPr>
                <w:sz w:val="20"/>
              </w:rPr>
              <w:t>DIET, Mandya</w:t>
            </w:r>
          </w:p>
        </w:tc>
      </w:tr>
      <w:tr>
        <w:trPr>
          <w:cantSplit/>
        </w:trPr>
        <w:tc>
          <w:tcPr>
            <w:tcW w:type="dxa" w:w="720"/>
          </w:tcPr>
          <w:p>
            <w:pPr>
              <w:spacing w:after="0"/>
            </w:pPr>
            <w:r/>
            <w:r>
              <w:rPr>
                <w:sz w:val="20"/>
              </w:rPr>
              <w:t>118</w:t>
            </w:r>
          </w:p>
        </w:tc>
        <w:tc>
          <w:tcPr>
            <w:tcW w:type="dxa" w:w="5616"/>
          </w:tcPr>
          <w:p>
            <w:pPr>
              <w:spacing w:after="0"/>
            </w:pPr>
            <w:r/>
            <w:r>
              <w:rPr>
                <w:sz w:val="20"/>
              </w:rPr>
              <w:t>Use of ICT labs, TALP and smart classes</w:t>
            </w:r>
          </w:p>
        </w:tc>
        <w:tc>
          <w:tcPr>
            <w:tcW w:type="dxa" w:w="2736"/>
          </w:tcPr>
          <w:p>
            <w:pPr>
              <w:spacing w:after="0"/>
            </w:pPr>
            <w:r/>
            <w:r>
              <w:rPr>
                <w:sz w:val="20"/>
              </w:rPr>
              <w:t>DIET, Mandya</w:t>
            </w:r>
          </w:p>
        </w:tc>
      </w:tr>
      <w:tr>
        <w:trPr>
          <w:cantSplit/>
        </w:trPr>
        <w:tc>
          <w:tcPr>
            <w:tcW w:type="dxa" w:w="720"/>
          </w:tcPr>
          <w:p>
            <w:pPr>
              <w:spacing w:after="0"/>
            </w:pPr>
            <w:r/>
            <w:r>
              <w:rPr>
                <w:sz w:val="20"/>
              </w:rPr>
              <w:t>119</w:t>
            </w:r>
          </w:p>
        </w:tc>
        <w:tc>
          <w:tcPr>
            <w:tcW w:type="dxa" w:w="5616"/>
          </w:tcPr>
          <w:p>
            <w:pPr>
              <w:spacing w:after="0"/>
            </w:pPr>
            <w:r/>
            <w:r>
              <w:rPr>
                <w:sz w:val="20"/>
              </w:rPr>
              <w:t>Effect of in-service training on classroom practice</w:t>
            </w:r>
          </w:p>
        </w:tc>
        <w:tc>
          <w:tcPr>
            <w:tcW w:type="dxa" w:w="2736"/>
          </w:tcPr>
          <w:p>
            <w:pPr>
              <w:spacing w:after="0"/>
            </w:pPr>
            <w:r/>
            <w:r>
              <w:rPr>
                <w:sz w:val="20"/>
              </w:rPr>
              <w:t>DIET, Mandya</w:t>
            </w:r>
          </w:p>
        </w:tc>
      </w:tr>
      <w:tr>
        <w:trPr>
          <w:cantSplit/>
        </w:trPr>
        <w:tc>
          <w:tcPr>
            <w:tcW w:type="dxa" w:w="720"/>
          </w:tcPr>
          <w:p>
            <w:pPr>
              <w:spacing w:after="0"/>
            </w:pPr>
            <w:r/>
            <w:r>
              <w:rPr>
                <w:sz w:val="20"/>
              </w:rPr>
              <w:t>120</w:t>
            </w:r>
          </w:p>
        </w:tc>
        <w:tc>
          <w:tcPr>
            <w:tcW w:type="dxa" w:w="5616"/>
          </w:tcPr>
          <w:p>
            <w:pPr>
              <w:spacing w:after="0"/>
            </w:pPr>
            <w:r/>
            <w:r>
              <w:rPr>
                <w:sz w:val="20"/>
              </w:rPr>
              <w:t>Inclusive education for children with special needs (CWSN)</w:t>
            </w:r>
          </w:p>
        </w:tc>
        <w:tc>
          <w:tcPr>
            <w:tcW w:type="dxa" w:w="2736"/>
          </w:tcPr>
          <w:p>
            <w:pPr>
              <w:spacing w:after="0"/>
            </w:pPr>
            <w:r/>
            <w:r>
              <w:rPr>
                <w:sz w:val="20"/>
              </w:rPr>
              <w:t>DIET, Mandya</w:t>
            </w:r>
          </w:p>
        </w:tc>
      </w:tr>
      <w:tr>
        <w:trPr>
          <w:cantSplit/>
        </w:trPr>
        <w:tc>
          <w:tcPr>
            <w:tcW w:type="dxa" w:w="720"/>
          </w:tcPr>
          <w:p>
            <w:pPr>
              <w:spacing w:after="0"/>
            </w:pPr>
            <w:r/>
            <w:r>
              <w:rPr>
                <w:sz w:val="20"/>
              </w:rPr>
              <w:t>121</w:t>
            </w:r>
          </w:p>
        </w:tc>
        <w:tc>
          <w:tcPr>
            <w:tcW w:type="dxa" w:w="5616"/>
          </w:tcPr>
          <w:p>
            <w:pPr>
              <w:spacing w:after="0"/>
            </w:pPr>
            <w:r/>
            <w:r>
              <w:rPr>
                <w:sz w:val="20"/>
              </w:rPr>
              <w:t>Parent engagement in children's learning</w:t>
            </w:r>
          </w:p>
        </w:tc>
        <w:tc>
          <w:tcPr>
            <w:tcW w:type="dxa" w:w="2736"/>
          </w:tcPr>
          <w:p>
            <w:pPr>
              <w:spacing w:after="0"/>
            </w:pPr>
            <w:r/>
            <w:r>
              <w:rPr>
                <w:sz w:val="20"/>
              </w:rPr>
              <w:t>DIET, Mandya</w:t>
            </w:r>
          </w:p>
        </w:tc>
      </w:tr>
      <w:tr>
        <w:trPr>
          <w:cantSplit/>
        </w:trPr>
        <w:tc>
          <w:tcPr>
            <w:tcW w:type="dxa" w:w="720"/>
          </w:tcPr>
          <w:p>
            <w:pPr>
              <w:spacing w:after="0"/>
            </w:pPr>
            <w:r/>
            <w:r>
              <w:rPr>
                <w:sz w:val="20"/>
              </w:rPr>
              <w:t>122</w:t>
            </w:r>
          </w:p>
        </w:tc>
        <w:tc>
          <w:tcPr>
            <w:tcW w:type="dxa" w:w="5616"/>
          </w:tcPr>
          <w:p>
            <w:pPr>
              <w:spacing w:after="0"/>
            </w:pPr>
            <w:r/>
            <w:r>
              <w:rPr>
                <w:sz w:val="20"/>
              </w:rPr>
              <w:t>Science laboratories, Atal Tinkering Labs and experiential science</w:t>
            </w:r>
          </w:p>
        </w:tc>
        <w:tc>
          <w:tcPr>
            <w:tcW w:type="dxa" w:w="2736"/>
          </w:tcPr>
          <w:p>
            <w:pPr>
              <w:spacing w:after="0"/>
            </w:pPr>
            <w:r/>
            <w:r>
              <w:rPr>
                <w:sz w:val="20"/>
              </w:rPr>
              <w:t>DIET, Mandya</w:t>
            </w:r>
          </w:p>
        </w:tc>
      </w:tr>
      <w:tr>
        <w:trPr>
          <w:cantSplit/>
        </w:trPr>
        <w:tc>
          <w:tcPr>
            <w:tcW w:type="dxa" w:w="720"/>
          </w:tcPr>
          <w:p>
            <w:pPr>
              <w:spacing w:after="0"/>
            </w:pPr>
            <w:r/>
            <w:r>
              <w:rPr>
                <w:sz w:val="20"/>
              </w:rPr>
              <w:t>123</w:t>
            </w:r>
          </w:p>
        </w:tc>
        <w:tc>
          <w:tcPr>
            <w:tcW w:type="dxa" w:w="5616"/>
          </w:tcPr>
          <w:p>
            <w:pPr>
              <w:spacing w:after="0"/>
            </w:pPr>
            <w:r/>
            <w:r>
              <w:rPr>
                <w:sz w:val="20"/>
              </w:rPr>
              <w:t>Subject pedagogy and teaching-learning materials</w:t>
            </w:r>
          </w:p>
        </w:tc>
        <w:tc>
          <w:tcPr>
            <w:tcW w:type="dxa" w:w="2736"/>
          </w:tcPr>
          <w:p>
            <w:pPr>
              <w:spacing w:after="0"/>
            </w:pPr>
            <w:r/>
            <w:r>
              <w:rPr>
                <w:sz w:val="20"/>
              </w:rPr>
              <w:t>DIET, Mandya</w:t>
            </w:r>
          </w:p>
        </w:tc>
      </w:tr>
      <w:tr>
        <w:trPr>
          <w:cantSplit/>
        </w:trPr>
        <w:tc>
          <w:tcPr>
            <w:tcW w:type="dxa" w:w="720"/>
          </w:tcPr>
          <w:p>
            <w:pPr>
              <w:spacing w:after="0"/>
            </w:pPr>
            <w:r/>
            <w:r>
              <w:rPr>
                <w:sz w:val="20"/>
              </w:rPr>
              <w:t>124</w:t>
            </w:r>
          </w:p>
        </w:tc>
        <w:tc>
          <w:tcPr>
            <w:tcW w:type="dxa" w:w="5616"/>
          </w:tcPr>
          <w:p>
            <w:pPr>
              <w:spacing w:after="0"/>
            </w:pPr>
            <w:r/>
            <w:r>
              <w:rPr>
                <w:sz w:val="20"/>
              </w:rPr>
              <w:t>Environmental awareness and Eco Clubs</w:t>
            </w:r>
          </w:p>
        </w:tc>
        <w:tc>
          <w:tcPr>
            <w:tcW w:type="dxa" w:w="2736"/>
          </w:tcPr>
          <w:p>
            <w:pPr>
              <w:spacing w:after="0"/>
            </w:pPr>
            <w:r/>
            <w:r>
              <w:rPr>
                <w:sz w:val="20"/>
              </w:rPr>
              <w:t>DIET, Mandya</w:t>
            </w:r>
          </w:p>
        </w:tc>
      </w:tr>
      <w:tr>
        <w:trPr>
          <w:cantSplit/>
        </w:trPr>
        <w:tc>
          <w:tcPr>
            <w:tcW w:type="dxa" w:w="720"/>
          </w:tcPr>
          <w:p>
            <w:pPr>
              <w:spacing w:after="0"/>
            </w:pPr>
            <w:r/>
            <w:r>
              <w:rPr>
                <w:sz w:val="20"/>
              </w:rPr>
              <w:t>125</w:t>
            </w:r>
          </w:p>
        </w:tc>
        <w:tc>
          <w:tcPr>
            <w:tcW w:type="dxa" w:w="5616"/>
          </w:tcPr>
          <w:p>
            <w:pPr>
              <w:spacing w:after="0"/>
            </w:pPr>
            <w:r/>
            <w:r>
              <w:rPr>
                <w:sz w:val="20"/>
              </w:rPr>
              <w:t>Child protection: prohibition of corporal punishment</w:t>
            </w:r>
          </w:p>
        </w:tc>
        <w:tc>
          <w:tcPr>
            <w:tcW w:type="dxa" w:w="2736"/>
          </w:tcPr>
          <w:p>
            <w:pPr>
              <w:spacing w:after="0"/>
            </w:pPr>
            <w:r/>
            <w:r>
              <w:rPr>
                <w:sz w:val="20"/>
              </w:rPr>
              <w:t>DIET, Mandya</w:t>
            </w:r>
          </w:p>
        </w:tc>
      </w:tr>
      <w:tr>
        <w:trPr>
          <w:cantSplit/>
        </w:trPr>
        <w:tc>
          <w:tcPr>
            <w:tcW w:type="dxa" w:w="720"/>
          </w:tcPr>
          <w:p>
            <w:pPr>
              <w:spacing w:after="0"/>
            </w:pPr>
            <w:r/>
            <w:r>
              <w:rPr>
                <w:sz w:val="20"/>
              </w:rPr>
              <w:t>126</w:t>
            </w:r>
          </w:p>
        </w:tc>
        <w:tc>
          <w:tcPr>
            <w:tcW w:type="dxa" w:w="5616"/>
          </w:tcPr>
          <w:p>
            <w:pPr>
              <w:spacing w:after="0"/>
            </w:pPr>
            <w:r/>
            <w:r>
              <w:rPr>
                <w:sz w:val="20"/>
              </w:rPr>
              <w:t>Teachers' English proficiency and English-medium classroom practice</w:t>
            </w:r>
          </w:p>
        </w:tc>
        <w:tc>
          <w:tcPr>
            <w:tcW w:type="dxa" w:w="2736"/>
          </w:tcPr>
          <w:p>
            <w:pPr>
              <w:spacing w:after="0"/>
            </w:pPr>
            <w:r/>
            <w:r>
              <w:rPr>
                <w:sz w:val="20"/>
              </w:rPr>
              <w:t>DIET, Mysuru</w:t>
            </w:r>
          </w:p>
        </w:tc>
      </w:tr>
      <w:tr>
        <w:trPr>
          <w:cantSplit/>
        </w:trPr>
        <w:tc>
          <w:tcPr>
            <w:tcW w:type="dxa" w:w="720"/>
          </w:tcPr>
          <w:p>
            <w:pPr>
              <w:spacing w:after="0"/>
            </w:pPr>
            <w:r/>
            <w:r>
              <w:rPr>
                <w:sz w:val="20"/>
              </w:rPr>
              <w:t>127</w:t>
            </w:r>
          </w:p>
        </w:tc>
        <w:tc>
          <w:tcPr>
            <w:tcW w:type="dxa" w:w="5616"/>
          </w:tcPr>
          <w:p>
            <w:pPr>
              <w:spacing w:after="0"/>
            </w:pPr>
            <w:r/>
            <w:r>
              <w:rPr>
                <w:sz w:val="20"/>
              </w:rPr>
              <w:t>Effect of in-service training on classroom practice</w:t>
            </w:r>
          </w:p>
        </w:tc>
        <w:tc>
          <w:tcPr>
            <w:tcW w:type="dxa" w:w="2736"/>
          </w:tcPr>
          <w:p>
            <w:pPr>
              <w:spacing w:after="0"/>
            </w:pPr>
            <w:r/>
            <w:r>
              <w:rPr>
                <w:sz w:val="20"/>
              </w:rPr>
              <w:t>DIET, Mysuru</w:t>
            </w:r>
          </w:p>
        </w:tc>
      </w:tr>
    </w:tbl>
    <w:p>
      <w:r>
        <w:br w:type="page"/>
      </w:r>
    </w:p>
    <w:p>
      <w:pPr>
        <w:spacing w:after="120" w:before="0"/>
        <w:jc w:val="right"/>
      </w:pPr>
      <w:r>
        <w:rPr>
          <w:b/>
          <w:i w:val="0"/>
          <w:u w:val="none"/>
        </w:rPr>
        <w:t>Annexure-1</w:t>
      </w:r>
    </w:p>
    <w:p>
      <w:pPr>
        <w:spacing w:after="40" w:before="0"/>
        <w:jc w:val="center"/>
      </w:pPr>
      <w:r>
        <w:rPr>
          <w:b/>
          <w:i w:val="0"/>
          <w:sz w:val="28"/>
          <w:u w:val="none"/>
        </w:rPr>
        <w:t>Feedback Note 1</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Ballari</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How teachers use assessment data for remedial teaching</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Ballari's study “A Survey Study on the Implementation of the 'Marusinchana' Programme in Primary Schools of Hadagali Taluk, Ballari District” (2024-25) and DIET Ballari's study “Effectiveness of the Marusinchana Program in Enhancing Teaching-Learning Processes in Government High Schools, Ballari” (2024-25). Children who fall behind in foundational concepts need structured remedial support in primary schools. In high schools, curricular time constraints, insufficient teaching aids and limited training opportunities hamper the Marusinchana programme; teachers need ongoing support.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Sustain and strengthen the partnership of the department, SSK Karnataka and Transform Educational Partners for Marusinchana.</w:t>
            </w:r>
          </w:p>
          <w:p>
            <w:pPr>
              <w:spacing w:after="60"/>
              <w:ind w:left="360" w:hanging="259"/>
              <w:jc w:val="both"/>
            </w:pPr>
            <w:r>
              <w:rPr>
                <w:b w:val="0"/>
              </w:rPr>
              <w:t xml:space="preserve">•  </w:t>
            </w:r>
            <w:r>
              <w:rPr>
                <w:b w:val="0"/>
              </w:rPr>
              <w:t>Address infrastructural gaps and institutionalise regular teacher capacity building.</w:t>
            </w:r>
          </w:p>
          <w:p>
            <w:pPr>
              <w:spacing w:after="60"/>
              <w:ind w:left="360" w:hanging="259"/>
              <w:jc w:val="both"/>
            </w:pPr>
            <w:r>
              <w:rPr>
                <w:b w:val="0"/>
              </w:rPr>
              <w:t xml:space="preserve">•  </w:t>
            </w:r>
            <w:r>
              <w:rPr>
                <w:b w:val="0"/>
              </w:rPr>
              <w:t>Effective teacher training and resource provision are crucial for transforming classroom dynamics and improving student outcomes.</w:t>
            </w:r>
          </w:p>
          <w:p>
            <w:pPr>
              <w:spacing w:after="60"/>
              <w:ind w:left="360" w:hanging="259"/>
              <w:jc w:val="both"/>
            </w:pPr>
            <w:r>
              <w:rPr>
                <w:b w:val="0"/>
              </w:rPr>
              <w:t xml:space="preserve">•  </w:t>
            </w:r>
            <w:r>
              <w:rPr>
                <w:b w:val="0"/>
              </w:rPr>
              <w:t>Expand regular teacher training and professional development sessions.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Ballari's two studies on the Marusinchana programme document a remedial and teacher-development initiative implemented at both the primary and secondary stages. Marusinchana was provided in primary schools of Hadagali taluk during 2023-24 and 2024-25 in collaboration with Transform Educational Partners and SSK Karnataka, to help children who had fallen behind. The primary-level survey used structured tools and interaction with trained teachers in randomly selected rural and urban schools. The high school study (Grades 9–10) used a mixed-methods design: academic scores before and after implementation, attendance records, interviews and focus groups with teachers, students and headmasters, and classroom observation, analysed in SPSS and Excel.</w:t>
            </w:r>
          </w:p>
          <w:p>
            <w:pPr>
              <w:spacing w:after="60"/>
              <w:jc w:val="both"/>
            </w:pPr>
            <w:r>
              <w:rPr>
                <w:b w:val="0"/>
              </w:rPr>
              <w:t>At the primary stage, the programme helped children who had fallen behind to learn foundational concepts and operations in a concrete, activity-based manner, and teachers reported that it motivated children to learn with interest and enjoyment. At the secondary stage, it led to more interactive, student-centred teaching and greater teacher engagement and confidence in using instructional materials; student test scores, attendance and participation improved, and positive trends linked teacher training with better student performance.</w:t>
            </w:r>
          </w:p>
          <w:p>
            <w:pPr>
              <w:spacing w:after="60"/>
              <w:jc w:val="both"/>
            </w:pPr>
            <w:r>
              <w:rPr>
                <w:b w:val="0"/>
              </w:rPr>
              <w:t>The practice is sustainable because it builds teacher capacity and uses activity-based methods that remain in classrooms after training. It is replicable through the same government–SSK–partner model in other taluks. It is scalable from primary to secondary levels, as Ballari has shown. It is monitorable through pre- and post-implementation scores, attendance and classroom observation. The studies commend the cooperation of senior officials, Transform Educational Partners and SSK Karnataka and recommend sustaining it, addressing infrastructure gaps and institutionalising regular capacity building.</w:t>
            </w:r>
          </w:p>
        </w:tc>
      </w:tr>
    </w:tbl>
    <w:p>
      <w:pPr>
        <w:spacing w:after="120" w:before="160"/>
      </w:pPr>
      <w:r>
        <w:rPr>
          <w:b/>
          <w:i w:val="0"/>
          <w:sz w:val="24"/>
          <w:u w:val="none"/>
        </w:rPr>
        <w:t>References</w:t>
      </w:r>
    </w:p>
    <w:p>
      <w:pPr>
        <w:spacing w:after="60" w:before="0"/>
        <w:ind w:left="576" w:hanging="576"/>
        <w:jc w:val="both"/>
      </w:pPr>
      <w:r>
        <w:rPr>
          <w:b w:val="0"/>
          <w:i w:val="0"/>
          <w:u w:val="none"/>
        </w:rPr>
        <w:t>DIET Ballari (2024-25). A Survey Study on the Implementation of the 'Marusinchana' Programme in Primary Schools of Hadagali Taluk, Ballari District; DIET Ballari (2024-25). Effectiveness of the Marusinchana Program in Enhancing Teaching-Learning Processes in Government High Schools, Ballari.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2</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Ballari</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Factors behind SSLC results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Ballari's study “An Empirical Study on Academic Performance and Learning Environment in Government Schools of Karnataka” (2024-25). Disparities in academic performance persist across infrastructure, teaching quality and socio-economic background; socio-economic challenges remain a critical barrier to attendance and achievement. Rural–urban variations exist in attendance and achievement.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Equitable resource distribution; sustained teacher training; stronger school leadership; community participation.</w:t>
            </w:r>
          </w:p>
          <w:p>
            <w:pPr>
              <w:spacing w:after="60"/>
              <w:ind w:left="360" w:hanging="259"/>
              <w:jc w:val="both"/>
            </w:pPr>
            <w:r>
              <w:rPr>
                <w:b w:val="0"/>
              </w:rPr>
              <w:t xml:space="preserve">•  </w:t>
            </w:r>
            <w:r>
              <w:rPr>
                <w:b w:val="0"/>
              </w:rPr>
              <w:t>Policy emphasis on equitable resource distribution and sustained teacher training programs can bridge existing gaps.</w:t>
            </w:r>
          </w:p>
          <w:p>
            <w:pPr>
              <w:spacing w:after="60"/>
              <w:ind w:left="360" w:hanging="259"/>
              <w:jc w:val="both"/>
            </w:pPr>
            <w:r>
              <w:rPr>
                <w:b w:val="0"/>
              </w:rPr>
              <w:t xml:space="preserve">•  </w:t>
            </w:r>
            <w:r>
              <w:rPr>
                <w:b w:val="0"/>
              </w:rPr>
              <w:t>Additionally, fostering community participation and enhancing school leadership are pivotal for sustainable educational quality improvements.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Ballari's empirical study on academic performance and learning environments in government schools (Grades 1–10) identifies the school-level conditions associated with better learning, knowledge that can guide planning in every district. The sample comprised government schools from multiple districts, stratified by district and school type, covering urban and rural settings. A mixed-methods design combined quantitative analysis of academic scores and attendance from school records with questionnaires, interviews and focus groups involving teachers, students and parents, supplemented by classroom observation; statistical tools and thematic analysis were applied.</w:t>
            </w:r>
          </w:p>
          <w:p>
            <w:pPr>
              <w:spacing w:after="60"/>
              <w:jc w:val="both"/>
            </w:pPr>
            <w:r>
              <w:rPr>
                <w:b w:val="0"/>
              </w:rPr>
              <w:t>The findings point clearly to what works. Academic performance was positively associated with the availability and use of teaching-learning resources. Schools with better infrastructure and proactive leadership reported higher student engagement. Teacher training and pedagogical approaches significantly influenced learning outcomes. Students valued a supportive school environment, and teachers expressed a need for continuous professional development.</w:t>
            </w:r>
          </w:p>
          <w:p>
            <w:pPr>
              <w:spacing w:after="60"/>
              <w:jc w:val="both"/>
            </w:pPr>
            <w:r>
              <w:rPr>
                <w:b w:val="0"/>
              </w:rPr>
              <w:t>These findings define a set of practices, active use of teaching-learning resources, proactive school leadership, trained teachers and a supportive environment, that are sustainable because they rest on existing school staff and materials rather than special projects. They are replicable in every government school. They are scalable through DIET-led headteacher leadership programmes and teacher training. They are monitorable through school records of attendance and scores, resource-use registers and classroom observation, the same sources the study used. The study concludes that equitable resource distribution, sustained teacher training, stronger school leadership and community participation are essential for improving academic outcomes, and that attention to socio-economic barriers is needed to make gains equitable across rural and urban schools.</w:t>
            </w:r>
          </w:p>
        </w:tc>
      </w:tr>
    </w:tbl>
    <w:p>
      <w:pPr>
        <w:spacing w:after="120" w:before="160"/>
      </w:pPr>
      <w:r>
        <w:rPr>
          <w:b/>
          <w:i w:val="0"/>
          <w:sz w:val="24"/>
          <w:u w:val="none"/>
        </w:rPr>
        <w:t>References</w:t>
      </w:r>
    </w:p>
    <w:p>
      <w:pPr>
        <w:spacing w:after="60" w:before="0"/>
        <w:ind w:left="576" w:hanging="576"/>
        <w:jc w:val="both"/>
      </w:pPr>
      <w:r>
        <w:rPr>
          <w:b w:val="0"/>
          <w:i w:val="0"/>
          <w:u w:val="none"/>
        </w:rPr>
        <w:t>DIET Ballari (2024-25). An Empirical Study on Academic Performance and Learning Environment in Government Schools of Karnataka.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3</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Ballari</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Home language and learning in tribal areas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Ballari's study “Barriers to Kannada Language Learning Among Lambani Tribal Students in Huvina Hadagali Block, Karnataka” (2024-25). Lambani tribal students show lower Kannada proficiency and attendance than district averages, most pronounced in early primary grades. Lack of Kannada exposure at home, few tailored resources, parental illiteracy, minimal community involvement; teachers find culturally relevant instruction difficult.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Culturally responsive pedagogy and resources tailored to tribal learners; specialised teacher training.</w:t>
            </w:r>
          </w:p>
          <w:p>
            <w:pPr>
              <w:spacing w:after="60"/>
              <w:ind w:left="360" w:hanging="259"/>
              <w:jc w:val="both"/>
            </w:pPr>
            <w:r>
              <w:rPr>
                <w:b w:val="0"/>
              </w:rPr>
              <w:t xml:space="preserve">•  </w:t>
            </w:r>
            <w:r>
              <w:rPr>
                <w:b w:val="0"/>
              </w:rPr>
              <w:t>Community engagement; policy planning and resource allocation for equitable education of Lambani students.</w:t>
            </w:r>
          </w:p>
          <w:p>
            <w:pPr>
              <w:spacing w:after="60"/>
              <w:ind w:left="360" w:hanging="259"/>
              <w:jc w:val="both"/>
            </w:pPr>
            <w:r>
              <w:rPr>
                <w:b w:val="0"/>
              </w:rPr>
              <w:t xml:space="preserve">•  </w:t>
            </w:r>
            <w:r>
              <w:rPr>
                <w:b w:val="0"/>
              </w:rPr>
              <w:t>Policy frameworks must address these multi-dimensional barriers to ensure equitable quality education for Lambani tribal students.</w:t>
            </w:r>
          </w:p>
          <w:p>
            <w:pPr>
              <w:spacing w:after="60"/>
              <w:ind w:left="360" w:hanging="259"/>
              <w:jc w:val="both"/>
            </w:pPr>
            <w:r>
              <w:rPr>
                <w:b w:val="0"/>
              </w:rPr>
              <w:t xml:space="preserve">•  </w:t>
            </w:r>
            <w:r>
              <w:rPr>
                <w:b w:val="0"/>
              </w:rPr>
              <w:t>Implementation of tailored interventions could improve language acquisition, boost academic outcomes, and foster inclusive learning spaces.</w:t>
            </w:r>
          </w:p>
          <w:p>
            <w:pPr>
              <w:spacing w:after="60"/>
              <w:ind w:left="360" w:hanging="259"/>
              <w:jc w:val="both"/>
            </w:pPr>
            <w:r>
              <w:rPr>
                <w:b w:val="0"/>
              </w:rPr>
              <w:t xml:space="preserve">•  </w:t>
            </w:r>
            <w:r>
              <w:rPr>
                <w:b w:val="0"/>
              </w:rPr>
              <w:t>Addressing linguistic challenges is vital for integrating marginalized communities into broader educational and social structures in Karnataka.</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Ballari's study on barriers to Kannada learning among Lambani tribal students in Huvina Hadagali block is a best practice in diagnosing the language needs of a specific community before designing support. The block is predominantly inhabited by Lambani tribal populations. The study used a mixed-methods design: quantitative analysis of Kannada test scores and attendance records, interviews and focus group discussions with teachers, parents and community leaders, and classroom observations, with thematic analysis of qualitative data.</w:t>
            </w:r>
          </w:p>
          <w:p>
            <w:pPr>
              <w:spacing w:after="60"/>
              <w:jc w:val="both"/>
            </w:pPr>
            <w:r>
              <w:rPr>
                <w:b w:val="0"/>
              </w:rPr>
              <w:t>The study produced a precise picture. Lambani students showed lower Kannada proficiency and attendance than district averages, with gaps most pronounced in the early primary grades. It identified the causes, lack of Kannada exposure at home, insufficient resources tailored to tribal learners, parental illiteracy and minimal community involvement, and showed that lessons not contextualised to students' experience were hard to understand. Teachers themselves recognised the difficulty and asked for specialised training, which is an important basis for change.</w:t>
            </w:r>
          </w:p>
          <w:p>
            <w:pPr>
              <w:spacing w:after="60"/>
              <w:jc w:val="both"/>
            </w:pPr>
            <w:r>
              <w:rPr>
                <w:b w:val="0"/>
              </w:rPr>
              <w:t>The diagnostic approach is sustainable because it uses school records and community interaction that DIETs can repeat periodically. It is replicable in other blocks with tribal or linguistic minority populations. It is scalable through DIET-led training for teachers in such areas and development of contextualised materials. It is monitorable through Kannada test scores and attendance of tribal students compared with district averages, especially in early grades. The study's recommendations, culturally responsive pedagogy, tailored resources, community engagement, and policy planning and resource allocation for equitable quality education, offer a clear path to closing the language gap that underlies wider learning disadvantage for Lambani children.</w:t>
            </w:r>
          </w:p>
        </w:tc>
      </w:tr>
    </w:tbl>
    <w:p>
      <w:pPr>
        <w:spacing w:after="120" w:before="160"/>
      </w:pPr>
      <w:r>
        <w:rPr>
          <w:b/>
          <w:i w:val="0"/>
          <w:sz w:val="24"/>
          <w:u w:val="none"/>
        </w:rPr>
        <w:t>References</w:t>
      </w:r>
    </w:p>
    <w:p>
      <w:pPr>
        <w:spacing w:after="60" w:before="0"/>
        <w:ind w:left="576" w:hanging="576"/>
        <w:jc w:val="both"/>
      </w:pPr>
      <w:r>
        <w:rPr>
          <w:b w:val="0"/>
          <w:i w:val="0"/>
          <w:u w:val="none"/>
        </w:rPr>
        <w:t>DIET Ballari (2024-25). Barriers to Kannada Language Learning Among Lambani Tribal Students in Huvina Hadagali Block, Karnataka.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4</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Ballari</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Use of ICT labs, TALP and smart classes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Ballari's study “A Study on the Impact of TALP Training on Teaching Effectiveness of Government High School Teachers in Karnataka” (2024-25). Inconsistent access to technical infrastructure and variable training attendance; difficulty adapting training content to local classrooms.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Integrate TALP into continuous professional development frameworks; frequent refresher courses; address infrastructure deficits and administrative backing.</w:t>
            </w:r>
          </w:p>
          <w:p>
            <w:pPr>
              <w:spacing w:after="60"/>
              <w:ind w:left="360" w:hanging="259"/>
              <w:jc w:val="both"/>
            </w:pPr>
            <w:r>
              <w:rPr>
                <w:b w:val="0"/>
              </w:rPr>
              <w:t xml:space="preserve">•  </w:t>
            </w:r>
            <w:r>
              <w:rPr>
                <w:b w:val="0"/>
              </w:rPr>
              <w:t>Sustaining and expanding such training is vital for enhancing teacher effectiveness and student learning outcomes.</w:t>
            </w:r>
          </w:p>
          <w:p>
            <w:pPr>
              <w:spacing w:after="60"/>
              <w:ind w:left="360" w:hanging="259"/>
              <w:jc w:val="both"/>
            </w:pPr>
            <w:r>
              <w:rPr>
                <w:b w:val="0"/>
              </w:rPr>
              <w:t xml:space="preserve">•  </w:t>
            </w:r>
            <w:r>
              <w:rPr>
                <w:b w:val="0"/>
              </w:rPr>
              <w:t>Policymakers should integrate TALP into continuous professional development frameworks and allocate resources to support widespread adoption.</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Ballari's study on the impact of TALP training on government high school teachers documents structured, technology-integrated professional development as an effective practice. The study used a mixed-methods design combining teacher performance assessments, classroom observations and student academic records with structured interviews and focus group discussions with TALP-trained teachers and administrators, and surveys of teacher confidence and perceived efficacy.</w:t>
            </w:r>
          </w:p>
          <w:p>
            <w:pPr>
              <w:spacing w:after="60"/>
              <w:jc w:val="both"/>
            </w:pPr>
            <w:r>
              <w:rPr>
                <w:b w:val="0"/>
              </w:rPr>
              <w:t>The findings are positive. TALP training significantly enhanced teacher confidence and classroom innovation, with increased use of digital tools and interactive methods after training. Teacher competency scores improved and technology was used more often in lessons. Student engagement and academic performance showed positive trends linked to trained teachers, and there was a positive correlation between TALP participation and student achievement. Teachers valued ongoing support and asked for more frequent refresher courses.</w:t>
            </w:r>
          </w:p>
          <w:p>
            <w:pPr>
              <w:spacing w:after="60"/>
              <w:jc w:val="both"/>
            </w:pPr>
            <w:r>
              <w:rPr>
                <w:b w:val="0"/>
              </w:rPr>
              <w:t>The practice is sustainable because trained teachers retain digital skills and continue to apply them in daily teaching. It is replicable in all TALP schools across the State. It is scalable through the existing TALP induction and refresher training structure. It is monitorable through teacher competency assessments, frequency of technology use in lessons, and student achievement compared between trained and untrained teachers, the measures used in this study. The study concludes that TALP demonstrates the importance of structured, technology-integrated professional development in transforming secondary teaching. It recommends that policymakers integrate TALP into continuous professional development frameworks, allocate resources for widespread adoption, ensure regular capacity building and address infrastructure deficits so that the benefits reach every classroom.</w:t>
            </w:r>
          </w:p>
        </w:tc>
      </w:tr>
    </w:tbl>
    <w:p>
      <w:pPr>
        <w:spacing w:after="120" w:before="160"/>
      </w:pPr>
      <w:r>
        <w:rPr>
          <w:b/>
          <w:i w:val="0"/>
          <w:sz w:val="24"/>
          <w:u w:val="none"/>
        </w:rPr>
        <w:t>References</w:t>
      </w:r>
    </w:p>
    <w:p>
      <w:pPr>
        <w:spacing w:after="60" w:before="0"/>
        <w:ind w:left="576" w:hanging="576"/>
        <w:jc w:val="both"/>
      </w:pPr>
      <w:r>
        <w:rPr>
          <w:b w:val="0"/>
          <w:i w:val="0"/>
          <w:u w:val="none"/>
        </w:rPr>
        <w:t>DIET Ballari (2024-25). A Study on the Impact of TALP Training on Teaching Effectiveness of Government High School Teachers in Karnataka.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5</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Ballari</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Functioning of SDMCs in school development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Ballari's study “A Study on the Role and Effectiveness of School Development and Management Committees (SDMC) in Promoting School Governance and Development in Government Schools, Ballari District” (2024-25) and DIET Ballari's study “Implementation and Effectiveness of Community-Datta Schools in Promoting Community Participation and Educational Quality in Government Schools, Karnataka” (2024-25). SDMC effectiveness is inconsistent; high rates on formation but lower on governance functions; awareness of roles varies; community participation often limited to attendance. Community-Datta Schools face resource limitations and uneven implementation fidelity.</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Capacity building, policy clarity and transparent communication for SDMCs.</w:t>
            </w:r>
          </w:p>
          <w:p>
            <w:pPr>
              <w:spacing w:after="60"/>
              <w:ind w:left="360" w:hanging="259"/>
              <w:jc w:val="both"/>
            </w:pPr>
            <w:r>
              <w:rPr>
                <w:b w:val="0"/>
              </w:rPr>
              <w:t xml:space="preserve">•  </w:t>
            </w:r>
            <w:r>
              <w:rPr>
                <w:b w:val="0"/>
              </w:rPr>
              <w:t>Institutional support, adequate resourcing and teacher capacity building to scale the Community-Datta model.</w:t>
            </w:r>
          </w:p>
          <w:p>
            <w:pPr>
              <w:spacing w:after="60"/>
              <w:ind w:left="360" w:hanging="259"/>
              <w:jc w:val="both"/>
            </w:pPr>
            <w:r>
              <w:rPr>
                <w:b w:val="0"/>
              </w:rPr>
              <w:t xml:space="preserve">•  </w:t>
            </w:r>
            <w:r>
              <w:rPr>
                <w:b w:val="0"/>
              </w:rPr>
              <w:t>Strengthening SDMC functionality is critical for enhancing school quality and community accountability.</w:t>
            </w:r>
          </w:p>
          <w:p>
            <w:pPr>
              <w:spacing w:after="60"/>
              <w:ind w:left="360" w:hanging="259"/>
              <w:jc w:val="both"/>
            </w:pPr>
            <w:r>
              <w:rPr>
                <w:b w:val="0"/>
              </w:rPr>
              <w:t xml:space="preserve">•  </w:t>
            </w:r>
            <w:r>
              <w:rPr>
                <w:b w:val="0"/>
              </w:rPr>
              <w:t>Investing in SDMC development aligns with broader educational governance reforms and inclusive development goals.</w:t>
            </w:r>
          </w:p>
          <w:p>
            <w:pPr>
              <w:spacing w:after="60"/>
              <w:ind w:left="360" w:hanging="259"/>
              <w:jc w:val="both"/>
            </w:pPr>
            <w:r>
              <w:rPr>
                <w:b w:val="0"/>
              </w:rPr>
              <w:t xml:space="preserve">•  </w:t>
            </w:r>
            <w:r>
              <w:rPr>
                <w:b w:val="0"/>
              </w:rPr>
              <w:t>Policy frameworks should recognize and support this model as a pathway to inclusive quality education.</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Two DIET Ballari studies document community participation in school governance, through SDMCs and through the Community-Datta School model, as a practice that improves schools. The SDMC study covered members, teachers and community participants in four blocks (Ballari, Kurugodu, Sandur and Siruguppa), using questionnaires, interviews, focus groups and observation of SDMC meetings. The Community-Datta study covered government schools implementing the model across districts with urban, semi-urban and rural profiles, using surveys, interviews, focus groups, case studies, longitudinal tracking and document analysis.</w:t>
            </w:r>
          </w:p>
          <w:p>
            <w:pPr>
              <w:spacing w:after="60"/>
              <w:jc w:val="both"/>
            </w:pPr>
            <w:r>
              <w:rPr>
                <w:b w:val="0"/>
              </w:rPr>
              <w:t>The SDMC study found that schools with functional SDMCs showed better infrastructure, resource management and classroom practices, and that transparent SDMCs reported stronger trust and engagement. The Community-Datta model, which makes government schools centres of community development and contextual learning, showed strong community participation, measurable improvements in student attendance and academic performance, and higher parental participation in governance than traditional schools. Vocational and life-skills training enhanced students' self-reliance, cultural preservation initiatives strengthened community identity, and teacher motivation rose with community support.</w:t>
            </w:r>
          </w:p>
          <w:p>
            <w:pPr>
              <w:spacing w:after="60"/>
              <w:jc w:val="both"/>
            </w:pPr>
            <w:r>
              <w:rPr>
                <w:b w:val="0"/>
              </w:rPr>
              <w:t>Both practices are sustainable because they rest on community ownership and statutory SDMCs. They are replicable in other districts. They are scalable with institutional support, resourcing and training, as the studies recommend. They are monitorable through SDMC meeting records, governance functions performed, attendance and performance trends, and parental participation. The studies conclude that capacity building, policy clarity and transparent communication are essential for SDMCs, and that the Community-Datta model has considerable potential to transform government schools into centres of holistic development.</w:t>
            </w:r>
          </w:p>
        </w:tc>
      </w:tr>
    </w:tbl>
    <w:p>
      <w:pPr>
        <w:spacing w:after="120" w:before="160"/>
      </w:pPr>
      <w:r>
        <w:rPr>
          <w:b/>
          <w:i w:val="0"/>
          <w:sz w:val="24"/>
          <w:u w:val="none"/>
        </w:rPr>
        <w:t>References</w:t>
      </w:r>
    </w:p>
    <w:p>
      <w:pPr>
        <w:spacing w:after="60" w:before="0"/>
        <w:ind w:left="576" w:hanging="576"/>
        <w:jc w:val="both"/>
      </w:pPr>
      <w:r>
        <w:rPr>
          <w:b w:val="0"/>
          <w:i w:val="0"/>
          <w:u w:val="none"/>
        </w:rPr>
        <w:t>DIET Ballari (2024-25). A Study on the Role and Effectiveness of School Development and Management Committees (SDMC) in Promoting School Governance and Development in Government Schools, Ballari District; DIET Ballari (2024-25). Implementation and Effectiveness of Community-Datta Schools in Promoting Community Participation and Educational Quality in Government Schools, Karnataka.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6</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Ballari</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Science laboratories, Atal Tinkering Labs and experiential science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Ballari's study “Effectiveness of Practical and Hands-on Learning Activities in Enhancing Science Comprehension and Student Engagement in Government Schools, Karnataka” (2024-25). Laboratory facilities limited in 35–forty per cent of schools; time constraints (about 40–fifty per cent), resource limits (35–forty-five per cent) and curriculum pressure.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Enhanced resource allocation, teacher training, curricular time and institutional support for experiential science.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Ballari's study on practical and hands-on learning activities in science documents strong stakeholder support for experiential science education in government schools. The study examined the integration of observatories, fieldwork, laboratory experiments and demonstrations into science teaching for Grades 6–10. Respondents comprised 10 headmasters, 100 teachers and 100 students from ten government schools across districts. Separate structured questionnaires with closed and open items were used, supplemented by observation of laboratory conditions, resources and classroom practices.</w:t>
            </w:r>
          </w:p>
          <w:p>
            <w:pPr>
              <w:spacing w:after="60"/>
              <w:jc w:val="both"/>
            </w:pPr>
            <w:r>
              <w:rPr>
                <w:b w:val="0"/>
              </w:rPr>
              <w:t>The results show broad consensus. Approximately 60–ninety-five per cent of respondents perceived practical activities positively, and 55–eighty-five per cent reported improved student engagement, understanding and interest. About ninety-five per cent of students agreed that practical learning helps them understand science better, and ninety-two per cent reported increased interest in science. Approximately eighty-five per cent of teachers endorsed the effectiveness of practical learning, and seventy-five per cent wanted expanded resources and training. Laboratory facilities were rated good or acceptable in 40–forty-five per cent of schools.</w:t>
            </w:r>
          </w:p>
          <w:p>
            <w:pPr>
              <w:spacing w:after="60"/>
              <w:jc w:val="both"/>
            </w:pPr>
            <w:r>
              <w:rPr>
                <w:b w:val="0"/>
              </w:rPr>
              <w:t>The practice is sustainable where laboratories and materials exist, since experiments and demonstrations can become routine parts of lessons. It is replicable in any school with basic science resources and can begin with low-cost demonstrations and fieldwork. It is scalable through teacher training and resource provision, as the study recommends. It is monitorable through records of practical sessions, student engagement and understanding, and the condition of laboratory facilities. The study concludes that there is strong consensus in favour of experiential science education, but that enhanced resource allocation, teacher training, curricular time and institutional support are needed to scale it effectively across government schools.</w:t>
            </w:r>
          </w:p>
        </w:tc>
      </w:tr>
    </w:tbl>
    <w:p>
      <w:pPr>
        <w:spacing w:after="120" w:before="160"/>
      </w:pPr>
      <w:r>
        <w:rPr>
          <w:b/>
          <w:i w:val="0"/>
          <w:sz w:val="24"/>
          <w:u w:val="none"/>
        </w:rPr>
        <w:t>References</w:t>
      </w:r>
    </w:p>
    <w:p>
      <w:pPr>
        <w:spacing w:after="60" w:before="0"/>
        <w:ind w:left="576" w:hanging="576"/>
        <w:jc w:val="both"/>
      </w:pPr>
      <w:r>
        <w:rPr>
          <w:b w:val="0"/>
          <w:i w:val="0"/>
          <w:u w:val="none"/>
        </w:rPr>
        <w:t>DIET Ballari (2024-25). Effectiveness of Practical and Hands-on Learning Activities in Enhancing Science Comprehension and Student Engagement in Government Schools, Karnataka.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7</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Ballari</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Subject pedagogy and teaching-learning materials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Ballari's study “Evaluating the Effectiveness of Teaching Learning Materials (TLM) and Teacher Support Systems in Karnataka Government Schools” (2024-25). TLM utilisation varies across districts; resource disparities, supply chain problems, inadequate storage and varying teacher motivation.</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Systemic resource planning, equitable distribution, community engagement and institutionalised teacher training on TLM integration.</w:t>
            </w:r>
          </w:p>
          <w:p>
            <w:pPr>
              <w:spacing w:after="60"/>
              <w:ind w:left="360" w:hanging="259"/>
              <w:jc w:val="both"/>
            </w:pPr>
            <w:r>
              <w:rPr>
                <w:b w:val="0"/>
              </w:rPr>
              <w:t xml:space="preserve">•  </w:t>
            </w:r>
            <w:r>
              <w:rPr>
                <w:b w:val="0"/>
              </w:rPr>
              <w:t>Addressing systemic barriers and promoting community engagement can amplify the positive impacts on student learning experiences and outcomes Recommendations.</w:t>
            </w:r>
          </w:p>
          <w:p>
            <w:pPr>
              <w:spacing w:after="60"/>
              <w:ind w:left="360" w:hanging="259"/>
              <w:jc w:val="both"/>
            </w:pPr>
            <w:r>
              <w:rPr>
                <w:b w:val="0"/>
              </w:rPr>
              <w:t xml:space="preserve">•  </w:t>
            </w:r>
            <w:r>
              <w:rPr>
                <w:b w:val="0"/>
              </w:rPr>
              <w:t>Institutionalize ongoing teacher training focused on innovative TLM integration.</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Ballari's study on teaching-learning materials (TLM) and teacher support systems documents a strong link between TLM use and learning in government schools (Grades 1–10). Government schools from multiple districts were surveyed and observed, using stratified sampling across districts, school types and socio-economic and geographic contexts. Quantitative data came from attendance, academic scores and TLM usage records; qualitative data from interviews with teachers and administrators, student focus groups and classroom observation.</w:t>
            </w:r>
          </w:p>
          <w:p>
            <w:pPr>
              <w:spacing w:after="60"/>
              <w:jc w:val="both"/>
            </w:pPr>
            <w:r>
              <w:rPr>
                <w:b w:val="0"/>
              </w:rPr>
              <w:t>The study found that effective TLM use was associated with heightened student interest and improved academic results, and that there was a significant positive association between TLM availability and student attendance and performance. It also identified the enabling conditions: teacher training, mentorship and peer support strengthened TLM integration and teacher confidence, and community participation and school leadership were critical enablers.</w:t>
            </w:r>
          </w:p>
          <w:p>
            <w:pPr>
              <w:spacing w:after="60"/>
              <w:jc w:val="both"/>
            </w:pPr>
            <w:r>
              <w:rPr>
                <w:b w:val="0"/>
              </w:rPr>
              <w:t>The practice of systematic TLM use supported by training, mentorship and peer support is sustainable because materials can be reused and teacher skills persist. It is replicable in any school. It is scalable through DIET training and peer networks of teachers. It is monitorable through TLM usage records, attendance and scores, the data sources used in the study, and through classroom observation. The study recommends policy-level reinforcement of TLM programmes through systemic resource planning, equitable distribution, community engagement and institutionalised teacher training on innovative TLM integration, together with attention to supply chains and storage so that materials reach and remain usable in every classroom.</w:t>
            </w:r>
          </w:p>
        </w:tc>
      </w:tr>
    </w:tbl>
    <w:p>
      <w:pPr>
        <w:spacing w:after="120" w:before="160"/>
      </w:pPr>
      <w:r>
        <w:rPr>
          <w:b/>
          <w:i w:val="0"/>
          <w:sz w:val="24"/>
          <w:u w:val="none"/>
        </w:rPr>
        <w:t>References</w:t>
      </w:r>
    </w:p>
    <w:p>
      <w:pPr>
        <w:spacing w:after="60" w:before="0"/>
        <w:ind w:left="576" w:hanging="576"/>
        <w:jc w:val="both"/>
      </w:pPr>
      <w:r>
        <w:rPr>
          <w:b w:val="0"/>
          <w:i w:val="0"/>
          <w:u w:val="none"/>
        </w:rPr>
        <w:t>DIET Ballari (2024-25). Evaluating the Effectiveness of Teaching Learning Materials (TLM) and Teacher Support Systems in Karnataka Government Schools.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8</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Rural</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Effect of Sethubandha/FLN programmes on closing FLN and learning-outcome gaps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Rural's study “A Comparative Study of the Achievement in Foundational Literacy and Numeracy among Grade 4 Students of Government Primary Schools in Bangalore Rural District” (2025-26). Gaps in foundational skill development persist among Grade 4 students; systemic challenges in teacher capacity, learning resources and institutional support.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Strengthen FLN initiatives through effective teaching and remedial support; collaborative effort by teachers, parents, administrators and authorities.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Bengaluru Rural's comparative study of FLN achievement among Grade 4 students documents the use of the national PARAKH framework for district-level diagnosis of foundational learning. In line with NEP 2020 and the NIPUN Bharat Mission, the study examined government primary schools of the district, with a focus on Devanahalli taluk in 2025-26. Using a descriptive survey, it assessed students' ability to read and understand simple texts, solve basic arithmetic problems, reason mathematically and apply foundational skills, and compared achievement across taluks, by gender and between urban and rural schools, while also examining teacher capacity, learning resources and institutional support.</w:t>
            </w:r>
          </w:p>
          <w:p>
            <w:pPr>
              <w:spacing w:after="60"/>
              <w:jc w:val="both"/>
            </w:pPr>
            <w:r>
              <w:rPr>
                <w:b w:val="0"/>
              </w:rPr>
              <w:t>The value of the practice lies in its framework: by aligning district assessment with PARAKH, the DIET produced results that are comparable with national assessments and that identify where foundational gaps lie and what factors contribute to them. The study concluded that achieving FLN goals requires collaborative effort from teachers, parents, administrators and educational authorities.</w:t>
            </w:r>
          </w:p>
          <w:p>
            <w:pPr>
              <w:spacing w:after="60"/>
              <w:jc w:val="both"/>
            </w:pPr>
            <w:r>
              <w:rPr>
                <w:b w:val="0"/>
              </w:rPr>
              <w:t>The practice is sustainable because it uses an established national framework that can be applied every year. It is replicable by every DIET for any grade. It is scalable through a common assessment schedule across taluks. It is monitorable because comparisons by taluk, gender and location can be repeated to track whether gaps are closing. The study recommends strengthening FLN initiatives through effective teaching and remedial support, and positions its findings to inform evidence-based interventions and policy implementation in the district, an approach that links assessment directly to classroom action.</w:t>
            </w:r>
          </w:p>
        </w:tc>
      </w:tr>
    </w:tbl>
    <w:p>
      <w:pPr>
        <w:spacing w:after="120" w:before="160"/>
      </w:pPr>
      <w:r>
        <w:rPr>
          <w:b/>
          <w:i w:val="0"/>
          <w:sz w:val="24"/>
          <w:u w:val="none"/>
        </w:rPr>
        <w:t>References</w:t>
      </w:r>
    </w:p>
    <w:p>
      <w:pPr>
        <w:spacing w:after="60" w:before="0"/>
        <w:ind w:left="576" w:hanging="576"/>
        <w:jc w:val="both"/>
      </w:pPr>
      <w:r>
        <w:rPr>
          <w:b w:val="0"/>
          <w:i w:val="0"/>
          <w:u w:val="none"/>
        </w:rPr>
        <w:t>DIET Bengaluru Rural (2025-26). A Comparative Study of the Achievement in Foundational Literacy and Numeracy among Grade 4 Students of Government Primary Schools in Bangalore Rural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9</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Rural</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Students' English speaking and communication skills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Rural's study “A Study on the Role of Self-Confidence and Attitude in English Learning among 6th Standard Students of Bengaluru Rural District” (2025-26). Lack of confidence results in hesitation in speaking English and reduced participation; most students show only moderate self-confidence.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Supportive classrooms where students use English without fear of mistakes; interactive methods, group discussion, language games, positive reinforcement; parental motivation; language enrichment programmes and teacher training.</w:t>
            </w:r>
          </w:p>
          <w:p>
            <w:pPr>
              <w:spacing w:after="60"/>
              <w:ind w:left="360" w:hanging="259"/>
              <w:jc w:val="both"/>
            </w:pPr>
            <w:r>
              <w:rPr>
                <w:b w:val="0"/>
              </w:rPr>
              <w:t xml:space="preserve">•  </w:t>
            </w:r>
            <w:r>
              <w:rPr>
                <w:b w:val="0"/>
              </w:rPr>
              <w:t>Parents should also motivate children to practice English regularly at home.</w:t>
            </w:r>
          </w:p>
          <w:p>
            <w:pPr>
              <w:spacing w:after="60"/>
              <w:ind w:left="360" w:hanging="259"/>
              <w:jc w:val="both"/>
            </w:pPr>
            <w:r>
              <w:rPr>
                <w:b w:val="0"/>
              </w:rPr>
              <w:t xml:space="preserve">•  </w:t>
            </w:r>
            <w:r>
              <w:rPr>
                <w:b w:val="0"/>
              </w:rPr>
              <w:t>Educational policymakers may organize language enrichment programs and teacher training sessions to foster positive attitudes and self-confidence among learners.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Bengaluru Rural's study on self-confidence and attitude in English learning among Class 6 students identifies the psychological conditions that support English achievement, knowledge directly relevant to the State's bilingual and Spoken English initiatives. The study used a descriptive survey with a Self-Confidence Scale for English learning, an Attitude towards English Learning Questionnaire and English achievement scores from school records, analysed by percentages, means and correlation.</w:t>
            </w:r>
          </w:p>
          <w:p>
            <w:pPr>
              <w:spacing w:after="60"/>
              <w:jc w:val="both"/>
            </w:pPr>
            <w:r>
              <w:rPr>
                <w:b w:val="0"/>
              </w:rPr>
              <w:t>The findings are clear. A majority of students displayed a positive attitude towards learning English, and a positive attitude enhanced participation in classroom discussions and language activities. There was a significant positive relationship between self-confidence and English achievement: students with higher self-confidence scored better in English examinations, and students with both positive attitudes and high confidence performed better than others.</w:t>
            </w:r>
          </w:p>
          <w:p>
            <w:pPr>
              <w:spacing w:after="60"/>
              <w:jc w:val="both"/>
            </w:pPr>
            <w:r>
              <w:rPr>
                <w:b w:val="0"/>
              </w:rPr>
              <w:t>The practice the study points to, building students' confidence and positive attitudes as part of English teaching, is sustainable because it depends on classroom climate and teaching methods rather than additional resources. It is replicable in every school teaching English, including bilingual sections. It is scalable through teacher training in interactive language methods. It is monitorable using the same simple tools, a confidence scale and attitude questionnaire, alongside achievement scores. The study recommends that teachers create a supportive classroom where students use English without fear of making mistakes, use interactive methods, group discussions, language games and positive reinforcement, that parents motivate regular practice at home, and that policymakers organise language enrichment programmes and teacher training to foster confidence and positive attitudes.</w:t>
            </w:r>
          </w:p>
        </w:tc>
      </w:tr>
    </w:tbl>
    <w:p>
      <w:pPr>
        <w:spacing w:after="120" w:before="160"/>
      </w:pPr>
      <w:r>
        <w:rPr>
          <w:b/>
          <w:i w:val="0"/>
          <w:sz w:val="24"/>
          <w:u w:val="none"/>
        </w:rPr>
        <w:t>References</w:t>
      </w:r>
    </w:p>
    <w:p>
      <w:pPr>
        <w:spacing w:after="60" w:before="0"/>
        <w:ind w:left="576" w:hanging="576"/>
        <w:jc w:val="both"/>
      </w:pPr>
      <w:r>
        <w:rPr>
          <w:b w:val="0"/>
          <w:i w:val="0"/>
          <w:u w:val="none"/>
        </w:rPr>
        <w:t>DIET Bengaluru Rural (2025-26). A Study on the Role of Self-Confidence and Attitude in English Learning among 6th Standard Students of Bengaluru Rural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10</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Rural</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Readiness and effect of pre-primary (LKG/UKG, ECCE) education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Rural's study “Study on Quality and Effectiveness of Pre-primary Education Programs” (2024-25). Many rural pre-primary centres need infrastructure improvements; teachers need specialised early childhood training.</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Specialised training for all pre-primary teachers; improved infrastructure and materials; age-appropriate play-based curriculum guidelines; stronger parent engagement.</w:t>
            </w:r>
          </w:p>
          <w:p>
            <w:pPr>
              <w:spacing w:after="60"/>
              <w:ind w:left="360" w:hanging="259"/>
              <w:jc w:val="both"/>
            </w:pPr>
            <w:r>
              <w:rPr>
                <w:b w:val="0"/>
              </w:rPr>
              <w:t xml:space="preserve">•  </w:t>
            </w:r>
            <w:r>
              <w:rPr>
                <w:b w:val="0"/>
              </w:rPr>
              <w:t>Investing in quality pre-primary education yields significant long-term benefits for childrens educational trajectories and overall development Recommendations.</w:t>
            </w:r>
          </w:p>
          <w:p>
            <w:pPr>
              <w:spacing w:after="60"/>
              <w:ind w:left="360" w:hanging="259"/>
              <w:jc w:val="both"/>
            </w:pPr>
            <w:r>
              <w:rPr>
                <w:b w:val="0"/>
              </w:rPr>
              <w:t xml:space="preserve">•  </w:t>
            </w:r>
            <w:r>
              <w:rPr>
                <w:b w:val="0"/>
              </w:rPr>
              <w:t>Provide specialized early childhood education training for all pre-primary teachers.</w:t>
            </w:r>
          </w:p>
          <w:p>
            <w:pPr>
              <w:spacing w:after="60"/>
              <w:ind w:left="360" w:hanging="259"/>
              <w:jc w:val="both"/>
            </w:pPr>
            <w:r>
              <w:rPr>
                <w:b w:val="0"/>
              </w:rPr>
              <w:t xml:space="preserve">•  </w:t>
            </w:r>
            <w:r>
              <w:rPr>
                <w:b w:val="0"/>
              </w:rPr>
              <w:t>Improve infrastructure and learning materials in pre-primary centers.</w:t>
            </w:r>
          </w:p>
          <w:p>
            <w:pPr>
              <w:spacing w:after="60"/>
              <w:ind w:left="360" w:hanging="259"/>
              <w:jc w:val="both"/>
            </w:pPr>
            <w:r>
              <w:rPr>
                <w:b w:val="0"/>
              </w:rPr>
              <w:t xml:space="preserve">•  </w:t>
            </w:r>
            <w:r>
              <w:rPr>
                <w:b w:val="0"/>
              </w:rPr>
              <w:t>Strengthen parent engagement programs in early childhood education.</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Bengaluru Rural's study on the quality and effectiveness of pre-primary education documents what makes pre-primary programmes in government schools effective. The study examined pre-primary centres and children in the district through classroom observation of environment quality, teaching practices and child–teacher interaction; teacher interviews and questionnaires on qualifications, training and approaches; developmental assessments of children's cognitive, language, social-emotional and motor skills; and parent surveys on access and perceived benefits. It also examined curriculum implementation, materials and play-based activities.</w:t>
            </w:r>
          </w:p>
          <w:p>
            <w:pPr>
              <w:spacing w:after="60"/>
              <w:jc w:val="both"/>
            </w:pPr>
            <w:r>
              <w:rPr>
                <w:b w:val="0"/>
              </w:rPr>
              <w:t>The findings identify clear success factors. Quality pre-primary education positively affects child development and school readiness. Teacher training and qualifications influence programme effectiveness. Play-based approaches yield better developmental outcomes than formal instruction. Parent involvement correlates positively with child development outcomes.</w:t>
            </w:r>
          </w:p>
          <w:p>
            <w:pPr>
              <w:spacing w:after="60"/>
              <w:jc w:val="both"/>
            </w:pPr>
            <w:r>
              <w:rPr>
                <w:b w:val="0"/>
              </w:rPr>
              <w:t>The practice of play-based pre-primary education delivered by trained teachers with active parent involvement is sustainable because it uses low-cost, play-based materials and builds lasting teacher skills. It is replicable in all government pre-primary sections, including those in Karnataka Public Schools. It is scalable through DIET-led specialised early childhood training. It is monitorable through classroom observation of environment and practices and developmental assessment of children, as this study demonstrates. The study recommends specialised training for all pre-primary teachers, improved infrastructure and learning materials, age-appropriate play-based curriculum guidelines and stronger parent engagement programmes, priorities that are especially important for rural centres where infrastructure needs were greatest.</w:t>
            </w:r>
          </w:p>
        </w:tc>
      </w:tr>
    </w:tbl>
    <w:p>
      <w:pPr>
        <w:spacing w:after="120" w:before="160"/>
      </w:pPr>
      <w:r>
        <w:rPr>
          <w:b/>
          <w:i w:val="0"/>
          <w:sz w:val="24"/>
          <w:u w:val="none"/>
        </w:rPr>
        <w:t>References</w:t>
      </w:r>
    </w:p>
    <w:p>
      <w:pPr>
        <w:spacing w:after="60" w:before="0"/>
        <w:ind w:left="576" w:hanging="576"/>
        <w:jc w:val="both"/>
      </w:pPr>
      <w:r>
        <w:rPr>
          <w:b w:val="0"/>
          <w:i w:val="0"/>
          <w:u w:val="none"/>
        </w:rPr>
        <w:t>DIET Bengaluru Rural (2024-25). Study on Quality and Effectiveness of Pre-primary Education Programs.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11</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Rural</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Value education and life skills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Rural's study “A Study on the Integration of Life Skills and Values in Curriculum Design at the Secondary Level in Bengaluru Rural District” (2025-26). Government schools face limited resources and inadequate training for effective life-skills and values implementation.</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Regular teacher training on life skills and values; more activity-based learning; community service, peer learning and collaborative projects; continuous assessment of life skills and values.</w:t>
            </w:r>
          </w:p>
          <w:p>
            <w:pPr>
              <w:spacing w:after="60"/>
              <w:ind w:left="360" w:hanging="259"/>
              <w:jc w:val="both"/>
            </w:pPr>
            <w:r>
              <w:rPr>
                <w:b w:val="0"/>
              </w:rPr>
              <w:t xml:space="preserve">•  </w:t>
            </w:r>
            <w:r>
              <w:rPr>
                <w:b w:val="0"/>
              </w:rPr>
              <w:t>Educational authorities should provide regular teacher training programs focusing on life skills education and value integration.</w:t>
            </w:r>
          </w:p>
          <w:p>
            <w:pPr>
              <w:spacing w:after="60"/>
              <w:ind w:left="360" w:hanging="259"/>
              <w:jc w:val="both"/>
            </w:pPr>
            <w:r>
              <w:rPr>
                <w:b w:val="0"/>
              </w:rPr>
              <w:t xml:space="preserve">•  </w:t>
            </w:r>
            <w:r>
              <w:rPr>
                <w:b w:val="0"/>
              </w:rPr>
              <w:t>Curriculum developers should include more activity-based learning experiences that encourage critical thinking, decision- making, and ethical behavior.</w:t>
            </w:r>
          </w:p>
          <w:p>
            <w:pPr>
              <w:spacing w:after="60"/>
              <w:ind w:left="360" w:hanging="259"/>
              <w:jc w:val="both"/>
            </w:pPr>
            <w:r>
              <w:rPr>
                <w:b w:val="0"/>
              </w:rPr>
              <w:t xml:space="preserve">•  </w:t>
            </w:r>
            <w:r>
              <w:rPr>
                <w:b w:val="0"/>
              </w:rPr>
              <w:t>Schools should create opportunities for community service, peer learning, and collaborative projects to strengthen value- based learning.</w:t>
            </w:r>
          </w:p>
          <w:p>
            <w:pPr>
              <w:spacing w:after="60"/>
              <w:ind w:left="360" w:hanging="259"/>
              <w:jc w:val="both"/>
            </w:pPr>
            <w:r>
              <w:rPr>
                <w:b w:val="0"/>
              </w:rPr>
              <w:t xml:space="preserve">•  </w:t>
            </w:r>
            <w:r>
              <w:rPr>
                <w:b w:val="0"/>
              </w:rPr>
              <w:t>Continuous assessment of life skills and values should also be incorporated into the educational process.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Bengaluru Rural's study on integrating life skills and values into curriculum design at the secondary level documents how schools are already embedding these into everyday teaching. The study used a descriptive survey with a student questionnaire on life skills and values, a teacher opinionnaire, a headmaster interview schedule and a classroom observation checklist.</w:t>
            </w:r>
          </w:p>
          <w:p>
            <w:pPr>
              <w:spacing w:after="60"/>
              <w:jc w:val="both"/>
            </w:pPr>
            <w:r>
              <w:rPr>
                <w:b w:val="0"/>
              </w:rPr>
              <w:t>The findings show widespread good practice. Most schools have incorporated life skills and values into various subjects and co-curricular activities. Teachers recognised the importance of communication, problem-solving, teamwork and leadership. Value education was commonly integrated through classroom discussions, moral stories, group activities and school assemblies. Students who took part in life-skill activities showed better confidence, communication and interpersonal relationships, and teachers reported positive behavioural changes. Integration of values contributed to discipline, cooperation, respect for diversity and social responsibility, and students expressed interest in practical, activity-based approaches.</w:t>
            </w:r>
          </w:p>
          <w:p>
            <w:pPr>
              <w:spacing w:after="60"/>
              <w:jc w:val="both"/>
            </w:pPr>
            <w:r>
              <w:rPr>
                <w:b w:val="0"/>
              </w:rPr>
              <w:t>The practice of integrating life skills and values across subjects and co-curricular activities is sustainable because it uses existing lessons, assemblies and activities rather than additional periods. It is replicable in every secondary school and aligns with the State's value education initiatives. It is scalable through teacher training. It is monitorable through observation checklists, student questionnaires and records of activities, the tools used in this study. The study concludes that integration significantly contributes to students' personal, social and academic development, and recommends regular teacher training, more activity-based learning that encourages critical thinking and ethical behaviour, community service and collaborative projects, and continuous assessment of life skills and values.</w:t>
            </w:r>
          </w:p>
        </w:tc>
      </w:tr>
    </w:tbl>
    <w:p>
      <w:pPr>
        <w:spacing w:after="120" w:before="160"/>
      </w:pPr>
      <w:r>
        <w:rPr>
          <w:b/>
          <w:i w:val="0"/>
          <w:sz w:val="24"/>
          <w:u w:val="none"/>
        </w:rPr>
        <w:t>References</w:t>
      </w:r>
    </w:p>
    <w:p>
      <w:pPr>
        <w:spacing w:after="60" w:before="0"/>
        <w:ind w:left="576" w:hanging="576"/>
        <w:jc w:val="both"/>
      </w:pPr>
      <w:r>
        <w:rPr>
          <w:b w:val="0"/>
          <w:i w:val="0"/>
          <w:u w:val="none"/>
        </w:rPr>
        <w:t>DIET Bengaluru Rural (2025-26). A Study on the Integration of Life Skills and Values in Curriculum Design at the Secondary Level in Bengaluru Rural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12</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Rural</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School libraries and reading habits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Rural's study “Impact Study of Room to Read Literacy Program in Government Primary Schools of Bengaluru Rural District” (2024-25) and DIET Bengaluru Rural's study “Impact Study of Room to Read Program on Students in Government Schools of Bangalore Rural District” (2024-25) and DIET Bengaluru Rural's study “Study on the Impact of Room to Read Library Program on Reading and Literacy Skills of Government School Students in Bengaluru Grameena District” (2024-25). Reading culture in government primary schools needs strengthening, especially where reading outcomes are weak.</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Expand the Room to Read model to more schools prioritising weak reading outcomes; sustained resources, continuous teacher training and curricular integration.</w:t>
            </w:r>
          </w:p>
          <w:p>
            <w:pPr>
              <w:spacing w:after="60"/>
              <w:ind w:left="360" w:hanging="259"/>
              <w:jc w:val="both"/>
            </w:pPr>
            <w:r>
              <w:rPr>
                <w:b w:val="0"/>
              </w:rPr>
              <w:t xml:space="preserve">•  </w:t>
            </w:r>
            <w:r>
              <w:rPr>
                <w:b w:val="0"/>
              </w:rPr>
              <w:t>Quality reading materials significantly impact literacy development.</w:t>
            </w:r>
          </w:p>
          <w:p>
            <w:pPr>
              <w:spacing w:after="60"/>
              <w:ind w:left="360" w:hanging="259"/>
              <w:jc w:val="both"/>
            </w:pPr>
            <w:r>
              <w:rPr>
                <w:b w:val="0"/>
              </w:rPr>
              <w:t xml:space="preserve">•  </w:t>
            </w:r>
            <w:r>
              <w:rPr>
                <w:b w:val="0"/>
              </w:rPr>
              <w:t>Public-private partnerships can effectively strengthen government education.</w:t>
            </w:r>
          </w:p>
          <w:p>
            <w:pPr>
              <w:spacing w:after="60"/>
              <w:ind w:left="360" w:hanging="259"/>
              <w:jc w:val="both"/>
            </w:pPr>
            <w:r>
              <w:rPr>
                <w:b w:val="0"/>
              </w:rPr>
              <w:t xml:space="preserve">•  </w:t>
            </w:r>
            <w:r>
              <w:rPr>
                <w:b w:val="0"/>
              </w:rPr>
              <w:t>Expand program coverage to more schools in rural Karnataka.</w:t>
            </w:r>
          </w:p>
          <w:p>
            <w:pPr>
              <w:spacing w:after="60"/>
              <w:ind w:left="360" w:hanging="259"/>
              <w:jc w:val="both"/>
            </w:pPr>
            <w:r>
              <w:rPr>
                <w:b w:val="0"/>
              </w:rPr>
              <w:t xml:space="preserve">•  </w:t>
            </w:r>
            <w:r>
              <w:rPr>
                <w:b w:val="0"/>
              </w:rPr>
              <w:t>Ensure sustained support and resource availability for participating schools.</w:t>
            </w:r>
          </w:p>
          <w:p>
            <w:pPr>
              <w:spacing w:after="60"/>
              <w:ind w:left="360" w:hanging="259"/>
              <w:jc w:val="both"/>
            </w:pPr>
            <w:r>
              <w:rPr>
                <w:b w:val="0"/>
              </w:rPr>
              <w:t xml:space="preserve">•  </w:t>
            </w:r>
            <w:r>
              <w:rPr>
                <w:b w:val="0"/>
              </w:rPr>
              <w:t>Provide continuous teacher training on utilizing program materials effectively.</w:t>
            </w:r>
          </w:p>
          <w:p>
            <w:pPr>
              <w:spacing w:after="60"/>
              <w:ind w:left="360" w:hanging="259"/>
              <w:jc w:val="both"/>
            </w:pPr>
            <w:r>
              <w:rPr>
                <w:b w:val="0"/>
              </w:rPr>
              <w:t xml:space="preserve">•  </w:t>
            </w:r>
            <w:r>
              <w:rPr>
                <w:b w:val="0"/>
              </w:rPr>
              <w:t>Integrate Room to Read methodologies into regular curriculum and teaching practices.</w:t>
            </w:r>
          </w:p>
          <w:p>
            <w:pPr>
              <w:spacing w:after="60"/>
              <w:ind w:left="360" w:hanging="259"/>
              <w:jc w:val="both"/>
            </w:pPr>
            <w:r>
              <w:rPr>
                <w:b w:val="0"/>
              </w:rPr>
              <w:t xml:space="preserve">•  </w:t>
            </w:r>
            <w:r>
              <w:rPr>
                <w:b w:val="0"/>
              </w:rPr>
              <w:t>Room to Read program demonstrates that structured library interventions with quality books and teacher training can significantly improve literacy outcomes in government schools.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Three DIET Bengaluru Rural studies document the Room to Read programme, culturally relevant books, libraries and teacher training, as a well-evidenced practice for building reading habits. One used a quasi-experimental design with control schools and pre- and post-tests across the year; another covered Devanahalli and Hosakote taluks with questionnaires and interviews; the third used purposive sampling of 37 schools across two taluks with operational libraries, including 50 students, 22 teachers and 50 headteachers, with 2,665 reading activities conducted during the study period.</w:t>
            </w:r>
          </w:p>
          <w:p>
            <w:pPr>
              <w:spacing w:after="60"/>
              <w:jc w:val="both"/>
            </w:pPr>
            <w:r>
              <w:rPr>
                <w:b w:val="0"/>
              </w:rPr>
              <w:t>The results are consistently strong. Reading comprehension scores improved by twenty-five per cent over baseline; eighty per cent of students showed increased interest in reading and ninety-four per cent said illustrations helped them focus. In the second study, ninety-eight per cent of students enjoyed the books, ninety-eight per cent showed increased interest in reading and ninety-eight per cent learned new vocabulary. Teachers reported better reading fluency and comprehension and observed students voluntarily picking up books in free periods; administrators noted a positive change in school literacy culture. The library study found an overwhelmingly positive impact on reading habits and literacy skills.</w:t>
            </w:r>
          </w:p>
          <w:p>
            <w:pPr>
              <w:spacing w:after="60"/>
              <w:jc w:val="both"/>
            </w:pPr>
            <w:r>
              <w:rPr>
                <w:b w:val="0"/>
              </w:rPr>
              <w:t>The practice is sustainable because books and libraries remain in schools and trained teachers continue reading activities. It is replicable and scalable, the studies describe the model as replicable and scalable and recommend expansion to more rural schools, prioritising those with weak reading outcomes. It is monitorable through reading assessments, library use and reading activity records. The studies recommend sustained resources, continuous teacher training and curricular integration to keep the gains.</w:t>
            </w:r>
          </w:p>
        </w:tc>
      </w:tr>
    </w:tbl>
    <w:p>
      <w:pPr>
        <w:spacing w:after="120" w:before="160"/>
      </w:pPr>
      <w:r>
        <w:rPr>
          <w:b/>
          <w:i w:val="0"/>
          <w:sz w:val="24"/>
          <w:u w:val="none"/>
        </w:rPr>
        <w:t>References</w:t>
      </w:r>
    </w:p>
    <w:p>
      <w:pPr>
        <w:spacing w:after="60" w:before="0"/>
        <w:ind w:left="576" w:hanging="576"/>
        <w:jc w:val="both"/>
      </w:pPr>
      <w:r>
        <w:rPr>
          <w:b w:val="0"/>
          <w:i w:val="0"/>
          <w:u w:val="none"/>
        </w:rPr>
        <w:t>DIET Bengaluru Rural (2024-25). Impact Study of Room to Read Literacy Program in Government Primary Schools of Bengaluru Rural District; DIET Bengaluru Rural (2024-25). Impact Study of Room to Read Program on Students in Government Schools of Bangalore Rural District; DIET Bengaluru Rural (2024-25). Study on the Impact of Room to Read Library Program on Reading and Literacy Skills of Government School Students in Bengaluru Grameena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13</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Rural</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Use of ICT labs, TALP and smart classes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Rural's study “Effectiveness of ICT Integration in Government Higher Primary Schools of Bengaluru Rural District” (2024-25) and DIET Bengaluru Rural's study “Effectiveness of Technology Integration in Teaching-Learning Process by Teachers in Government Higher Primary Schools in Karnataka State” (2024-25) and DIET Bengaluru Rural's study “A Study on the Effectiveness of ICT in the Teaching-Learning Process in Government High Schools (Classes 8 to 10) of Bengaluru Rural District” (2025-26). Only 65.63 per cent of teachers received adequate ICT training and 35.94 per cent knew educational software; connectivity and equipment issues in Nelamangala and Doddaballapura. Head teachers uncertain about the prescribed computer learning curriculum.</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Continuous ICT professional development; reliable rural connectivity; regular monitoring; equitable access; a dedicated ICT practice workbook and structured resources.</w:t>
            </w:r>
          </w:p>
          <w:p>
            <w:pPr>
              <w:spacing w:after="60"/>
              <w:ind w:left="360" w:hanging="259"/>
              <w:jc w:val="both"/>
            </w:pPr>
            <w:r>
              <w:rPr>
                <w:b w:val="0"/>
              </w:rPr>
              <w:t xml:space="preserve">•  </w:t>
            </w:r>
            <w:r>
              <w:rPr>
                <w:b w:val="0"/>
              </w:rPr>
              <w:t>Positive impact on student learning outcomes through ICT integration.</w:t>
            </w:r>
          </w:p>
          <w:p>
            <w:pPr>
              <w:spacing w:after="60"/>
              <w:ind w:left="360" w:hanging="259"/>
              <w:jc w:val="both"/>
            </w:pPr>
            <w:r>
              <w:rPr>
                <w:b w:val="0"/>
              </w:rPr>
              <w:t xml:space="preserve">•  </w:t>
            </w:r>
            <w:r>
              <w:rPr>
                <w:b w:val="0"/>
              </w:rPr>
              <w:t>Training gaps limit teachers' ability to utilize ICT effectively.</w:t>
            </w:r>
          </w:p>
          <w:p>
            <w:pPr>
              <w:spacing w:after="60"/>
              <w:ind w:left="360" w:hanging="259"/>
              <w:jc w:val="both"/>
            </w:pPr>
            <w:r>
              <w:rPr>
                <w:b w:val="0"/>
              </w:rPr>
              <w:t xml:space="preserve">•  </w:t>
            </w:r>
            <w:r>
              <w:rPr>
                <w:b w:val="0"/>
              </w:rPr>
              <w:t>Provide continuous professional development in ICT skills and pedagogical applications.</w:t>
            </w:r>
          </w:p>
          <w:p>
            <w:pPr>
              <w:spacing w:after="60"/>
              <w:ind w:left="360" w:hanging="259"/>
              <w:jc w:val="both"/>
            </w:pPr>
            <w:r>
              <w:rPr>
                <w:b w:val="0"/>
              </w:rPr>
              <w:t xml:space="preserve">•  </w:t>
            </w:r>
            <w:r>
              <w:rPr>
                <w:b w:val="0"/>
              </w:rPr>
              <w:t>It also highlights the need for continuous teacher training, improved ICT infrastructure, regular monitoring, and the development of structured ICT learning resources to maximize the educational benefits of technology in government schools.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Three DIET Bengaluru Rural studies document ICT integration in government higher primary and high schools as a practice that improves teaching and learning. Two studies covered eight higher primary schools in Hosakote, Devanahalli, Nelamangala and Doddaballapura, with 160 students of Grades 6–7, 64 teachers and eight head teachers, using surveys and classroom observation. The third covered all 64 government high schools in four taluks, with 64 head teachers, 128 teachers, 320 students and 128 classroom observations, testing seven hypotheses on ICT's influence.</w:t>
            </w:r>
          </w:p>
          <w:p>
            <w:pPr>
              <w:spacing w:after="60"/>
              <w:jc w:val="both"/>
            </w:pPr>
            <w:r>
              <w:rPr>
                <w:b w:val="0"/>
              </w:rPr>
              <w:t>The evidence is strong. In higher primary schools, 93.9 per cent of students rated ICT-enabled learning as excellent; 96.88 per cent of teachers agreed ICT tools help students understand complex topics, 95.31 per cent said students participate actively in ICT activities, and 84.38 per cent were confident using ICT for planning and teaching. Teachers said ICT makes abstract concepts concrete. In high schools, ICT integration had a substantial positive influence on teaching and learning, reduced the number of slow learners and created a confident, fear-free environment for self-directed learning.</w:t>
            </w:r>
          </w:p>
          <w:p>
            <w:pPr>
              <w:spacing w:after="60"/>
              <w:jc w:val="both"/>
            </w:pPr>
            <w:r>
              <w:rPr>
                <w:b w:val="0"/>
              </w:rPr>
              <w:t>The practice is sustainable where infrastructure is maintained, as in Hosakote and Devanahalli. It is replicable in all government schools with ICT facilities. It is scalable through continuous professional development, given that only 65.63 per cent of teachers reported adequate training. It is monitorable through classroom observation, ICT use and slow-learner counts. The studies recommend continuous training, reliable rural connectivity, regular monitoring, equitable access, and a dedicated ICT practice workbook and structured resources.</w:t>
            </w:r>
          </w:p>
        </w:tc>
      </w:tr>
    </w:tbl>
    <w:p>
      <w:pPr>
        <w:spacing w:after="120" w:before="160"/>
      </w:pPr>
      <w:r>
        <w:rPr>
          <w:b/>
          <w:i w:val="0"/>
          <w:sz w:val="24"/>
          <w:u w:val="none"/>
        </w:rPr>
        <w:t>References</w:t>
      </w:r>
    </w:p>
    <w:p>
      <w:pPr>
        <w:spacing w:after="60" w:before="0"/>
        <w:ind w:left="576" w:hanging="576"/>
        <w:jc w:val="both"/>
      </w:pPr>
      <w:r>
        <w:rPr>
          <w:b w:val="0"/>
          <w:i w:val="0"/>
          <w:u w:val="none"/>
        </w:rPr>
        <w:t>DIET Bengaluru Rural (2024-25). Effectiveness of ICT Integration in Government Higher Primary Schools of Bengaluru Rural District; DIET Bengaluru Rural (2024-25). Effectiveness of Technology Integration in Teaching-Learning Process by Teachers in Government Higher Primary Schools in Karnataka State; DIET Bengaluru Rural (2025-26). A Study on the Effectiveness of ICT in the Teaching-Learning Process in Government High Schools (Classes 8 to 10) of Bengaluru Rural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14</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Rural</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Effect of in-service training on classroom practice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Rural's study “A Study on the Effectiveness of Coordination among DIETs, BRCs, CRCs, and BRPs in the Planning and Monitoring of In-Service Teacher Training Programmes” (2025-26) and DIET Bengaluru Rural's study “A Study on the Effectiveness of the Induction Programme Given to Newly Appointed Government School Teachers of Bengaluru Rural District” (2025-26). Communication delays, workload pressures and resource constraints affect coordination among DIETs, BRCs, CRCs and BRPs.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Strengthen coordination, communication channels and capacity building; sustain induction for newly appointed teachers.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Two DIET Bengaluru Rural studies document practices that make teacher professional development effective: coordinated planning and monitoring of in-service training among DIETs, BRCs, CRCs and BRPs, and induction for newly appointed teachers. Both used descriptive survey methods.</w:t>
            </w:r>
          </w:p>
          <w:p>
            <w:pPr>
              <w:spacing w:after="60"/>
              <w:jc w:val="both"/>
            </w:pPr>
            <w:r>
              <w:rPr>
                <w:b w:val="0"/>
              </w:rPr>
              <w:t>The coordination study found that DIETs, BRCs, CRCs and BRPs play a significant role in planning and monitoring training, with a moderate to high level of coordination. Regular communication and meetings contributed to smooth conduct of training, and clear distribution of responsibilities helped effective execution and supervision. Effective coordination improved the quality, relevance and timely delivery of training; teachers reported greater satisfaction and professional growth when programmes were well coordinated and monitored; and monitoring and feedback through CRCs and BRPs helped identify gaps and improve outcomes. The induction study found that the programme prepares new teachers for professional readiness, improves their confidence, helps them teach lessons effectively, come to class well prepared with materials, command their subject, give time for student responses, assess students' prior knowledge and use appropriate TLMs at the right time.</w:t>
            </w:r>
          </w:p>
          <w:p>
            <w:pPr>
              <w:spacing w:after="60"/>
              <w:jc w:val="both"/>
            </w:pPr>
            <w:r>
              <w:rPr>
                <w:b w:val="0"/>
              </w:rPr>
              <w:t>These practices are sustainable because they use the existing teacher education structure of DIETs, BRCs and CRCs. They are replicable in every district. They are scalable through standard coordination protocols and induction modules. They are monitorable through training calendars, feedback mechanisms and teachers' satisfaction and classroom practice. The coordination study recommends strengthening coordination, communication channels and capacity-building initiatives to further enhance in-service training.</w:t>
            </w:r>
          </w:p>
        </w:tc>
      </w:tr>
    </w:tbl>
    <w:p>
      <w:pPr>
        <w:spacing w:after="120" w:before="160"/>
      </w:pPr>
      <w:r>
        <w:rPr>
          <w:b/>
          <w:i w:val="0"/>
          <w:sz w:val="24"/>
          <w:u w:val="none"/>
        </w:rPr>
        <w:t>References</w:t>
      </w:r>
    </w:p>
    <w:p>
      <w:pPr>
        <w:spacing w:after="60" w:before="0"/>
        <w:ind w:left="576" w:hanging="576"/>
        <w:jc w:val="both"/>
      </w:pPr>
      <w:r>
        <w:rPr>
          <w:b w:val="0"/>
          <w:i w:val="0"/>
          <w:u w:val="none"/>
        </w:rPr>
        <w:t>DIET Bengaluru Rural (2025-26). A Study on the Effectiveness of Coordination among DIETs, BRCs, CRCs, and BRPs in the Planning and Monitoring of In-Service Teacher Training Programmes; DIET Bengaluru Rural (2025-26). A Study on the Effectiveness of the Induction Programme Given to Newly Appointed Government School Teachers of Bengaluru Rural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15</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Rural</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Training needs analysis of teachers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Rural's study “A Study on Support and Training Needs of High School Teachers for Learning Outcomes-Based Classroom Transactions: Focus on Kalika Fala Implementation in Classes 6-10” (2024-25). Only 21.3 per cent of teachers had comprehensive understanding of the Kalika Fala framework with implementation skills; 8.5 per cent lacked awareness. Only thirty-four per cent always structured lessons around learning outcomes; ICT integration limited to twenty-five per cent and differentiated instruction thirty per cent.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Targeted training on learning outcomes-based teaching, especially for language teachers; support for differentiated instruction, ICT and formative assessment.</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Bengaluru Rural's study on the support and training needs of high school teachers for learning outcomes-based teaching (Kalika Fala) is a model training needs analysis. It used a mixed-methods descriptive survey with case studies. The sample, drawn from government high schools of Raichur district, comprised 40 schools selected across blocks, 320 teachers (eight per school across subjects), 40 headmasters, observations of 80 classes and analysis of 200 lesson plans.</w:t>
            </w:r>
          </w:p>
          <w:p>
            <w:pPr>
              <w:spacing w:after="60"/>
              <w:jc w:val="both"/>
            </w:pPr>
            <w:r>
              <w:rPr>
                <w:b w:val="0"/>
              </w:rPr>
              <w:t>The study provides a detailed profile of current practice that shows considerable strengths. Most teachers (70.2 per cent) had a basic understanding of the Kalika Fala framework, and Mathematics and Science teachers showed better understanding (seventy-five per cent) than language teachers (sixty-five per cent); newer teachers had better awareness due to recent training. Sixty-five per cent used outcome-focused activities. Teaching strategies included demonstration and hands-on activities (seventy-two per cent), activity-based learning (sixty-eight per cent), group work (fifty-five per cent) and project-based learning (forty per cent), and fifty-nine per cent conducted regular formative assessment.</w:t>
            </w:r>
          </w:p>
          <w:p>
            <w:pPr>
              <w:spacing w:after="60"/>
              <w:jc w:val="both"/>
            </w:pPr>
            <w:r>
              <w:rPr>
                <w:b w:val="0"/>
              </w:rPr>
              <w:t>The practice of a systematic training needs analysis is sustainable because it combines classroom observation and lesson-plan review that DIETs can repeat regularly. It is replicable in any district. It is scalable as a basis for designing all in-service programmes. It is monitorable through the same indicators, teachers' understanding of outcomes, use of outcome-based activities, strategies and formative assessment. The findings show precisely where training should focus: comprehensive implementation skills, language teachers, differentiated instruction and ICT integration, so that training budgets are directed to the greatest needs.</w:t>
            </w:r>
          </w:p>
        </w:tc>
      </w:tr>
    </w:tbl>
    <w:p>
      <w:pPr>
        <w:spacing w:after="120" w:before="160"/>
      </w:pPr>
      <w:r>
        <w:rPr>
          <w:b/>
          <w:i w:val="0"/>
          <w:sz w:val="24"/>
          <w:u w:val="none"/>
        </w:rPr>
        <w:t>References</w:t>
      </w:r>
    </w:p>
    <w:p>
      <w:pPr>
        <w:spacing w:after="60" w:before="0"/>
        <w:ind w:left="576" w:hanging="576"/>
        <w:jc w:val="both"/>
      </w:pPr>
      <w:r>
        <w:rPr>
          <w:b w:val="0"/>
          <w:i w:val="0"/>
          <w:u w:val="none"/>
        </w:rPr>
        <w:t>DIET Bengaluru Rural (2024-25). A Study on Support and Training Needs of High School Teachers for Learning Outcomes-Based Classroom Transactions: Focus on Kalika Fala Implementation in Classes 6-10.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16</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Rural</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Science laboratories, Atal Tinkering Labs and experiential science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Rural's study “A Study on the Use of Science Laboratories in Government Higher Primary Schools of Bengaluru Rural District” (2024-25). Only forty per cent of schools had fully functional science labs; practical sessions irregular (two to three a month); sixty per cent of teachers need training; lack of consumables, technical help, time.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Laboratory upgrades; sustainable procurement of equipment and consumables; maintenance systems; teacher training in laboratory pedagogy; better time allocation.</w:t>
            </w:r>
          </w:p>
          <w:p>
            <w:pPr>
              <w:spacing w:after="60"/>
              <w:ind w:left="360" w:hanging="259"/>
              <w:jc w:val="both"/>
            </w:pPr>
            <w:r>
              <w:rPr>
                <w:b w:val="0"/>
              </w:rPr>
              <w:t xml:space="preserve">•  </w:t>
            </w:r>
            <w:r>
              <w:rPr>
                <w:b w:val="0"/>
              </w:rPr>
              <w:t>Upgrade existing laboratories and establish new ones in schools lacking facilities.</w:t>
            </w:r>
          </w:p>
          <w:p>
            <w:pPr>
              <w:spacing w:after="60"/>
              <w:ind w:left="360" w:hanging="259"/>
              <w:jc w:val="both"/>
            </w:pPr>
            <w:r>
              <w:rPr>
                <w:b w:val="0"/>
              </w:rPr>
              <w:t xml:space="preserve">•  </w:t>
            </w:r>
            <w:r>
              <w:rPr>
                <w:b w:val="0"/>
              </w:rPr>
              <w:t>Ensure adequate space, lighting, water supply, and safety equipment.</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Bengaluru Rural's study on the use of science laboratories in government higher primary schools documents the status of laboratory-based science and the strong student demand for practical work. The study used a descriptive survey with structured questionnaires for students of Grades 6–8, science teachers and head teachers, a laboratory infrastructure checklist, an observation schedule for practical sessions and semi-structured interviews with science teachers.</w:t>
            </w:r>
          </w:p>
          <w:p>
            <w:pPr>
              <w:spacing w:after="60"/>
              <w:jc w:val="both"/>
            </w:pPr>
            <w:r>
              <w:rPr>
                <w:b w:val="0"/>
              </w:rPr>
              <w:t>The study's audit method is itself a practice worth replicating, since it combines infrastructure checklists, observation of practical sessions and stakeholder views. Its findings show both the base and the need: Forty per cent of schools had fully functional science laboratories, and practical sessions were held two to three times a month on average. Most importantly, students showed high interest when practical work was conducted, and eighty-five per cent wanted more practical work, reporting that laboratory sessions aided understanding and enjoyment.</w:t>
            </w:r>
          </w:p>
          <w:p>
            <w:pPr>
              <w:spacing w:after="60"/>
              <w:jc w:val="both"/>
            </w:pPr>
            <w:r>
              <w:rPr>
                <w:b w:val="0"/>
              </w:rPr>
              <w:t>Laboratory-based science is sustainable when equipment, consumables and maintenance are planned. It is replicable in every school with a laboratory and can be extended as more laboratories become functional. It is scalable through teacher training in laboratory pedagogy, as sixty per cent of teachers asked for additional training. It is monitorable through infrastructure checklists, records of practical sessions and student feedback, the tools used here. The study recommends laboratory upgrades, sustainable procurement of equipment and consumables, maintenance systems, teacher training in laboratory pedagogy and better time allocation for practical work, steps that would meet students' clear demand for hands-on science.</w:t>
            </w:r>
          </w:p>
        </w:tc>
      </w:tr>
    </w:tbl>
    <w:p>
      <w:pPr>
        <w:spacing w:after="120" w:before="160"/>
      </w:pPr>
      <w:r>
        <w:rPr>
          <w:b/>
          <w:i w:val="0"/>
          <w:sz w:val="24"/>
          <w:u w:val="none"/>
        </w:rPr>
        <w:t>References</w:t>
      </w:r>
    </w:p>
    <w:p>
      <w:pPr>
        <w:spacing w:after="60" w:before="0"/>
        <w:ind w:left="576" w:hanging="576"/>
        <w:jc w:val="both"/>
      </w:pPr>
      <w:r>
        <w:rPr>
          <w:b w:val="0"/>
          <w:i w:val="0"/>
          <w:u w:val="none"/>
        </w:rPr>
        <w:t>DIET Bengaluru Rural (2024-25). A Study on the Use of Science Laboratories in Government Higher Primary Schools of Bengaluru Rural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17</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Rural</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Adult and mass education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Rural's study “Study on Adult Education Programs and Their Impact on Literacy Development” (2024-25). Barriers to completion of adult education programmes; need for instructors trained in adult pedagogy.</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Instructor training in adult learning pedagogy; livelihood-oriented curricula; flexible scheduling; community-based learning centres.</w:t>
            </w:r>
          </w:p>
          <w:p>
            <w:pPr>
              <w:spacing w:after="60"/>
              <w:ind w:left="360" w:hanging="259"/>
              <w:jc w:val="both"/>
            </w:pPr>
            <w:r>
              <w:rPr>
                <w:b w:val="0"/>
              </w:rPr>
              <w:t xml:space="preserve">•  </w:t>
            </w:r>
            <w:r>
              <w:rPr>
                <w:b w:val="0"/>
              </w:rPr>
              <w:t>Adult education programs contribute significantly to individual empowerment and community development when properly designed and implemented Recommendations.</w:t>
            </w:r>
          </w:p>
          <w:p>
            <w:pPr>
              <w:spacing w:after="60"/>
              <w:ind w:left="360" w:hanging="259"/>
              <w:jc w:val="both"/>
            </w:pPr>
            <w:r>
              <w:rPr>
                <w:b w:val="0"/>
              </w:rPr>
              <w:t xml:space="preserve">•  </w:t>
            </w:r>
            <w:r>
              <w:rPr>
                <w:b w:val="0"/>
              </w:rPr>
              <w:t>Develop curriculum with practical, livelihood-oriented content.</w:t>
            </w:r>
          </w:p>
          <w:p>
            <w:pPr>
              <w:spacing w:after="60"/>
              <w:ind w:left="360" w:hanging="259"/>
              <w:jc w:val="both"/>
            </w:pPr>
            <w:r>
              <w:rPr>
                <w:b w:val="0"/>
              </w:rPr>
              <w:t xml:space="preserve">•  </w:t>
            </w:r>
            <w:r>
              <w:rPr>
                <w:b w:val="0"/>
              </w:rPr>
              <w:t>Ensure flexible scheduling to accommodate working adults.</w:t>
            </w:r>
          </w:p>
          <w:p>
            <w:pPr>
              <w:spacing w:after="60"/>
              <w:ind w:left="360" w:hanging="259"/>
              <w:jc w:val="both"/>
            </w:pPr>
            <w:r>
              <w:rPr>
                <w:b w:val="0"/>
              </w:rPr>
              <w:t xml:space="preserve">•  </w:t>
            </w:r>
            <w:r>
              <w:rPr>
                <w:b w:val="0"/>
              </w:rPr>
              <w:t>Establish community-based learning centers for better accessibility.</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Bengaluru Rural's study on adult education programmes documents their positive impact on literacy and identifies the conditions that make them work. The study covered 131 adult learners in the district, combining structured questionnaires on participation, learning experiences and perceived benefits with interviews of instructors on teaching challenges and effective approaches. It analysed accessibility, curriculum relevance, teaching quality, learner motivation and outcomes.</w:t>
            </w:r>
          </w:p>
          <w:p>
            <w:pPr>
              <w:spacing w:after="60"/>
              <w:jc w:val="both"/>
            </w:pPr>
            <w:r>
              <w:rPr>
                <w:b w:val="0"/>
              </w:rPr>
              <w:t>The results show a positive impact on literacy development, with a majority of participants showing measurable improvement in literacy skills. Instructor quality significantly influenced learning outcomes: 61.1 per cent of learners reported that instructors provided good training and support, and 38.2 per cent felt instructors were highly supportive. Adult learners valued practical, immediately applicable knowledge; flexible timing and convenient locations increased accessibility; and community support networks enhanced persistence.</w:t>
            </w:r>
          </w:p>
          <w:p>
            <w:pPr>
              <w:spacing w:after="60"/>
              <w:jc w:val="both"/>
            </w:pPr>
            <w:r>
              <w:rPr>
                <w:b w:val="0"/>
              </w:rPr>
              <w:t>The practice of community-based adult literacy with skilled, supportive instructors is sustainable because it draws on local venues and volunteers and responds to learners' own needs. It is replicable through national and State literacy programmes. It is scalable through instructor training and community learning centres. It is monitorable through literacy assessments, attendance and completion rates. The study recommends instructor training in adult learning pedagogy, livelihood-oriented curricula, flexible scheduling and community-based learning centres. These recommendations support the State's mass education goals and the Viksit Karnataka objective of human development, extending learning opportunities to adults who missed formal education.</w:t>
            </w:r>
          </w:p>
        </w:tc>
      </w:tr>
    </w:tbl>
    <w:p>
      <w:pPr>
        <w:spacing w:after="120" w:before="160"/>
      </w:pPr>
      <w:r>
        <w:rPr>
          <w:b/>
          <w:i w:val="0"/>
          <w:sz w:val="24"/>
          <w:u w:val="none"/>
        </w:rPr>
        <w:t>References</w:t>
      </w:r>
    </w:p>
    <w:p>
      <w:pPr>
        <w:spacing w:after="60" w:before="0"/>
        <w:ind w:left="576" w:hanging="576"/>
        <w:jc w:val="both"/>
      </w:pPr>
      <w:r>
        <w:rPr>
          <w:b w:val="0"/>
          <w:i w:val="0"/>
          <w:u w:val="none"/>
        </w:rPr>
        <w:t>DIET Bengaluru Rural (2024-25). Study on Adult Education Programs and Their Impact on Literacy Development.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18</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Urban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Effect of Sethubandha/FLN programmes on closing FLN and learning-outcome gaps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Urban's study “In the academic year 2024–25,a study on the status of implementation of the FLN - Reach programme in selected Government Primary and High Schools of the Bengaluru South Educational District” (2024-25). The ninety per cent FLN target was known to only fifty-four per cent of teachers and specific objectives to only ten per cent; fourteen per cent of teachers had not been trained.</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Raise awareness of specific FLN-Reach objectives; train all teachers; continue baseline-based remediation and parent/community involvement.</w:t>
            </w:r>
          </w:p>
          <w:p>
            <w:pPr>
              <w:spacing w:after="60"/>
              <w:ind w:left="360" w:hanging="259"/>
              <w:jc w:val="both"/>
            </w:pPr>
            <w:r>
              <w:rPr>
                <w:b w:val="0"/>
              </w:rPr>
              <w:t xml:space="preserve">•  </w:t>
            </w:r>
            <w:r>
              <w:rPr>
                <w:b w:val="0"/>
              </w:rPr>
              <w:t>It has been found that students’ learning progress has improved by providing learning outcome/competency-based questions and activities in a child-friendly manner through the “FLN-Reach” question papers and activities.</w:t>
            </w:r>
          </w:p>
          <w:p>
            <w:pPr>
              <w:spacing w:after="60"/>
              <w:ind w:left="360" w:hanging="259"/>
              <w:jc w:val="both"/>
            </w:pPr>
            <w:r>
              <w:rPr>
                <w:b w:val="0"/>
              </w:rPr>
              <w:t xml:space="preserve">•  </w:t>
            </w:r>
            <w:r>
              <w:rPr>
                <w:b w:val="0"/>
              </w:rPr>
              <w:t>It has been observed that the FLN-Reach program has contributed to an improvement in SSLC results.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Bengaluru Urban's study on the FLN-Reach programme in Bengaluru South Educational District documents a partnership-based, data-driven approach to foundational learning. FLN-Reach was implemented with the Mantra4Change organisation, aiming at ninety per cent progress by the end of 2024–25, in line with NIPUN Bharat targets. The study randomly selected 16 schools (five lower primary, six higher primary and five high schools) from the five blocks, with 42 teachers and 270 students, and gathered data through questionnaires, interviews and focus groups with head teachers, teachers, FLN nodal officers, CRPs and DIET officials, along with Baseline Assessment Survey data in Kannada, English and Mathematics for Grades 3, 5 and 8.</w:t>
            </w:r>
          </w:p>
          <w:p>
            <w:pPr>
              <w:spacing w:after="60"/>
              <w:jc w:val="both"/>
            </w:pPr>
            <w:r>
              <w:rPr>
                <w:b w:val="0"/>
              </w:rPr>
              <w:t>The study documented a complete assessment-to-remediation cycle. The Baseline Assessment Survey was implemented in 100 per cent of schools, with school-wise, subject-wise and student-wise analyses, remedial action plans, lists of children achieving FLN and special classes for slow learners. The general objective of the programme was known to 100 per cent of respondents, and eighty-six per cent of teachers had received training. The study concludes that FLN-Reach improves students' learning progress and confidence and helps integrate parents and the community into learning.</w:t>
            </w:r>
          </w:p>
          <w:p>
            <w:pPr>
              <w:spacing w:after="60"/>
              <w:jc w:val="both"/>
            </w:pPr>
            <w:r>
              <w:rPr>
                <w:b w:val="0"/>
              </w:rPr>
              <w:t>The practice is sustainable because the baseline–analysis–remediation cycle uses school staff and can be repeated each year. It is replicable through similar government–partner models in other districts. It is scalable by extending the baseline assessment and student-wise analysis to all schools. It is monitorable through lists of children achieving FLN, remedial plans and repeat assessments. Wider awareness of specific targets and training of all teachers would strengthen it further.</w:t>
            </w:r>
          </w:p>
        </w:tc>
      </w:tr>
    </w:tbl>
    <w:p>
      <w:pPr>
        <w:spacing w:after="120" w:before="160"/>
      </w:pPr>
      <w:r>
        <w:rPr>
          <w:b/>
          <w:i w:val="0"/>
          <w:sz w:val="24"/>
          <w:u w:val="none"/>
        </w:rPr>
        <w:t>References</w:t>
      </w:r>
    </w:p>
    <w:p>
      <w:pPr>
        <w:spacing w:after="60" w:before="0"/>
        <w:ind w:left="576" w:hanging="576"/>
        <w:jc w:val="both"/>
      </w:pPr>
      <w:r>
        <w:rPr>
          <w:b w:val="0"/>
          <w:i w:val="0"/>
          <w:u w:val="none"/>
        </w:rPr>
        <w:t>DIET Bengaluru Urban (2024-25). In the academic year 2024–25,a study on the status of implementation of the FLN - Reach programme in selected Government Primary and High Schools of the Bengaluru South Educational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19</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Urban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How teachers use assessment data for remedial teaching</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Urban's study “In the academic year 2024–25, under the Teacher Education Programme, District Institute of Education and Training, Bengaluru Urban (South) District – A study on the effectiveness of learning enhancement among selected Government Higher Primary School seventh-grade students of Bengaluru Urban (South) District” (2024-25). Grade 7 gaps: Forty-one per cent could not classify symmetrical shapes, thirty-eight per cent triangle types, 29.5 per cent addition tables, twenty-seven per cent angles; head teachers sought timely training and materials.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Use kits, activity books and low-cost materials for repeated practice; provide training and materials at the start of the academic year.</w:t>
            </w:r>
          </w:p>
          <w:p>
            <w:pPr>
              <w:spacing w:after="60"/>
              <w:ind w:left="360" w:hanging="259"/>
              <w:jc w:val="both"/>
            </w:pPr>
            <w:r>
              <w:rPr>
                <w:b w:val="0"/>
              </w:rPr>
              <w:t xml:space="preserve">•  </w:t>
            </w:r>
            <w:r>
              <w:rPr>
                <w:b w:val="0"/>
              </w:rPr>
              <w:t>Therefore, language teachers should provide practice by giving various stories and short paragraphs so that students can identify and use punctuation marks correctly.</w:t>
            </w:r>
          </w:p>
          <w:p>
            <w:pPr>
              <w:spacing w:after="60"/>
              <w:ind w:left="360" w:hanging="259"/>
              <w:jc w:val="both"/>
            </w:pPr>
            <w:r>
              <w:rPr>
                <w:b w:val="0"/>
              </w:rPr>
              <w:t xml:space="preserve">•  </w:t>
            </w:r>
            <w:r>
              <w:rPr>
                <w:b w:val="0"/>
              </w:rPr>
              <w:t>There is a need to provide more practice in solving riddles in the Kannada language.</w:t>
            </w:r>
          </w:p>
          <w:p>
            <w:pPr>
              <w:spacing w:after="60"/>
              <w:ind w:left="360" w:hanging="259"/>
              <w:jc w:val="both"/>
            </w:pPr>
            <w:r>
              <w:rPr>
                <w:b w:val="0"/>
              </w:rPr>
              <w:t xml:space="preserve">•  </w:t>
            </w:r>
            <w:r>
              <w:rPr>
                <w:b w:val="0"/>
              </w:rPr>
              <w:t>To develop students’ ability to identify various handicrafts, it is important to improve their prose reading skills.</w:t>
            </w:r>
          </w:p>
          <w:p>
            <w:pPr>
              <w:spacing w:after="60"/>
              <w:ind w:left="360" w:hanging="259"/>
              <w:jc w:val="both"/>
            </w:pPr>
            <w:r>
              <w:rPr>
                <w:b w:val="0"/>
              </w:rPr>
              <w:t xml:space="preserve">•  </w:t>
            </w:r>
            <w:r>
              <w:rPr>
                <w:b w:val="0"/>
              </w:rPr>
              <w:t>Students should be encouraged to read about different types of handicrafts to develop this competency.</w:t>
            </w:r>
          </w:p>
          <w:p>
            <w:pPr>
              <w:spacing w:after="60"/>
              <w:ind w:left="360" w:hanging="259"/>
              <w:jc w:val="both"/>
            </w:pPr>
            <w:r>
              <w:rPr>
                <w:b w:val="0"/>
              </w:rPr>
              <w:t xml:space="preserve">•  </w:t>
            </w:r>
            <w:r>
              <w:rPr>
                <w:b w:val="0"/>
              </w:rPr>
              <w:t>Students need practice in writing slogans and captions related to wall posters.</w:t>
            </w:r>
          </w:p>
          <w:p>
            <w:pPr>
              <w:spacing w:after="60"/>
              <w:ind w:left="360" w:hanging="259"/>
              <w:jc w:val="both"/>
            </w:pPr>
            <w:r>
              <w:rPr>
                <w:b w:val="0"/>
              </w:rPr>
              <w:t xml:space="preserve">•  </w:t>
            </w:r>
            <w:r>
              <w:rPr>
                <w:b w:val="0"/>
              </w:rPr>
              <w:t>Teachers should provide multiple examples to help develop this skill among students III.</w:t>
            </w:r>
          </w:p>
          <w:p>
            <w:pPr>
              <w:spacing w:after="60"/>
              <w:ind w:left="360" w:hanging="259"/>
              <w:jc w:val="both"/>
            </w:pPr>
            <w:r>
              <w:rPr>
                <w:b w:val="0"/>
              </w:rPr>
              <w:t xml:space="preserve">•  </w:t>
            </w:r>
            <w:r>
              <w:rPr>
                <w:b w:val="0"/>
              </w:rPr>
              <w:t>Opinions Received from Head Teachers Head teachers expressed that suitable training, distribution of resources, and proper guidance for technology-based teaching should be provided at the beginning.</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Bengaluru Urban's study on the Learning Enhancement Programme in government higher primary schools of Bengaluru Urban (South) documents the department's activity-based approach to learning recovery and a precise method of identifying remaining gaps. After COVID-related learning loss, the department declared successive years for learning recovery, quality education and, in 2024–25, learning enhancement, distributing activity-based student activity books and teacher resource manuals for use under Sethubandha. The study covered 250 Grade 7 students in 50 schools across South Zones 1–4 and Anekal taluk, using headmaster and teacher questionnaires and student tests in Kannada and Mathematics with 10 questions each on selected concepts.</w:t>
            </w:r>
          </w:p>
          <w:p>
            <w:pPr>
              <w:spacing w:after="60"/>
              <w:jc w:val="both"/>
            </w:pPr>
            <w:r>
              <w:rPr>
                <w:b w:val="0"/>
              </w:rPr>
              <w:t>Teachers found the activities beneficial, a key indicator of acceptance. The concept-wise testing yielded actionable data: in Mathematics, 6.5 per cent of students lagged in identifying large numbers, twelve per cent in identifying fractions, 22.5 per cent in forming numbers correctly, 24.5 per cent in perimeter, twenty-seven per cent in angles, 29.5 per cent in addition tables, thirty-eight per cent in triangle types and forty-one per cent in classifying symmetrical shapes; in Kannada, 11.5 per cent lagged in punctuation.</w:t>
            </w:r>
          </w:p>
          <w:p>
            <w:pPr>
              <w:spacing w:after="60"/>
              <w:jc w:val="both"/>
            </w:pPr>
            <w:r>
              <w:rPr>
                <w:b w:val="0"/>
              </w:rPr>
              <w:t>The practice of supplying activity books and teacher manuals, combined with concept-wise diagnosis, is sustainable because the materials can be reused and the tests are simple. It is replicable in every district using the same resources. It is scalable by issuing materials and training at the start of the year, as the study recommends. It is monitorable through short concept-wise tests that show exactly which competencies need repeated practice. The study recommends using available kits, activity books and low-cost materials for repeated practice, and timely training and materials.</w:t>
            </w:r>
          </w:p>
        </w:tc>
      </w:tr>
    </w:tbl>
    <w:p>
      <w:pPr>
        <w:spacing w:after="120" w:before="160"/>
      </w:pPr>
      <w:r>
        <w:rPr>
          <w:b/>
          <w:i w:val="0"/>
          <w:sz w:val="24"/>
          <w:u w:val="none"/>
        </w:rPr>
        <w:t>References</w:t>
      </w:r>
    </w:p>
    <w:p>
      <w:pPr>
        <w:spacing w:after="60" w:before="0"/>
        <w:ind w:left="576" w:hanging="576"/>
        <w:jc w:val="both"/>
      </w:pPr>
      <w:r>
        <w:rPr>
          <w:b w:val="0"/>
          <w:i w:val="0"/>
          <w:u w:val="none"/>
        </w:rPr>
        <w:t>DIET Bengaluru Urban (2024-25). In the academic year 2024–25, under the Teacher Education Programme, District Institute of Education and Training, Bengaluru Urban (South) District – A study on the effectiveness of learning enhancement among selected Government Higher Primary School seventh-grade students of Bengaluru Urban (South)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20</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Urban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Factors behind SSLC results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Urban's study “Case Study of Karnataka Public School, Honnaganahatti, which achieved the highest SSLC results among Government High Schools in Bengaluru South District for the academic year 2023–24” (2024-25). Government high schools have generally recorded lower SSLC results than aided and private schools.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Committed leadership, level-based remediation and community partnership to raise SSLC results.</w:t>
            </w:r>
          </w:p>
          <w:p>
            <w:pPr>
              <w:spacing w:after="60"/>
              <w:ind w:left="360" w:hanging="259"/>
              <w:jc w:val="both"/>
            </w:pPr>
            <w:r>
              <w:rPr>
                <w:b w:val="0"/>
              </w:rPr>
              <w:t xml:space="preserve">•  </w:t>
            </w:r>
            <w:r>
              <w:rPr>
                <w:b w:val="0"/>
              </w:rPr>
              <w:t>Adopted by Teachers The teaching strategies followed by teachers are not limited to the technical delivery of lessons alone.</w:t>
            </w:r>
          </w:p>
          <w:p>
            <w:pPr>
              <w:spacing w:after="60"/>
              <w:ind w:left="360" w:hanging="259"/>
              <w:jc w:val="both"/>
            </w:pPr>
            <w:r>
              <w:rPr>
                <w:b w:val="0"/>
              </w:rPr>
              <w:t xml:space="preserve">•  </w:t>
            </w:r>
            <w:r>
              <w:rPr>
                <w:b w:val="0"/>
              </w:rPr>
              <w:t>Instead, through attention to students’ minds, creating a conducive learning environment, human responsiveness, and the use of modern technology, these strategies provide a new dimension to learning.</w:t>
            </w:r>
          </w:p>
          <w:p>
            <w:pPr>
              <w:spacing w:after="60"/>
              <w:ind w:left="360" w:hanging="259"/>
              <w:jc w:val="both"/>
            </w:pPr>
            <w:r>
              <w:rPr>
                <w:b w:val="0"/>
              </w:rPr>
              <w:t xml:space="preserve">•  </w:t>
            </w:r>
            <w:r>
              <w:rPr>
                <w:b w:val="0"/>
              </w:rPr>
              <w:t>Several subject teachers identify students who are lagging in learning and follow the ‘adopted student’ system.</w:t>
            </w:r>
          </w:p>
          <w:p>
            <w:pPr>
              <w:spacing w:after="60"/>
              <w:ind w:left="360" w:hanging="259"/>
              <w:jc w:val="both"/>
            </w:pPr>
            <w:r>
              <w:rPr>
                <w:b w:val="0"/>
              </w:rPr>
              <w:t xml:space="preserve">•  </w:t>
            </w:r>
            <w:r>
              <w:rPr>
                <w:b w:val="0"/>
              </w:rPr>
              <w:t>Each teacher adopts approximately 16 students and conducts continuous follow-up on their learning every day from 3:30 to 4:00 PM.</w:t>
            </w:r>
          </w:p>
          <w:p>
            <w:pPr>
              <w:spacing w:after="60"/>
              <w:ind w:left="360" w:hanging="259"/>
              <w:jc w:val="both"/>
            </w:pPr>
            <w:r>
              <w:rPr>
                <w:b w:val="0"/>
              </w:rPr>
              <w:t xml:space="preserve">•  </w:t>
            </w:r>
            <w:r>
              <w:rPr>
                <w:b w:val="0"/>
              </w:rPr>
              <w:t>Teachers prepare question papers according to the students’ levels and provide separate packages for lesson review and performance assessment.</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Bengaluru Urban's case study of Karnataka Public School, Honnaganahatti, which secured the highest SSLC results among government high schools in Bengaluru South District in 2023–24, documents a complete, replicable school model for improving board examination results. The study used school visits, home visits with the SDMC, and interviews and focus groups with the headmaster and teachers.</w:t>
            </w:r>
          </w:p>
          <w:p>
            <w:pPr>
              <w:spacing w:after="60"/>
              <w:jc w:val="both"/>
            </w:pPr>
            <w:r>
              <w:rPr>
                <w:b w:val="0"/>
              </w:rPr>
              <w:t>The headmaster's academic vision and leadership over four years emerged as the most valuable factor: he conducted special classes and coaching, maintained class-wise lists of slow learners and personally monitored their progress. Students were grouped by level and given "Passing Packages" and "Scoring Packages", which enhanced their self-confidence. Under an "adopted student" system, each teacher followed up approximately 16 students daily from 3:30 to 4:00 PM. Around 50 parents recently visited the school to discuss progress, and SDMC members visited twice a week and addressed teacher shortages, infrastructure and water facilities. A computer lab with 15 systems, a science laboratory, smart classrooms and support from Samarthanam Trust strengthened learning.</w:t>
            </w:r>
          </w:p>
          <w:p>
            <w:pPr>
              <w:spacing w:after="60"/>
              <w:jc w:val="both"/>
            </w:pPr>
            <w:r>
              <w:rPr>
                <w:b w:val="0"/>
              </w:rPr>
              <w:t>The model is sustainable because it relies on leadership, teacher time and community engagement rather than special funding. It is replicable in any government high school: slow-learner lists, level-based packages and an adopted-student system can be introduced immediately. It is scalable through headmaster leadership training and sharing of the case across districts. It is monitorable through slow-learner progress records, daily follow-up logs, parent visits and SSLC results. The study concludes that committed leadership, level-based remediation and community partnership can raise SSLC results in government schools.</w:t>
            </w:r>
          </w:p>
        </w:tc>
      </w:tr>
    </w:tbl>
    <w:p>
      <w:pPr>
        <w:spacing w:after="120" w:before="160"/>
      </w:pPr>
      <w:r>
        <w:rPr>
          <w:b/>
          <w:i w:val="0"/>
          <w:sz w:val="24"/>
          <w:u w:val="none"/>
        </w:rPr>
        <w:t>References</w:t>
      </w:r>
    </w:p>
    <w:p>
      <w:pPr>
        <w:spacing w:after="60" w:before="0"/>
        <w:ind w:left="576" w:hanging="576"/>
        <w:jc w:val="both"/>
      </w:pPr>
      <w:r>
        <w:rPr>
          <w:b w:val="0"/>
          <w:i w:val="0"/>
          <w:u w:val="none"/>
        </w:rPr>
        <w:t>DIET Bengaluru Urban (2024-25). Case Study of Karnataka Public School, Honnaganahatti, which achieved the highest SSLC results among Government High Schools in Bengaluru South District for the academic year 2023–24.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21</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Urban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Classroom practices in bilingual (Kannada-English) schools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Urban's study “EVALUATION STUDY OF ENGLISH MEDIUM SCHOOLS IN THE ACADAMIC YEAR 2024-25 IN BANGALORE SOUTH DISTRICT ” (2024-25). Lack of physical infrastructure in 58 schools; teachers handling English-medium classes are not English subject teachers; 15-day training insufficient.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Refresher courses; English-proficient teachers; improved facilities; training in English communication, evaluation and record maintenance.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Bengaluru Urban's evaluation of English-medium government schools started from 2019-20 to 2024-25 in Bangalore South district documents how English-medium sections have revitalised enrolment in government schools. The Government of Karnataka started English medium in Standard 1 in 1,000 government primary schools along with LKG in Karnataka Public Schools. The study covered 30 schools across five blocks with 30 headmasters, 30 teachers, 30 CRPs, 30 SDMC presidents or members and five each of BRPs, BRCs and BEOs, using school visits, questionnaires, observation schedules and interviews.</w:t>
            </w:r>
          </w:p>
          <w:p>
            <w:pPr>
              <w:spacing w:after="60"/>
              <w:jc w:val="both"/>
            </w:pPr>
            <w:r>
              <w:rPr>
                <w:b w:val="0"/>
              </w:rPr>
              <w:t>The findings are striking. In the district, 161 schools ran English medium from Standard 1 to 6, including all KPS schools. All schools showed a positive response in admissions and involvement, and admissions increased in all 161 schools. SDMC members and the community took keen interest, and children who completed LKG and UKG in private schools sought admission to Standard 1 in these government schools, a reversal of the usual flow. Teachers handling these classes, although not English subject teachers, responded positively.</w:t>
            </w:r>
          </w:p>
          <w:p>
            <w:pPr>
              <w:spacing w:after="60"/>
              <w:jc w:val="both"/>
            </w:pPr>
            <w:r>
              <w:rPr>
                <w:b w:val="0"/>
              </w:rPr>
              <w:t>The practice is sustainable because it is a permanent policy provision supported by community interest. It is replicable across districts and, combined with KPS, offers a continuous pathway from LKG. It is scalable with adequate classrooms and English-proficient teachers. It is monitorable through admission trends, movement of children from private schools and classroom observation. The study concludes that the 15-day training is insufficient and recommends refresher courses, English-proficient teachers and improved facilities so that quality keeps pace with rising demand.</w:t>
            </w:r>
          </w:p>
        </w:tc>
      </w:tr>
    </w:tbl>
    <w:p>
      <w:pPr>
        <w:spacing w:after="120" w:before="160"/>
      </w:pPr>
      <w:r>
        <w:rPr>
          <w:b/>
          <w:i w:val="0"/>
          <w:sz w:val="24"/>
          <w:u w:val="none"/>
        </w:rPr>
        <w:t>References</w:t>
      </w:r>
    </w:p>
    <w:p>
      <w:pPr>
        <w:spacing w:after="60" w:before="0"/>
        <w:ind w:left="576" w:hanging="576"/>
        <w:jc w:val="both"/>
      </w:pPr>
      <w:r>
        <w:rPr>
          <w:b w:val="0"/>
          <w:i w:val="0"/>
          <w:u w:val="none"/>
        </w:rPr>
        <w:t>DIET Bengaluru Urban (2024-25). EVALUATION STUDY OF ENGLISH MEDIUM SCHOOLS IN THE ACADAMIC YEAR 2024-25 IN BANGALORE SOUTH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22</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Urban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School libraries and reading habits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Urban's study “Impact Study of Room to Read Program on Government Primary School Students in Bengaluru Urban District” (2024-25). 41.1 per cent of head teachers faced implementation difficulties; twenty-five per cent of teachers needed additional support.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Continue and strengthen library-based reading with teacher support.</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Bengaluru Urban's study on the Room to Read programme in government primary schools documents a library-based literacy model that has transformed students' reading habits. The study used a descriptive mixed-methods survey with structured Kannada questionnaires for about 50 students, teacher questionnaires, structured interviews and observation.</w:t>
            </w:r>
          </w:p>
          <w:p>
            <w:pPr>
              <w:spacing w:after="60"/>
              <w:jc w:val="both"/>
            </w:pPr>
            <w:r>
              <w:rPr>
                <w:b w:val="0"/>
              </w:rPr>
              <w:t>The results are exceptionally positive. Eighty-four per cent of students reported improved reading habits, 100 per cent expressed increased interest in reading and 70.6 per cent preferred reading over listening. Ninety-six per cent improved their writing skills, ninety-eight per cent showed increased interest in stories and 100 per cent reported improved reading ability over six months. Ninety-eight per cent learned new words, ninety-four per cent showed better classroom focus and sixty-two per cent engaged in more discussions while reading. Among teachers, seventy-five per cent successfully implemented the methodologies, 95.5 per cent found the libraries helpful and 88.1 per cent found the teaching materials beneficial, while 78.6 per cent of head teachers believed the programme had achieved its objectives.</w:t>
            </w:r>
          </w:p>
          <w:p>
            <w:pPr>
              <w:spacing w:after="60"/>
              <w:jc w:val="both"/>
            </w:pPr>
            <w:r>
              <w:rPr>
                <w:b w:val="0"/>
              </w:rPr>
              <w:t>The practice is sustainable because libraries and books remain in schools and teachers retain the reading methodologies. It is replicable, the same model has been studied with similar results in Bengaluru Rural. It is scalable through partnership with Room to Read and DIET training. It is monitorable through reading habit surveys, writing assessments and library use records. Addressing the implementation difficulties reported by 41.1 per cent of head teachers and providing additional support to the twenty-five per cent of teachers who need it would help every school achieve the gains seen here.</w:t>
            </w:r>
          </w:p>
        </w:tc>
      </w:tr>
    </w:tbl>
    <w:p>
      <w:pPr>
        <w:spacing w:after="120" w:before="160"/>
      </w:pPr>
      <w:r>
        <w:rPr>
          <w:b/>
          <w:i w:val="0"/>
          <w:sz w:val="24"/>
          <w:u w:val="none"/>
        </w:rPr>
        <w:t>References</w:t>
      </w:r>
    </w:p>
    <w:p>
      <w:pPr>
        <w:spacing w:after="60" w:before="0"/>
        <w:ind w:left="576" w:hanging="576"/>
        <w:jc w:val="both"/>
      </w:pPr>
      <w:r>
        <w:rPr>
          <w:b w:val="0"/>
          <w:i w:val="0"/>
          <w:u w:val="none"/>
        </w:rPr>
        <w:t>DIET Bengaluru Urban (2024-25). Impact Study of Room to Read Program on Government Primary School Students in Bengaluru Urban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23</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Urban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Use of ICT labs, TALP and smart classes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Urban's study “A Study on the Effectiveness of Technology Use in Classroom Teaching by Teachers Trained in TALP in Government Secondary Schools” (2024-25). Equipment often in disrepair; no internet funding; insufficient devices; no refresher training; fifteen per cent of teachers lack confidence; only thirty-six per cent prepare own e-content.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Upgraded and maintained hardware and software; funded internet; annual refresher training; at least two timetabled technology periods; school action plans for technology and e-content.</w:t>
            </w:r>
          </w:p>
          <w:p>
            <w:pPr>
              <w:spacing w:after="60"/>
              <w:ind w:left="360" w:hanging="259"/>
              <w:jc w:val="both"/>
            </w:pPr>
            <w:r>
              <w:rPr>
                <w:b w:val="0"/>
              </w:rPr>
              <w:t xml:space="preserve">•  </w:t>
            </w:r>
            <w:r>
              <w:rPr>
                <w:b w:val="0"/>
              </w:rPr>
              <w:t>Technology facilities in all government secondary schools of Bangalore South district should be upgraded.</w:t>
            </w:r>
          </w:p>
          <w:p>
            <w:pPr>
              <w:spacing w:after="60"/>
              <w:ind w:left="360" w:hanging="259"/>
              <w:jc w:val="both"/>
            </w:pPr>
            <w:r>
              <w:rPr>
                <w:b w:val="0"/>
              </w:rPr>
              <w:t xml:space="preserve">•  </w:t>
            </w:r>
            <w:r>
              <w:rPr>
                <w:b w:val="0"/>
              </w:rPr>
              <w:t>Officials at all levels in Bangalore South district should encourage teachers to increase the use of technology during school visits.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Bengaluru Urban's study on technology use by TALP-trained teachers in government secondary schools of Bangalore South documents the reach of the Technology Assisted Learning Programme and its effect on learning. Since 2016–17, TALP has provided teacher training, e-content, computer labs, laptops and projectors through a Project Management Unit at DSERT. The study covered all five blocks, 25 secondary schools, 25 head teachers, 50 teachers, 10 CRPs and five each of BRPs, ECOs, BRSs, BEOs and Nodal Officers, using questionnaires, observation and interviews.</w:t>
            </w:r>
          </w:p>
          <w:p>
            <w:pPr>
              <w:spacing w:after="60"/>
              <w:jc w:val="both"/>
            </w:pPr>
            <w:r>
              <w:rPr>
                <w:b w:val="0"/>
              </w:rPr>
              <w:t>The findings show strong implementation. All head teachers reported 100 per cent implementation of TALP, and eighty-five per cent of teachers had received TALP training. Most teachers used tools such as YouTube, Google Forms and quizzes, and thirty-six per cent prepared their own e-content. Technology use increased students' interest, communication skills and understanding of complex concepts.</w:t>
            </w:r>
          </w:p>
          <w:p>
            <w:pPr>
              <w:spacing w:after="60"/>
              <w:jc w:val="both"/>
            </w:pPr>
            <w:r>
              <w:rPr>
                <w:b w:val="0"/>
              </w:rPr>
              <w:t>The practice is sustainable because trained teachers and established computer labs allow technology to become part of regular teaching. It is replicable in all TALP schools. It is scalable through annual refresher training and support for teacher-created e-content. It is monitorable through implementation status, training coverage, e-content preparation and timetabled technology periods. The study's multi-level design, involving supervisory officers at every level, is itself a model for monitoring. It recommends upgraded and maintained hardware and software, funded internet connectivity, annual refresher training, at least two timetabled periods for technology use, and school action plans for technology-based teaching and e-content development.</w:t>
            </w:r>
          </w:p>
        </w:tc>
      </w:tr>
    </w:tbl>
    <w:p>
      <w:pPr>
        <w:spacing w:after="120" w:before="160"/>
      </w:pPr>
      <w:r>
        <w:rPr>
          <w:b/>
          <w:i w:val="0"/>
          <w:sz w:val="24"/>
          <w:u w:val="none"/>
        </w:rPr>
        <w:t>References</w:t>
      </w:r>
    </w:p>
    <w:p>
      <w:pPr>
        <w:spacing w:after="60" w:before="0"/>
        <w:ind w:left="576" w:hanging="576"/>
        <w:jc w:val="both"/>
      </w:pPr>
      <w:r>
        <w:rPr>
          <w:b w:val="0"/>
          <w:i w:val="0"/>
          <w:u w:val="none"/>
        </w:rPr>
        <w:t>DIET Bengaluru Urban (2024-25). A Study on the Effectiveness of Technology Use in Classroom Teaching by Teachers Trained in TALP in Government Secondary Schools.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24</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Bengaluru Urban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Inclusive education for children with special needs (CWSN)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Bengaluru Urban's study “A study on the status of School Readiness Centres established for students with special needs functioning in Bengaluru Urban District” (2024-25) and DIET Bengaluru Urban's study “Assessment of School Readiness Centers and Educational Services for Children with Special Needs in Bangalore South District” (2024-25). Assistive devices supplied long after annual medical examination; equipment needs better organisation in three of five zones; Zone 3 physiotherapy disrupted.</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Share practices of well-functioning centres; prompt assistive devices; individualised plans; annual training (e.g. Guru Chetana); more special educators; resource rooms; consistent physiotherapy.</w:t>
            </w:r>
          </w:p>
          <w:p>
            <w:pPr>
              <w:spacing w:after="60"/>
              <w:ind w:left="360" w:hanging="259"/>
              <w:jc w:val="both"/>
            </w:pPr>
            <w:r>
              <w:rPr>
                <w:b w:val="0"/>
              </w:rPr>
              <w:t xml:space="preserve">•  </w:t>
            </w:r>
            <w:r>
              <w:rPr>
                <w:b w:val="0"/>
              </w:rPr>
              <w:t>Providing special incentives to the teachers working in these centers would further encourage and support their efforts.</w:t>
            </w:r>
          </w:p>
          <w:p>
            <w:pPr>
              <w:spacing w:after="60"/>
              <w:ind w:left="360" w:hanging="259"/>
              <w:jc w:val="both"/>
            </w:pPr>
            <w:r>
              <w:rPr>
                <w:b w:val="0"/>
              </w:rPr>
              <w:t xml:space="preserve">•  </w:t>
            </w:r>
            <w:r>
              <w:rPr>
                <w:b w:val="0"/>
              </w:rPr>
              <w:t>There is a need to further plan short-term and long-term annual and individualized lesson plans, along with assessment strategies, specifying which activities can be organized for children with special needs based on class level, subject, and ability.</w:t>
            </w:r>
          </w:p>
          <w:p>
            <w:pPr>
              <w:spacing w:after="60"/>
              <w:ind w:left="360" w:hanging="259"/>
              <w:jc w:val="both"/>
            </w:pPr>
            <w:r>
              <w:rPr>
                <w:b w:val="0"/>
              </w:rPr>
              <w:t xml:space="preserve">•  </w:t>
            </w:r>
            <w:r>
              <w:rPr>
                <w:b w:val="0"/>
              </w:rPr>
              <w:t>Similarly, it is necessary to teach children with special needs the skills they are interested in, such as drawing, handicrafts, sticking color buttons, thermocol balls, pistachio shells, etc., using adhesive.</w:t>
            </w:r>
          </w:p>
          <w:p>
            <w:pPr>
              <w:spacing w:after="60"/>
              <w:ind w:left="360" w:hanging="259"/>
              <w:jc w:val="both"/>
            </w:pPr>
            <w:r>
              <w:rPr>
                <w:b w:val="0"/>
              </w:rPr>
              <w:t xml:space="preserve">•  </w:t>
            </w:r>
            <w:r>
              <w:rPr>
                <w:b w:val="0"/>
              </w:rPr>
              <w:t>Awareness should be created about the facilities available from various departments, and support should be provided to help access these benefits.</w:t>
            </w:r>
          </w:p>
          <w:p>
            <w:pPr>
              <w:spacing w:after="60"/>
              <w:ind w:left="360" w:hanging="259"/>
              <w:jc w:val="both"/>
            </w:pPr>
            <w:r>
              <w:rPr>
                <w:b w:val="0"/>
              </w:rPr>
              <w:t xml:space="preserve">•  </w:t>
            </w:r>
            <w:r>
              <w:rPr>
                <w:b w:val="0"/>
              </w:rPr>
              <w:t>Attention should be given to the attendance of these children.</w:t>
            </w:r>
          </w:p>
          <w:p>
            <w:pPr>
              <w:spacing w:after="60"/>
              <w:ind w:left="360" w:hanging="259"/>
              <w:jc w:val="both"/>
            </w:pPr>
            <w:r>
              <w:rPr>
                <w:b w:val="0"/>
              </w:rPr>
              <w:t xml:space="preserve">•  </w:t>
            </w:r>
            <w:r>
              <w:rPr>
                <w:b w:val="0"/>
              </w:rPr>
              <w:t>Necessary steps should be taken to provide exemptions in language and core subjects in the SSLC annual examination.</w:t>
            </w:r>
          </w:p>
          <w:p>
            <w:pPr>
              <w:spacing w:after="60"/>
              <w:ind w:left="360" w:hanging="259"/>
              <w:jc w:val="both"/>
            </w:pPr>
            <w:r>
              <w:rPr>
                <w:b w:val="0"/>
              </w:rPr>
              <w:t xml:space="preserve">•  </w:t>
            </w:r>
            <w:r>
              <w:rPr>
                <w:b w:val="0"/>
              </w:rPr>
              <w:t>For this purpose, training modules such as Guru Chetana – Inclusive Education and Integrated Education, developed by DSERT, may be utilized.</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Two DIET Bengaluru Urban studies document School Readiness Centres for children with special needs in Bengaluru South as a working model of inclusive support. Established under the RPwD Act 2016 and Samagra Shikshana Karnataka for children with any of the 21 prescribed disabilities who cannot attend school, the centres were studied in all five zones through visits to 25 schools and surveys of Field Resource Coordinators, special educators and head teachers.</w:t>
            </w:r>
          </w:p>
          <w:p>
            <w:pPr>
              <w:spacing w:after="60"/>
              <w:jc w:val="both"/>
            </w:pPr>
            <w:r>
              <w:rPr>
                <w:b w:val="0"/>
              </w:rPr>
              <w:t>The studies record substantial services. There were 1,676 children with special needs in Classes 1–10 in government schools of the city district, of whom 232 were home-based. During 2024-25, 257 children received regular physiotherapy, 46 in Zone 1, 32 in Zone 2, 72 in Zone 3, 29 in Zone 4 and 78 in Anekal. Equipment included specialised learning materials, medical kits, ortho-belts, spectacles and assistive devices based on individual needs. Children represented schools at district and state levels in sports and cultural competitions. In two of the five zones, centres and equipment were well arranged and properly used, and donors supplemented departmental facilities with daily-use kits and MR kits. All head teachers agreed that regular teachers need inclusive education training.</w:t>
            </w:r>
          </w:p>
          <w:p>
            <w:pPr>
              <w:spacing w:after="60"/>
              <w:jc w:val="both"/>
            </w:pPr>
            <w:r>
              <w:rPr>
                <w:b w:val="0"/>
              </w:rPr>
              <w:t>The model is sustainable within the Samagra Shiksha framework and donor partnerships. It is replicable in other urban districts. It is scalable by sharing the practices of well-functioning centres. It is monitorable through child-wise therapy and device records. The studies recommend prompt assistive devices, individualised plans, annual training using DSERT modules such as Guru Chetana, more special educators, resource rooms and consistent physiotherapy.</w:t>
            </w:r>
          </w:p>
        </w:tc>
      </w:tr>
    </w:tbl>
    <w:p>
      <w:pPr>
        <w:spacing w:after="120" w:before="160"/>
      </w:pPr>
      <w:r>
        <w:rPr>
          <w:b/>
          <w:i w:val="0"/>
          <w:sz w:val="24"/>
          <w:u w:val="none"/>
        </w:rPr>
        <w:t>References</w:t>
      </w:r>
    </w:p>
    <w:p>
      <w:pPr>
        <w:spacing w:after="60" w:before="0"/>
        <w:ind w:left="576" w:hanging="576"/>
        <w:jc w:val="both"/>
      </w:pPr>
      <w:r>
        <w:rPr>
          <w:b w:val="0"/>
          <w:i w:val="0"/>
          <w:u w:val="none"/>
        </w:rPr>
        <w:t>DIET Bengaluru Urban (2024-25). A study on the status of School Readiness Centres established for students with special needs functioning in Bengaluru Urban District; DIET Bengaluru Urban (2024-25). Assessment of School Readiness Centers and Educational Services for Children with Special Needs in Bangalore South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25</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Bidar</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Science laboratories, Atal Tinkering Labs and experiential science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Bidar's study “A Study on Science Laboratories in Government Primary Schools of Bidar District” (2024-25). Only about sixty-five per cent of laboratories have adequate equipment and materials; teachers need training on modern equipment.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Hands-on training workshops and demonstration sessions for teachers; equip all designated laboratory spaces.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Bidar's study on science laboratories in government primary schools documents a strong base of laboratory provision and student enthusiasm for practical science. The study used a descriptive survey with qualitative and quantitative methods. Its sample, selected by stratified random sampling, comprised 25 government primary schools across five taluks of Bidar district.</w:t>
            </w:r>
          </w:p>
          <w:p>
            <w:pPr>
              <w:spacing w:after="60"/>
              <w:jc w:val="both"/>
            </w:pPr>
            <w:r>
              <w:rPr>
                <w:b w:val="0"/>
              </w:rPr>
              <w:t>The findings show that most schools have the foundation for laboratory-based learning. Approximately eighty-eight per cent of sampled schools reported designated science laboratory spaces, and about sixty-five per cent of laboratories had adequate equipment and materials for regular practicals. Approximately seventy-two per cent of science teachers had received training on laboratory-based teaching methods, and teachers showed strong interest in using laboratories. Students showed high enthusiasm (approximately eighty-nine per cent) for laboratory-based activities, and practicals significantly improved students' understanding of scientific concepts and enhanced their interest in science.</w:t>
            </w:r>
          </w:p>
          <w:p>
            <w:pPr>
              <w:spacing w:after="60"/>
              <w:jc w:val="both"/>
            </w:pPr>
            <w:r>
              <w:rPr>
                <w:b w:val="0"/>
              </w:rPr>
              <w:t>The practice of laboratory-based science in primary schools is sustainable where designated spaces exist and teachers are trained, as is the case in most Bidar schools. It is replicable in other districts, particularly in the Kalyana Karnataka region. It is scalable by equipping the remaining laboratory spaces and extending training. It is monitorable through records of practical sessions, availability of equipment and student understanding of concepts. The study identifies the next steps: teachers asked for more hands-on training workshops and demonstration sessions, particularly on modern equipment. Meeting this need, and bringing all designated spaces up to the standard of the best-equipped schools, would allow every primary school student in the district to benefit from the learning gains that laboratory practicals produced.</w:t>
            </w:r>
          </w:p>
        </w:tc>
      </w:tr>
    </w:tbl>
    <w:p>
      <w:pPr>
        <w:spacing w:after="120" w:before="160"/>
      </w:pPr>
      <w:r>
        <w:rPr>
          <w:b/>
          <w:i w:val="0"/>
          <w:sz w:val="24"/>
          <w:u w:val="none"/>
        </w:rPr>
        <w:t>References</w:t>
      </w:r>
    </w:p>
    <w:p>
      <w:pPr>
        <w:spacing w:after="60" w:before="0"/>
        <w:ind w:left="576" w:hanging="576"/>
        <w:jc w:val="both"/>
      </w:pPr>
      <w:r>
        <w:rPr>
          <w:b w:val="0"/>
          <w:i w:val="0"/>
          <w:u w:val="none"/>
        </w:rPr>
        <w:t>DIET Bidar (2024-25). A Study on Science Laboratories in Government Primary Schools of Bidar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26</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Chamarajanagar</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Effect of Sethubandha/FLN programmes on closing FLN and learning-outcome gaps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Chamarajanagar's study “A Study on Effective Implementation of the Foundational Literacy and Numeracy (FLN) Programme in Grade 3 of Selected Government Primary Schools of Chamarajanagar District” (2025-26). All teachers trained in only seventy-two per cent of schools; materials reached sixty-four per cent of schools on time; multiplication and division difficult; about three-fourths report poor parental cooperation.</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Train all teachers; timely supply of materials; remedial teaching; parental awareness; fill vacancies; supportive, mentoring-oriented monitoring.</w:t>
            </w:r>
          </w:p>
          <w:p>
            <w:pPr>
              <w:spacing w:after="60"/>
              <w:ind w:left="360" w:hanging="259"/>
              <w:jc w:val="both"/>
            </w:pPr>
            <w:r>
              <w:rPr>
                <w:b w:val="0"/>
              </w:rPr>
              <w:t xml:space="preserve">•  </w:t>
            </w:r>
            <w:r>
              <w:rPr>
                <w:b w:val="0"/>
              </w:rPr>
              <w:t>FLN training should be extended to all teachers, including newly appointed ones, with periodic practice-based refresher training, workshops and experience-sharing.</w:t>
            </w:r>
          </w:p>
          <w:p>
            <w:pPr>
              <w:spacing w:after="60"/>
              <w:ind w:left="360" w:hanging="259"/>
              <w:jc w:val="both"/>
            </w:pPr>
            <w:r>
              <w:rPr>
                <w:b w:val="0"/>
              </w:rPr>
              <w:t xml:space="preserve">•  </w:t>
            </w:r>
            <w:r>
              <w:rPr>
                <w:b w:val="0"/>
              </w:rPr>
              <w:t>Timely and equitable supply of TLMs should be ensured, teachers encouraged to develop low-cost local materials, and Learning Corners set up and regularly monitored in every school.</w:t>
            </w:r>
          </w:p>
          <w:p>
            <w:pPr>
              <w:spacing w:after="60"/>
              <w:ind w:left="360" w:hanging="259"/>
              <w:jc w:val="both"/>
            </w:pPr>
            <w:r>
              <w:rPr>
                <w:b w:val="0"/>
              </w:rPr>
              <w:t xml:space="preserve">•  </w:t>
            </w:r>
            <w:r>
              <w:rPr>
                <w:b w:val="0"/>
              </w:rPr>
              <w:t>Remedial teaching and extra classes should be provided for slow learners, with multiplication and division taught through games and activities.</w:t>
            </w:r>
          </w:p>
          <w:p>
            <w:pPr>
              <w:spacing w:after="60"/>
              <w:ind w:left="360" w:hanging="259"/>
              <w:jc w:val="both"/>
            </w:pPr>
            <w:r>
              <w:rPr>
                <w:b w:val="0"/>
              </w:rPr>
              <w:t xml:space="preserve">•  </w:t>
            </w:r>
            <w:r>
              <w:rPr>
                <w:b w:val="0"/>
              </w:rPr>
              <w:t>FLN awareness programmes should be organised for parents, guiding them on home learning, and the role of SDMCs and local communities should be strengthened.</w:t>
            </w:r>
          </w:p>
          <w:p>
            <w:pPr>
              <w:spacing w:after="60"/>
              <w:ind w:left="360" w:hanging="259"/>
              <w:jc w:val="both"/>
            </w:pPr>
            <w:r>
              <w:rPr>
                <w:b w:val="0"/>
              </w:rPr>
              <w:t xml:space="preserve">•  </w:t>
            </w:r>
            <w:r>
              <w:rPr>
                <w:b w:val="0"/>
              </w:rPr>
              <w:t>Teacher vacancies should be filled, teachers trained for multi-grade teaching, non-academic workload reduced, and monitoring made supportive and mentoring-oriented rather than inspection-oriented.</w:t>
            </w:r>
          </w:p>
          <w:p>
            <w:pPr>
              <w:spacing w:after="60"/>
              <w:ind w:left="360" w:hanging="259"/>
              <w:jc w:val="both"/>
            </w:pPr>
            <w:r>
              <w:rPr>
                <w:b w:val="0"/>
              </w:rPr>
              <w:t xml:space="preserve">•  </w:t>
            </w:r>
            <w:r>
              <w:rPr>
                <w:b w:val="0"/>
              </w:rPr>
              <w:t>Use of DIKSHA and other digital resources should be increased, and the findings used for district-level planning under Samagra Shiksha, NIPUN Karnataka and DIET training programmes.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Chamarajanagar's study on FLN implementation in Grade 3 provides rare district-level evidence from an educationally backward, largely rural district. Karnataka pursues FLN through the NIPUN Karnataka Mission. The study used a mixed-method descriptive survey supported by case studies, covering 50 schools (ten from each of five taluks), 50 head teachers, 100 teachers, 300 Grade 3 students and 100 parents, plus case studies of 10 schools and focus groups. Tools included questionnaires, classroom observation, achievement tests and interviews.</w:t>
            </w:r>
          </w:p>
          <w:p>
            <w:pPr>
              <w:spacing w:after="60"/>
              <w:jc w:val="both"/>
            </w:pPr>
            <w:r>
              <w:rPr>
                <w:b w:val="0"/>
              </w:rPr>
              <w:t>The findings show strong implementation. Ninety-six per cent of head teachers and ninety-seven per cent of teachers had received FLN training. Learning Corners were used effectively in ninety-two per cent of schools and varied teaching methods in ninety-four per cent. Reading, comprehension and participation improved. Schools with active community support showed better attendance and learning, evidence of the value of community engagement.</w:t>
            </w:r>
          </w:p>
          <w:p>
            <w:pPr>
              <w:spacing w:after="60"/>
              <w:jc w:val="both"/>
            </w:pPr>
            <w:r>
              <w:rPr>
                <w:b w:val="0"/>
              </w:rPr>
              <w:t>The practice is sustainable because trained teachers and Learning Corners are now part of classrooms. It is replicable in other rural districts. It is scalable by training the remaining teachers, since all teachers were trained in only seventy-two per cent of schools. It is monitorable through classroom observation of Learning Corners, achievement tests and community participation. The study recommends training all teachers, timely supply of materials (which reached sixty-four per cent of schools on time), remedial teaching for multiplication and division, parental awareness programmes, filling vacancies and supportive, mentoring-oriented monitoring.</w:t>
            </w:r>
          </w:p>
        </w:tc>
      </w:tr>
    </w:tbl>
    <w:p>
      <w:pPr>
        <w:spacing w:after="120" w:before="160"/>
      </w:pPr>
      <w:r>
        <w:rPr>
          <w:b/>
          <w:i w:val="0"/>
          <w:sz w:val="24"/>
          <w:u w:val="none"/>
        </w:rPr>
        <w:t>References</w:t>
      </w:r>
    </w:p>
    <w:p>
      <w:pPr>
        <w:spacing w:after="60" w:before="0"/>
        <w:ind w:left="576" w:hanging="576"/>
        <w:jc w:val="both"/>
      </w:pPr>
      <w:r>
        <w:rPr>
          <w:b w:val="0"/>
          <w:i w:val="0"/>
          <w:u w:val="none"/>
        </w:rPr>
        <w:t>DIET Chamarajanagar (2025-26). A Study on Effective Implementation of the Foundational Literacy and Numeracy (FLN) Programme in Grade 3 of Selected Government Primary Schools of Chamarajanagar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27</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Chamarajanagar</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Students' English speaking and communication skills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Chamarajanagar's study “A Research Study Regarding Development of English Communication Skill Among 6th Standard Students of Higher Primary (EMTIP) Schools of Chamarajanagar District” (2025-26). Teachers lack confidence in speaking English fluently and need more systematic TLM use; parents' limited English prevents supervision.</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Small dialogues, vocabulary building, rhyming words and innovative methods; English newspapers for leisure reading; better classroom environment; keep parents informed.</w:t>
            </w:r>
          </w:p>
          <w:p>
            <w:pPr>
              <w:spacing w:after="60"/>
              <w:ind w:left="360" w:hanging="259"/>
              <w:jc w:val="both"/>
            </w:pPr>
            <w:r>
              <w:rPr>
                <w:b w:val="0"/>
              </w:rPr>
              <w:t xml:space="preserve">•  </w:t>
            </w:r>
            <w:r>
              <w:rPr>
                <w:b w:val="0"/>
              </w:rPr>
              <w:t>Teachers are encouraged to build vocabulary skills among students by practicing small dialogues in classrooms and are advised to procure English newspapers so that students can read them in their leisure time.</w:t>
            </w:r>
          </w:p>
          <w:p>
            <w:pPr>
              <w:spacing w:after="60"/>
              <w:ind w:left="360" w:hanging="259"/>
              <w:jc w:val="both"/>
            </w:pPr>
            <w:r>
              <w:rPr>
                <w:b w:val="0"/>
              </w:rPr>
              <w:t xml:space="preserve">•  </w:t>
            </w:r>
            <w:r>
              <w:rPr>
                <w:b w:val="0"/>
              </w:rPr>
              <w:t>Parents are made aware of the activities conducted in schools for their children, and students are encouraged to converse in small English dialogues.</w:t>
            </w:r>
          </w:p>
          <w:p>
            <w:pPr>
              <w:spacing w:after="60"/>
              <w:ind w:left="360" w:hanging="259"/>
              <w:jc w:val="both"/>
            </w:pPr>
            <w:r>
              <w:rPr>
                <w:b w:val="0"/>
              </w:rPr>
              <w:t xml:space="preserve">•  </w:t>
            </w:r>
            <w:r>
              <w:rPr>
                <w:b w:val="0"/>
              </w:rPr>
              <w:t>Teachers are focusing on rhyming words in lessons, headmasters are improving the classroom environment, and teachers are being encouraged to use new and innovative methods to teach their students.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Chamarajanagar's study on English communication skills among Class 6 students of EMTIP higher primary schools documents classroom practices in bilingual schools across all five taluks. The sample comprised 18 schools, five from Chamarajanagar, four from Gundlupet, three from Hanur, four from Kollegal and two from Yelandur. Senior lecturers, lecturers and investigators visited the schools and administered questionnaires to students, teachers, headmasters and parents/SDMC members, assessing listening and picture reading, spoken fluency, writing, classroom environment and parents' views of bilingual schools.</w:t>
            </w:r>
          </w:p>
          <w:p>
            <w:pPr>
              <w:spacing w:after="60"/>
              <w:jc w:val="both"/>
            </w:pPr>
            <w:r>
              <w:rPr>
                <w:b w:val="0"/>
              </w:rPr>
              <w:t>The study found that teachers used activity-based methods and that headmasters provided the necessary teaching aids, two conditions that support language learning. The practice of DIET faculty visiting every taluk and assessing listening, speaking and writing together is itself a model of systematic monitoring of bilingual classrooms.</w:t>
            </w:r>
          </w:p>
          <w:p>
            <w:pPr>
              <w:spacing w:after="60"/>
              <w:jc w:val="both"/>
            </w:pPr>
            <w:r>
              <w:rPr>
                <w:b w:val="0"/>
              </w:rPr>
              <w:t>Activity-based English teaching with headmaster support is sustainable because it depends on teaching methods and existing aids. It is replicable in all EMTIP and bilingual schools. It is scalable through DIET training focused on spoken English and systematic TLM use. It is monitorable through regular assessment of listening, speaking and writing skills, as used here. The study recommends that teachers encourage students to converse in English through small dialogues, build vocabulary, focus on rhyming words and use innovative methods; that English newspapers be made available for leisure reading; and that headmasters improve the classroom environment and keep parents informed. Building teachers' own spoken fluency would strengthen these practices.</w:t>
            </w:r>
          </w:p>
        </w:tc>
      </w:tr>
    </w:tbl>
    <w:p>
      <w:pPr>
        <w:spacing w:after="120" w:before="160"/>
      </w:pPr>
      <w:r>
        <w:rPr>
          <w:b/>
          <w:i w:val="0"/>
          <w:sz w:val="24"/>
          <w:u w:val="none"/>
        </w:rPr>
        <w:t>References</w:t>
      </w:r>
    </w:p>
    <w:p>
      <w:pPr>
        <w:spacing w:after="60" w:before="0"/>
        <w:ind w:left="576" w:hanging="576"/>
        <w:jc w:val="both"/>
      </w:pPr>
      <w:r>
        <w:rPr>
          <w:b w:val="0"/>
          <w:i w:val="0"/>
          <w:u w:val="none"/>
        </w:rPr>
        <w:t>DIET Chamarajanagar (2025-26). A Research Study Regarding Development of English Communication Skill Among 6th Standard Students of Higher Primary (EMTIP) Schools of Chamarajanagar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28</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Chamarajanagar</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Use of ICT labs, TALP and smart classes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Chamarajanagar's study “A Study on the Effective Implementation of TALP Training in Selected Government Pre-High Schools of Chamarajanagar District” (2024-25). Only 3 of 15 schools had inverter/UPS; 13 received no maintenance grant; only fifty-three per cent of teachers had both induction and refresher training.</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Refresher training for teachers with only induction; computer labs, UPS and internet in all TALP schools; fixed weekly computer periods.</w:t>
            </w:r>
          </w:p>
          <w:p>
            <w:pPr>
              <w:spacing w:after="60"/>
              <w:ind w:left="360" w:hanging="259"/>
              <w:jc w:val="both"/>
            </w:pPr>
            <w:r>
              <w:rPr>
                <w:b w:val="0"/>
              </w:rPr>
              <w:t xml:space="preserve">•  </w:t>
            </w:r>
            <w:r>
              <w:rPr>
                <w:b w:val="0"/>
              </w:rPr>
              <w:t>Full-fledged TALP training should be given to teachers in all TALP schools.</w:t>
            </w:r>
          </w:p>
          <w:p>
            <w:pPr>
              <w:spacing w:after="60"/>
              <w:ind w:left="360" w:hanging="259"/>
              <w:jc w:val="both"/>
            </w:pPr>
            <w:r>
              <w:rPr>
                <w:b w:val="0"/>
              </w:rPr>
              <w:t xml:space="preserve">•  </w:t>
            </w:r>
            <w:r>
              <w:rPr>
                <w:b w:val="0"/>
              </w:rPr>
              <w:t>Since many teachers have received only induction training, refresher training should be provided.</w:t>
            </w:r>
          </w:p>
          <w:p>
            <w:pPr>
              <w:spacing w:after="60"/>
              <w:ind w:left="360" w:hanging="259"/>
              <w:jc w:val="both"/>
            </w:pPr>
            <w:r>
              <w:rPr>
                <w:b w:val="0"/>
              </w:rPr>
              <w:t xml:space="preserve">•  </w:t>
            </w:r>
            <w:r>
              <w:rPr>
                <w:b w:val="0"/>
              </w:rPr>
              <w:t>Computer laboratories should function fully in all schools, as many schools lack a well-organised computer laboratory.</w:t>
            </w:r>
          </w:p>
          <w:p>
            <w:pPr>
              <w:spacing w:after="60"/>
              <w:ind w:left="360" w:hanging="259"/>
              <w:jc w:val="both"/>
            </w:pPr>
            <w:r>
              <w:rPr>
                <w:b w:val="0"/>
              </w:rPr>
              <w:t xml:space="preserve">•  </w:t>
            </w:r>
            <w:r>
              <w:rPr>
                <w:b w:val="0"/>
              </w:rPr>
              <w:t>Subjects suited to computer-based teaching should be prioritised and a fixed number of computer-based periods reserved for each subject every week.</w:t>
            </w:r>
          </w:p>
          <w:p>
            <w:pPr>
              <w:spacing w:after="60"/>
              <w:ind w:left="360" w:hanging="259"/>
              <w:jc w:val="both"/>
            </w:pPr>
            <w:r>
              <w:rPr>
                <w:b w:val="0"/>
              </w:rPr>
              <w:t xml:space="preserve">•  </w:t>
            </w:r>
            <w:r>
              <w:rPr>
                <w:b w:val="0"/>
              </w:rPr>
              <w:t>At least one computer should be made available for every two students.</w:t>
            </w:r>
          </w:p>
          <w:p>
            <w:pPr>
              <w:spacing w:after="60"/>
              <w:ind w:left="360" w:hanging="259"/>
              <w:jc w:val="both"/>
            </w:pPr>
            <w:r>
              <w:rPr>
                <w:b w:val="0"/>
              </w:rPr>
              <w:t xml:space="preserve">•  </w:t>
            </w:r>
            <w:r>
              <w:rPr>
                <w:b w:val="0"/>
              </w:rPr>
              <w:t>UPS units with good backup should be provided to all TALP schools.</w:t>
            </w:r>
          </w:p>
          <w:p>
            <w:pPr>
              <w:spacing w:after="60"/>
              <w:ind w:left="360" w:hanging="259"/>
              <w:jc w:val="both"/>
            </w:pPr>
            <w:r>
              <w:rPr>
                <w:b w:val="0"/>
              </w:rPr>
              <w:t xml:space="preserve">•  </w:t>
            </w:r>
            <w:r>
              <w:rPr>
                <w:b w:val="0"/>
              </w:rPr>
              <w:t>Students should be given as much hands-on experience as possible.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Chamarajanagar's study on TALP training in government high schools documents strong training coverage and students' acquisition of self-learning skills through computers. The study randomly selected 15 government high schools, three from each of five taluks, and administered structured questionnaires to headmasters, two teachers and three students per school.</w:t>
            </w:r>
          </w:p>
          <w:p>
            <w:pPr>
              <w:spacing w:after="60"/>
              <w:jc w:val="both"/>
            </w:pPr>
            <w:r>
              <w:rPr>
                <w:b w:val="0"/>
              </w:rPr>
              <w:t>The findings show substantial achievement. All headmasters had received TALP training, and ninety-three per cent of teachers had been trained, with fifty-three per cent receiving both induction and refresher training. Seventy-three per cent of schools (11 of 15) had computer laboratories, and internet connectivity was available in 11 schools, eight of them at 50 Mbps or more. Most importantly, ninety-three per cent of students had acquired self-learning experience with computers. Six schools had reserved two computer-based periods per subject per week.</w:t>
            </w:r>
          </w:p>
          <w:p>
            <w:pPr>
              <w:spacing w:after="60"/>
              <w:jc w:val="both"/>
            </w:pPr>
            <w:r>
              <w:rPr>
                <w:b w:val="0"/>
              </w:rPr>
              <w:t>The practice is sustainable because trained headmasters and teachers can continue technology-assisted teaching, and students' self-learning skills persist. It is replicable in all TALP schools. It is scalable through refresher training for the teachers who received only induction training. It is monitorable through simple indicators the study used: training coverage, laboratory and connectivity status, timetabled computer periods and students' self-learning experience. The study recommends refresher training, computer laboratories, UPS backup and internet in all TALP schools, and fixed computer-based periods for suitable subjects every week. Maintenance grants, which 13 schools had not received, would help keep equipment functional.</w:t>
            </w:r>
          </w:p>
        </w:tc>
      </w:tr>
    </w:tbl>
    <w:p>
      <w:pPr>
        <w:spacing w:after="120" w:before="160"/>
      </w:pPr>
      <w:r>
        <w:rPr>
          <w:b/>
          <w:i w:val="0"/>
          <w:sz w:val="24"/>
          <w:u w:val="none"/>
        </w:rPr>
        <w:t>References</w:t>
      </w:r>
    </w:p>
    <w:p>
      <w:pPr>
        <w:spacing w:after="60" w:before="0"/>
        <w:ind w:left="576" w:hanging="576"/>
        <w:jc w:val="both"/>
      </w:pPr>
      <w:r>
        <w:rPr>
          <w:b w:val="0"/>
          <w:i w:val="0"/>
          <w:u w:val="none"/>
        </w:rPr>
        <w:t>DIET Chamarajanagar (2024-25). A Study on the Effective Implementation of TALP Training in Selected Government Pre-High Schools of Chamarajanagar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29</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Chamarajanagar</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Inclusive education for children with special needs (CWSN)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Chamarajanagar's study “A Study on the Impact of Educational Interventions on the Learning Progress of CWSN Students in Government Higher Primary Schools of Chamarajanagar District” (2025-26). Inadequate resources, limited specialised support, insufficient training and infrastructural barriers.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Individualised educational planning; differentiated instruction; continuous professional development in inclusive practices and assistive technology; parental involvement; accessible infrastructure; administrative monitoring.</w:t>
            </w:r>
          </w:p>
          <w:p>
            <w:pPr>
              <w:spacing w:after="60"/>
              <w:ind w:left="360" w:hanging="259"/>
              <w:jc w:val="both"/>
            </w:pPr>
            <w:r>
              <w:rPr>
                <w:b w:val="0"/>
              </w:rPr>
              <w:t xml:space="preserve">•  </w:t>
            </w:r>
            <w:r>
              <w:rPr>
                <w:b w:val="0"/>
              </w:rPr>
              <w:t>Educational interventions should be planned according to the individual learning needs and abilities of CWSN students, with schools strengthening individualised educational planning, differentiated instruction, remedial teaching, peer- assisted learning, and the use of appropriate teaching-learning materials.</w:t>
            </w:r>
          </w:p>
          <w:p>
            <w:pPr>
              <w:spacing w:after="60"/>
              <w:ind w:left="360" w:hanging="259"/>
              <w:jc w:val="both"/>
            </w:pPr>
            <w:r>
              <w:rPr>
                <w:b w:val="0"/>
              </w:rPr>
              <w:t xml:space="preserve">•  </w:t>
            </w:r>
            <w:r>
              <w:rPr>
                <w:b w:val="0"/>
              </w:rPr>
              <w:t>Continuous professional development programmes should enhance teachers' knowledge and skills in inclusive classroom practices, disability-specific needs, classroom adaptation, and assistive technology, while resource teachers should work closely with regular teachers to provide timely support.</w:t>
            </w:r>
          </w:p>
          <w:p>
            <w:pPr>
              <w:spacing w:after="60"/>
              <w:ind w:left="360" w:hanging="259"/>
              <w:jc w:val="both"/>
            </w:pPr>
            <w:r>
              <w:rPr>
                <w:b w:val="0"/>
              </w:rPr>
              <w:t xml:space="preserve">•  </w:t>
            </w:r>
            <w:r>
              <w:rPr>
                <w:b w:val="0"/>
              </w:rPr>
              <w:t>Parents should be actively involved in planning, monitoring, and supporting their children's learning, and schools should ensure accessible infrastructure and necessary facilities.</w:t>
            </w:r>
          </w:p>
          <w:p>
            <w:pPr>
              <w:spacing w:after="60"/>
              <w:ind w:left="360" w:hanging="259"/>
              <w:jc w:val="both"/>
            </w:pPr>
            <w:r>
              <w:rPr>
                <w:b w:val="0"/>
              </w:rPr>
              <w:t xml:space="preserve">•  </w:t>
            </w:r>
            <w:r>
              <w:rPr>
                <w:b w:val="0"/>
              </w:rPr>
              <w:t>At the administrative level, education authorities should strengthen monitoring, resource allocation, teacher support, and capacity-building programmes for inclusive education.</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Chamarajanagar's study on educational interventions for children with special needs (CWSN) in government higher primary schools documents the interventions that improve their learning. The study used a descriptive survey with purposive sampling of schools experienced in implementing interventions; respondents were head teachers, teachers, CWSN students, parents and BIERT personnel, and data were analysed comparatively and thematically.</w:t>
            </w:r>
          </w:p>
          <w:p>
            <w:pPr>
              <w:spacing w:after="60"/>
              <w:jc w:val="both"/>
            </w:pPr>
            <w:r>
              <w:rPr>
                <w:b w:val="0"/>
              </w:rPr>
              <w:t>The findings show that educational interventions contributed positively to the learning progress and classroom participation of CWSN students. Specific practices proved effective: individualised support, adapted teaching-learning materials, remedial teaching, peer support and assistive facilities improved engagement and learning. Teachers played a significant role in identifying needs, adapting classroom practices and providing individual attention, and parental cooperation and support from resource personnel strengthened implementation.</w:t>
            </w:r>
          </w:p>
          <w:p>
            <w:pPr>
              <w:spacing w:after="60"/>
              <w:jc w:val="both"/>
            </w:pPr>
            <w:r>
              <w:rPr>
                <w:b w:val="0"/>
              </w:rPr>
              <w:t>This combination of practices is sustainable because it relies on teachers, peers and parents already in the school community. It is replicable in every school enrolling CWSN. It is scalable through continuous professional development in inclusive practices and assistive technology. It is monitorable through individual learning progress and participation records for each child. The study recommends individualised educational planning, differentiated instruction, continuous professional development, active parental involvement, accessible infrastructure and stronger administrative monitoring and resource allocation, measures that address the resource, training and infrastructure gaps it identified.</w:t>
            </w:r>
          </w:p>
        </w:tc>
      </w:tr>
    </w:tbl>
    <w:p>
      <w:pPr>
        <w:spacing w:after="120" w:before="160"/>
      </w:pPr>
      <w:r>
        <w:rPr>
          <w:b/>
          <w:i w:val="0"/>
          <w:sz w:val="24"/>
          <w:u w:val="none"/>
        </w:rPr>
        <w:t>References</w:t>
      </w:r>
    </w:p>
    <w:p>
      <w:pPr>
        <w:spacing w:after="60" w:before="0"/>
        <w:ind w:left="576" w:hanging="576"/>
        <w:jc w:val="both"/>
      </w:pPr>
      <w:r>
        <w:rPr>
          <w:b w:val="0"/>
          <w:i w:val="0"/>
          <w:u w:val="none"/>
        </w:rPr>
        <w:t>DIET Chamarajanagar (2025-26). A Study on the Impact of Educational Interventions on the Learning Progress of CWSN Students in Government Higher Primary Schools of Chamarajanagar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30</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Chamarajanagar</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Learning outcomes of tribal and first-generation learners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Chamarajanagar's study “A Study on Educational Status of Ashram Schools in Chamarajanagar District” (2025-26). Shortage of qualified, trained teachers in Ashram schools; weak co-curricular participation; inadequate training; most schools lag in achievement.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Improve infrastructure and drinking water; permanent teachers; more co-curricular activities and teacher training; programmes to raise achievement.</w:t>
            </w:r>
          </w:p>
          <w:p>
            <w:pPr>
              <w:spacing w:after="60"/>
              <w:ind w:left="360" w:hanging="259"/>
              <w:jc w:val="both"/>
            </w:pPr>
            <w:r>
              <w:rPr>
                <w:b w:val="0"/>
              </w:rPr>
              <w:t xml:space="preserve">•  </w:t>
            </w:r>
            <w:r>
              <w:rPr>
                <w:b w:val="0"/>
              </w:rPr>
              <w:t>Basic infrastructure facilities will be improved, and facilities for safe and clean drinking water will be provided.</w:t>
            </w:r>
          </w:p>
          <w:p>
            <w:pPr>
              <w:spacing w:after="60"/>
              <w:ind w:left="360" w:hanging="259"/>
              <w:jc w:val="both"/>
            </w:pPr>
            <w:r>
              <w:rPr>
                <w:b w:val="0"/>
              </w:rPr>
              <w:t xml:space="preserve">•  </w:t>
            </w:r>
            <w:r>
              <w:rPr>
                <w:b w:val="0"/>
              </w:rPr>
              <w:t>A request will be submitted for the appointment of permanent teachers, and more co-curricular activities will be organized in Ashram schools.</w:t>
            </w:r>
          </w:p>
          <w:p>
            <w:pPr>
              <w:spacing w:after="60"/>
              <w:ind w:left="360" w:hanging="259"/>
              <w:jc w:val="both"/>
            </w:pPr>
            <w:r>
              <w:rPr>
                <w:b w:val="0"/>
              </w:rPr>
              <w:t xml:space="preserve">•  </w:t>
            </w:r>
            <w:r>
              <w:rPr>
                <w:b w:val="0"/>
              </w:rPr>
              <w:t>Appropriate training programmes and workshops will be organized for teachers, and various programmes will be designed and implemented to improve students' academic achievement.</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Chamarajanagar's study on the educational status of Ashram schools documents a comprehensive review of residential schools that serve tribal communities in the district. The study covered all Ashram schools of the district, with students, teachers, headmasters and parents or community members as respondents. Senior lecturers, lecturers and investigators administered separate questionnaires during school visits, examining infrastructure, academic and co-curricular activities, teachers' qualifications and training, students' achievement and development, and educational management.</w:t>
            </w:r>
          </w:p>
          <w:p>
            <w:pPr>
              <w:spacing w:after="60"/>
              <w:jc w:val="both"/>
            </w:pPr>
            <w:r>
              <w:rPr>
                <w:b w:val="0"/>
              </w:rPr>
              <w:t>The study identified a clear strength: residential facilities and the quality of food were good. This is important, as residential care and nutrition are the foundation of Ashram schooling for children from remote communities. The district-wide coverage of every Ashram school also makes this study a complete baseline for planning.</w:t>
            </w:r>
          </w:p>
          <w:p>
            <w:pPr>
              <w:spacing w:after="60"/>
              <w:jc w:val="both"/>
            </w:pPr>
            <w:r>
              <w:rPr>
                <w:b w:val="0"/>
              </w:rPr>
              <w:t>The practice of a full-coverage review of Ashram schools by DIET faculty is sustainable because it can be repeated periodically using the same tools. It is replicable in other districts with Ashram or residential tribal schools. It is scalable through coordination with the departments that manage these schools. It is monitorable through indicators of infrastructure, teacher qualifications, co-curricular participation and academic achievement. Building on the good residential and food facilities, the study proposes improving infrastructure and safe drinking water, requesting permanent teachers, organising more co-curricular activities and teacher training, and designing programmes to raise academic achievement, which lagged in most schools.</w:t>
            </w:r>
          </w:p>
        </w:tc>
      </w:tr>
    </w:tbl>
    <w:p>
      <w:pPr>
        <w:spacing w:after="120" w:before="160"/>
      </w:pPr>
      <w:r>
        <w:rPr>
          <w:b/>
          <w:i w:val="0"/>
          <w:sz w:val="24"/>
          <w:u w:val="none"/>
        </w:rPr>
        <w:t>References</w:t>
      </w:r>
    </w:p>
    <w:p>
      <w:pPr>
        <w:spacing w:after="60" w:before="0"/>
        <w:ind w:left="576" w:hanging="576"/>
        <w:jc w:val="both"/>
      </w:pPr>
      <w:r>
        <w:rPr>
          <w:b w:val="0"/>
          <w:i w:val="0"/>
          <w:u w:val="none"/>
        </w:rPr>
        <w:t>DIET Chamarajanagar (2025-26). A Study on Educational Status of Ashram Schools in Chamarajanagar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31</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Chamarajanagar</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Physical education, sports and fitness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Chamarajanagar's study “A Study on the Utilisation of Sports Facilities Provided to Selected Government High Schools of Chamarajanagar District (2024-25)” (2024-25). Delay in release of sports grants (reported by fifty per cent of headteachers, seventy per cent of PE teachers); forty-seven per cent of students report equipment shortage, thirty-three per cent no playground; partial SDMC awareness.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Daily sports for all; timely grants; fill vacant PE posts; develop playgrounds with local support; inform SDMCs.</w:t>
            </w:r>
          </w:p>
          <w:p>
            <w:pPr>
              <w:spacing w:after="60"/>
              <w:ind w:left="360" w:hanging="259"/>
              <w:jc w:val="both"/>
            </w:pPr>
            <w:r>
              <w:rPr>
                <w:b w:val="0"/>
              </w:rPr>
              <w:t xml:space="preserve">•  </w:t>
            </w:r>
            <w:r>
              <w:rPr>
                <w:b w:val="0"/>
              </w:rPr>
              <w:t>Headteachers should create an environment in which all students take part in sports activities every day.</w:t>
            </w:r>
          </w:p>
          <w:p>
            <w:pPr>
              <w:spacing w:after="60"/>
              <w:ind w:left="360" w:hanging="259"/>
              <w:jc w:val="both"/>
            </w:pPr>
            <w:r>
              <w:rPr>
                <w:b w:val="0"/>
              </w:rPr>
              <w:t xml:space="preserve">•  </w:t>
            </w:r>
            <w:r>
              <w:rPr>
                <w:b w:val="0"/>
              </w:rPr>
              <w:t>Physical education teachers should begin coaching from the start of the school year and distribute equipment to all students, maintaining stock and distribution registers.</w:t>
            </w:r>
          </w:p>
          <w:p>
            <w:pPr>
              <w:spacing w:after="60"/>
              <w:ind w:left="360" w:hanging="259"/>
              <w:jc w:val="both"/>
            </w:pPr>
            <w:r>
              <w:rPr>
                <w:b w:val="0"/>
              </w:rPr>
              <w:t xml:space="preserve">•  </w:t>
            </w:r>
            <w:r>
              <w:rPr>
                <w:b w:val="0"/>
              </w:rPr>
              <w:t>Grants should be released on time, and vacant physical education teacher posts should be filled.</w:t>
            </w:r>
          </w:p>
          <w:p>
            <w:pPr>
              <w:spacing w:after="60"/>
              <w:ind w:left="360" w:hanging="259"/>
              <w:jc w:val="both"/>
            </w:pPr>
            <w:r>
              <w:rPr>
                <w:b w:val="0"/>
              </w:rPr>
              <w:t xml:space="preserve">•  </w:t>
            </w:r>
            <w:r>
              <w:rPr>
                <w:b w:val="0"/>
              </w:rPr>
              <w:t>Playgrounds and courts for Kho-Kho, throwball, volleyball and similar games should be developed with the help of the Gram Panchayat, local bodies, alumni and the Department.</w:t>
            </w:r>
          </w:p>
          <w:p>
            <w:pPr>
              <w:spacing w:after="60"/>
              <w:ind w:left="360" w:hanging="259"/>
              <w:jc w:val="both"/>
            </w:pPr>
            <w:r>
              <w:rPr>
                <w:b w:val="0"/>
              </w:rPr>
              <w:t xml:space="preserve">•  </w:t>
            </w:r>
            <w:r>
              <w:rPr>
                <w:b w:val="0"/>
              </w:rPr>
              <w:t>Headteachers should inform SDMCs about the grant, its use and accounts, and SDMCs should visit schools regularly and support students' sports achievement.</w:t>
            </w:r>
          </w:p>
          <w:p>
            <w:pPr>
              <w:spacing w:after="60"/>
              <w:ind w:left="360" w:hanging="259"/>
              <w:jc w:val="both"/>
            </w:pPr>
            <w:r>
              <w:rPr>
                <w:b w:val="0"/>
              </w:rPr>
              <w:t xml:space="preserve">•  </w:t>
            </w:r>
            <w:r>
              <w:rPr>
                <w:b w:val="0"/>
              </w:rPr>
              <w:t>Professional coaching, exposure to competitions and guidance from accomplished sportspersons should be arranged for talented students.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Chamarajanagar's study on the use of sports facilities in government high schools documents the benefits of sports grants and how to make them more effective. The study sampled 10 of the 23 high schools that received the 2020-21 sports grant, across five taluks, with 10 headteachers, 10 physical education teachers, 20 SDMC presidents/members and 60 students.</w:t>
            </w:r>
          </w:p>
          <w:p>
            <w:pPr>
              <w:spacing w:after="60"/>
              <w:jc w:val="both"/>
            </w:pPr>
            <w:r>
              <w:rPr>
                <w:b w:val="0"/>
              </w:rPr>
              <w:t>The findings show clear benefits. About seventy per cent of headteachers and ninety per cent of PE teachers used the grant mainly to buy sports equipment. All headteachers had received written guidelines (seventy per cent) or training (thirty per cent) from the department. Sports activities were held daily in seventy per cent of schools, and about fifty per cent of students took part actively. Around eighty per cent of PE teachers said the grant helped students achieve well, and about ninety per cent of SDMC members felt it increased students' interest in sports.</w:t>
            </w:r>
          </w:p>
          <w:p>
            <w:pPr>
              <w:spacing w:after="60"/>
              <w:jc w:val="both"/>
            </w:pPr>
            <w:r>
              <w:rPr>
                <w:b w:val="0"/>
              </w:rPr>
              <w:t>The sports grant model is sustainable when grants are released regularly and equipment is maintained. It is replicable in every government high school. It is scalable by extending grants and daily sports periods. It is monitorable through grant use, daily activity records, student participation and competition results. The study recommends daily sports participation for all students, timely release of grants (delay was the main problem), filling vacant physical education posts, developing playgrounds with local support and better information for SDMCs. These steps would extend the benefits, interest and achievement in sports, to all students, supporting the physical education and holistic development goals of NEP 2020.</w:t>
            </w:r>
          </w:p>
        </w:tc>
      </w:tr>
    </w:tbl>
    <w:p>
      <w:pPr>
        <w:spacing w:after="120" w:before="160"/>
      </w:pPr>
      <w:r>
        <w:rPr>
          <w:b/>
          <w:i w:val="0"/>
          <w:sz w:val="24"/>
          <w:u w:val="none"/>
        </w:rPr>
        <w:t>References</w:t>
      </w:r>
    </w:p>
    <w:p>
      <w:pPr>
        <w:spacing w:after="60" w:before="0"/>
        <w:ind w:left="576" w:hanging="576"/>
        <w:jc w:val="both"/>
      </w:pPr>
      <w:r>
        <w:rPr>
          <w:b w:val="0"/>
          <w:i w:val="0"/>
          <w:u w:val="none"/>
        </w:rPr>
        <w:t>DIET Chamarajanagar (2024-25). A Study on the Utilisation of Sports Facilities Provided to Selected Government High Schools of Chamarajanagar District (2024-25).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32</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Chamarajanagar</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Subject pedagogy and teaching-learning materials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Chamarajanagar's study “Effectiveness of Teaching Learning Materials (TLMs) in Grade 8 Social Science TeachingLearning Process in Government Higher Primary Schools of Chamarajanagar District” (2024-25). Only 16.67 per cent of urban and 14.29 per cent of rural schools report adequate Social Science TLM; video and digital resources underused.</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Centralised TLM repositories at DIET and BRC; teacher training in TLM creation and digital tools including DIKSHA; funding through SDMC and grants; workshops on low-cost local materials.</w:t>
            </w:r>
          </w:p>
          <w:p>
            <w:pPr>
              <w:spacing w:after="60"/>
              <w:ind w:left="360" w:hanging="259"/>
              <w:jc w:val="both"/>
            </w:pPr>
            <w:r>
              <w:rPr>
                <w:b w:val="0"/>
              </w:rPr>
              <w:t xml:space="preserve">•  </w:t>
            </w:r>
            <w:r>
              <w:rPr>
                <w:b w:val="0"/>
              </w:rPr>
              <w:t>Implement comprehensive teacher training programs focusing on TLM creation, effective utilization, and digital tool integration including DIKSHA platform navigation Allocate adequate financial resources through SDMC and government grants to procure curriculum-appropriate teaching aids for Social Science education.</w:t>
            </w:r>
          </w:p>
          <w:p>
            <w:pPr>
              <w:spacing w:after="60"/>
              <w:ind w:left="360" w:hanging="259"/>
              <w:jc w:val="both"/>
            </w:pPr>
            <w:r>
              <w:rPr>
                <w:b w:val="0"/>
              </w:rPr>
              <w:t xml:space="preserve">•  </w:t>
            </w:r>
            <w:r>
              <w:rPr>
                <w:b w:val="0"/>
              </w:rPr>
              <w:t>Develop model TLM creation workshops encouraging teacher innovation and student participation in developing low-cost, locally relevant teaching materials Mandate inclusion of TLM procurement, maintenance.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Chamarajanagar's study on teaching-learning materials (TLMs) in Grade 8 Social Science documents the strong effect of TLMs on comprehension and the resourcefulness of teachers in creating their own. The study used a descriptive survey of 20 purposively selected government higher primary schools in urban and rural areas, with 40 students, 20 Social Science teachers and 20 head teachers.</w:t>
            </w:r>
          </w:p>
          <w:p>
            <w:pPr>
              <w:spacing w:after="60"/>
              <w:jc w:val="both"/>
            </w:pPr>
            <w:r>
              <w:rPr>
                <w:b w:val="0"/>
              </w:rPr>
              <w:t>The findings show unanimous agreement on effectiveness. One hundred per cent of teachers and students confirmed that teaching aids enhance comprehension and accelerate learning, and student engagement increased markedly with TLM use. Teachers responded to scarcity with initiative: teacher-prepared maps, charts, models and pictures dominated TLM use. Technological tools such as videos, PowerPoint presentations and e-learning resources were used in 66.67 per cent of urban and 78.57 per cent of rural schools.</w:t>
            </w:r>
          </w:p>
          <w:p>
            <w:pPr>
              <w:spacing w:after="60"/>
              <w:jc w:val="both"/>
            </w:pPr>
            <w:r>
              <w:rPr>
                <w:b w:val="0"/>
              </w:rPr>
              <w:t>The practice of teacher-made TLMs supplemented by digital tools is sustainable because it relies on low-cost materials and teachers' own skills. It is replicable in every school. It is scalable through workshops and shared repositories. It is monitorable through TLM inventories, classroom observation and student comprehension. The study recommends centralised TLM repositories at DIET and BRC levels, teacher training in TLM creation and digital tool integration including the DIKSHA platform, adequate funding through SDMC and government grants, and workshops for developing low-cost, locally relevant teaching materials. These measures would address the scarcity reported by most schools while building on teachers' demonstrated initiative.</w:t>
            </w:r>
          </w:p>
        </w:tc>
      </w:tr>
    </w:tbl>
    <w:p>
      <w:pPr>
        <w:spacing w:after="120" w:before="160"/>
      </w:pPr>
      <w:r>
        <w:rPr>
          <w:b/>
          <w:i w:val="0"/>
          <w:sz w:val="24"/>
          <w:u w:val="none"/>
        </w:rPr>
        <w:t>References</w:t>
      </w:r>
    </w:p>
    <w:p>
      <w:pPr>
        <w:spacing w:after="60" w:before="0"/>
        <w:ind w:left="576" w:hanging="576"/>
        <w:jc w:val="both"/>
      </w:pPr>
      <w:r>
        <w:rPr>
          <w:b w:val="0"/>
          <w:i w:val="0"/>
          <w:u w:val="none"/>
        </w:rPr>
        <w:t>DIET Chamarajanagar (2024-25). Effectiveness of Teaching Learning Materials (TLMs) in Grade 8 Social Science TeachingLearning Process in Government Higher Primary Schools of Chamarajanagar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33</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Chamarajanagar</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School quality, leadership and partnerships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Chamarajanagar's study “A Study on Best Practices in Government High Schools of Chamarajanagar District (2024-25)” (2024-25). Many head teachers do not hold or record meetings with assistant teachers or observe their lessons; weak response to Nanna Shaale Nanna Javaabdari.</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Wider dissemination of identified best practices; strengthen headteacher academic supervision.</w:t>
            </w:r>
          </w:p>
          <w:p>
            <w:pPr>
              <w:spacing w:after="60"/>
              <w:ind w:left="360" w:hanging="259"/>
              <w:jc w:val="both"/>
            </w:pPr>
            <w:r>
              <w:rPr>
                <w:b w:val="0"/>
              </w:rPr>
              <w:t xml:space="preserve">•  </w:t>
            </w:r>
            <w:r>
              <w:rPr>
                <w:b w:val="0"/>
              </w:rPr>
              <w:t>Suggestions, guidance and conclusions for improving the ground situation are recorded on the basis of the study's observations, to enable wider adoption of the identified best practices.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Chamarajanagar's study on best practices in government high schools is itself a practice worth adopting: systematically documenting what works in local schools so that it can be spread. The study, undertaken under the guidance of the Deputy Director (Development) and a Senior Lecturer of the DIET, used a survey and case-study method in 20 government high schools, collecting data through questionnaires to students, teachers, headmasters and parents and interaction with head teachers.</w:t>
            </w:r>
          </w:p>
          <w:p>
            <w:pPr>
              <w:spacing w:after="60"/>
              <w:jc w:val="both"/>
            </w:pPr>
            <w:r>
              <w:rPr>
                <w:b w:val="0"/>
              </w:rPr>
              <w:t>The study identified several good practices followed in most schools: prayer session activities, mid-day meal management, food quality, classroom management and the conduct of SDMC meetings. Most schools also conducted special morning classes. These practices touch every part of school life, routines, nutrition, classroom order and community governance, and show that many government high schools already run well-organised daily systems.</w:t>
            </w:r>
          </w:p>
          <w:p>
            <w:pPr>
              <w:spacing w:after="60"/>
              <w:jc w:val="both"/>
            </w:pPr>
            <w:r>
              <w:rPr>
                <w:b w:val="0"/>
              </w:rPr>
              <w:t>Documenting best practices is sustainable because it uses DIET faculty visits that can be repeated each year. It is replicable in every district. It is scalable by sharing documented practices through cluster and block meetings. It is monitorable through simple checks on whether practices such as special morning classes and regular SDMC meetings are followed. The study also identified practices to strengthen: head teachers' meetings with assistant teachers, record-keeping, regular observation of lessons with guidance, and stronger response to the Nanna Shaale Nanna Javaabdari (My School, My Responsibility) programme. It records suggestions and guidance for wider adoption of the identified best practices.</w:t>
            </w:r>
          </w:p>
        </w:tc>
      </w:tr>
    </w:tbl>
    <w:p>
      <w:pPr>
        <w:spacing w:after="120" w:before="160"/>
      </w:pPr>
      <w:r>
        <w:rPr>
          <w:b/>
          <w:i w:val="0"/>
          <w:sz w:val="24"/>
          <w:u w:val="none"/>
        </w:rPr>
        <w:t>References</w:t>
      </w:r>
    </w:p>
    <w:p>
      <w:pPr>
        <w:spacing w:after="60" w:before="0"/>
        <w:ind w:left="576" w:hanging="576"/>
        <w:jc w:val="both"/>
      </w:pPr>
      <w:r>
        <w:rPr>
          <w:b w:val="0"/>
          <w:i w:val="0"/>
          <w:u w:val="none"/>
        </w:rPr>
        <w:t>DIET Chamarajanagar (2024-25). A Study on Best Practices in Government High Schools of Chamarajanagar District (2024-25).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34</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Chikkaballapur</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Sambhrama Shanivara (bag-less day)</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Chikkaballapur's study “Evaluation of Sambhrama Saturday Program Implementation in Government Schools of Chikkaballapur District” (2024-25). Implementation of Sambhrama Saturday varies considerably across schools depending on resources, teacher motivation and administrative support.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Adequate resources, teacher capacity and administrative support alongside policy directives.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Chikkaballapur's evaluation of the Sambhrama Saturday programme documents a State initiative that brings value education and multifaceted personality development into the school week. The programme dedicates Saturdays to activities such as yoga, meditation, cultural programmes, debates, quizzes, nature walks, cleanliness drives, skill workshops and community service, aiming to reduce academic and physical stress and make learning joyful. The study used a survey-cum-evaluative design with schools purposively selected from urban, rural and semi-urban areas across taluks (Grades 6–10). Data came from school visits, direct observation of Saturday activities, questionnaires for students, teachers, headmasters and administrative officers, interviews and document analysis.</w:t>
            </w:r>
          </w:p>
          <w:p>
            <w:pPr>
              <w:spacing w:after="60"/>
              <w:jc w:val="both"/>
            </w:pPr>
            <w:r>
              <w:rPr>
                <w:b w:val="0"/>
              </w:rPr>
              <w:t>The evaluation revealed an overall positive reception and impact of the programme. By observing activities directly rather than relying only on reports, the study gives credible evidence that the programme can complement academic education with holistic development, ethical values, healthy environments, positive behaviour, civic consciousness and stress reduction.</w:t>
            </w:r>
          </w:p>
          <w:p>
            <w:pPr>
              <w:spacing w:after="60"/>
              <w:jc w:val="both"/>
            </w:pPr>
            <w:r>
              <w:rPr>
                <w:b w:val="0"/>
              </w:rPr>
              <w:t>The practice is sustainable because it is built into the school calendar by State directive and relies on low-cost activities. It is replicable in every school and is already statewide. It is scalable through teacher capacity building and administrative support, which the study found to be decisive. It is monitorable through direct observation of Saturday activities and documentation of student participation, as this study did. The study's central lesson is that policy directives alone are insufficient: adequate resources, teacher capacity and administrative support are needed to bring every school up to the level of the best implementers and to sustain the programme's benefits for students' holistic development.</w:t>
            </w:r>
          </w:p>
        </w:tc>
      </w:tr>
    </w:tbl>
    <w:p>
      <w:pPr>
        <w:spacing w:after="120" w:before="160"/>
      </w:pPr>
      <w:r>
        <w:rPr>
          <w:b/>
          <w:i w:val="0"/>
          <w:sz w:val="24"/>
          <w:u w:val="none"/>
        </w:rPr>
        <w:t>References</w:t>
      </w:r>
    </w:p>
    <w:p>
      <w:pPr>
        <w:spacing w:after="60" w:before="0"/>
        <w:ind w:left="576" w:hanging="576"/>
        <w:jc w:val="both"/>
      </w:pPr>
      <w:r>
        <w:rPr>
          <w:b w:val="0"/>
          <w:i w:val="0"/>
          <w:u w:val="none"/>
        </w:rPr>
        <w:t>DIET Chikkaballapur (2024-25). Evaluation of Sambhrama Saturday Program Implementation in Government Schools of Chikkaballapur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35</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Chikkaballapur</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Teachers' creation and use of digital resources (e-content)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Chikkaballapur's study “Effectiveness of Internet-Based Learning and Digital Education in Government Schools of Chikkaballapur District” (2024-25). Significant disparities in digital infrastructure, teacher capability and implementation; teacher digital competence is a critical bottleneck; unequal access may widen inequalities.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Systematic capacity building in teacher digital competence; equitable access to devices, internet and quality content.</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Chikkaballapur's study on internet-based learning and digital education in government upper primary and high schools provides a district-wide picture of how the State's digital investments, computer laboratories, connectivity, tablets, digital content and teacher training, are being used. The study used a mixed-methods approach with stratified random sampling to represent different socio-economic contexts, urban and rural locations and levels of infrastructure. Data came from questionnaires for teachers, students and administrators, observation checklists on digital infrastructure and classroom integration, and interviews.</w:t>
            </w:r>
          </w:p>
          <w:p>
            <w:pPr>
              <w:spacing w:after="60"/>
              <w:jc w:val="both"/>
            </w:pPr>
            <w:r>
              <w:rPr>
                <w:b w:val="0"/>
              </w:rPr>
              <w:t>The study's main contribution is a clear diagnosis of what makes digital education effective. It found considerable untapped potential, and it established that the provision of infrastructure alone does not transform teaching and learning: teacher digital competence is the critical factor. This evidence redirects attention from hardware to people, a lesson relevant to every district.</w:t>
            </w:r>
          </w:p>
          <w:p>
            <w:pPr>
              <w:spacing w:after="60"/>
              <w:jc w:val="both"/>
            </w:pPr>
            <w:r>
              <w:rPr>
                <w:b w:val="0"/>
              </w:rPr>
              <w:t>The practice of diagnosing digital readiness through combined infrastructure audits and teacher competence assessments is sustainable because it uses simple observation checklists and questionnaires that DIETs can repeat. It is replicable in every district. It is scalable as a basis for planning digital training programmes. It is monitorable through indicators of infrastructure, teacher competence, classroom integration and student access. The study warns that unequal access to devices, internet and quality content may widen educational inequalities unless systematic capacity building is undertaken. Its recommendations, sustained development of teacher digital competence and equitable access, offer a practical framework for ensuring that the State's digital investments translate into better learning for all students.</w:t>
            </w:r>
          </w:p>
        </w:tc>
      </w:tr>
    </w:tbl>
    <w:p>
      <w:pPr>
        <w:spacing w:after="120" w:before="160"/>
      </w:pPr>
      <w:r>
        <w:rPr>
          <w:b/>
          <w:i w:val="0"/>
          <w:sz w:val="24"/>
          <w:u w:val="none"/>
        </w:rPr>
        <w:t>References</w:t>
      </w:r>
    </w:p>
    <w:p>
      <w:pPr>
        <w:spacing w:after="60" w:before="0"/>
        <w:ind w:left="576" w:hanging="576"/>
        <w:jc w:val="both"/>
      </w:pPr>
      <w:r>
        <w:rPr>
          <w:b w:val="0"/>
          <w:i w:val="0"/>
          <w:u w:val="none"/>
        </w:rPr>
        <w:t>DIET Chikkaballapur (2024-25). Effectiveness of Internet-Based Learning and Digital Education in Government Schools of Chikkaballapur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36</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Chikkaballapur</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Gender equality and girls' education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Chikkaballapur's study “Gender Equality in Education in Government High Schools of Chikkaballapur District” (2024-25). Female retention declines in higher grades; teachers' attitudes and unconscious biases reinforce traditional gender roles; poverty, cultural norms and inadequate infrastructure create vulnerabilities for rural girls.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Gender-sensitive teacher training and classroom practice; gender-sensitive infrastructure and safety measures.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Chikkaballapur's study on gender equality in government high schools documents both the progress made and the work remaining in ensuring equal education for girls. The study used a descriptive survey with multi-stage sampling of schools from urban, rural and semi-urban areas. Participants included boys and girls of Grades 8–10, male and female teachers, headmasters and parents, with separate questionnaires on enrolment, attendance, achievement, infrastructure, safety and gender-sensitive practices.</w:t>
            </w:r>
          </w:p>
          <w:p>
            <w:pPr>
              <w:spacing w:after="60"/>
              <w:jc w:val="both"/>
            </w:pPr>
            <w:r>
              <w:rPr>
                <w:b w:val="0"/>
              </w:rPr>
              <w:t>The study found that considerable progress has been made towards enrolment parity between boys and girls in government high schools, an achievement of sustained State effort through schemes and community awareness. It also produced a detailed picture of what affects girls' education: retention in higher grades, teachers' attitudes and practices, gender-sensitive infrastructure and safety, and the intersection of poverty and cultural norms, particularly in rural areas.</w:t>
            </w:r>
          </w:p>
          <w:p>
            <w:pPr>
              <w:spacing w:after="60"/>
              <w:jc w:val="both"/>
            </w:pPr>
            <w:r>
              <w:rPr>
                <w:b w:val="0"/>
              </w:rPr>
              <w:t>The practice of a systematic gender audit of high schools is sustainable because it uses school records and questionnaires that DIETs can repeat periodically. It is replicable in every district. It is scalable as a basis for gender-sensitive teacher training. It is monitorable through gender-wise enrolment, retention, attendance and achievement data, and through checks on gender-sensitive infrastructure and safety measures. The findings carry implications for classroom practice and teacher training: building teachers' awareness of unconscious bias, strengthening gender-sensitive infrastructure and safety, and focusing support on retaining girls in higher grades, especially in rural areas, would consolidate the gains in enrolment parity.</w:t>
            </w:r>
          </w:p>
        </w:tc>
      </w:tr>
    </w:tbl>
    <w:p>
      <w:pPr>
        <w:spacing w:after="120" w:before="160"/>
      </w:pPr>
      <w:r>
        <w:rPr>
          <w:b/>
          <w:i w:val="0"/>
          <w:sz w:val="24"/>
          <w:u w:val="none"/>
        </w:rPr>
        <w:t>References</w:t>
      </w:r>
    </w:p>
    <w:p>
      <w:pPr>
        <w:spacing w:after="60" w:before="0"/>
        <w:ind w:left="576" w:hanging="576"/>
        <w:jc w:val="both"/>
      </w:pPr>
      <w:r>
        <w:rPr>
          <w:b w:val="0"/>
          <w:i w:val="0"/>
          <w:u w:val="none"/>
        </w:rPr>
        <w:t>DIET Chikkaballapur (2024-25). Gender Equality in Education in Government High Schools of Chikkaballapur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37</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Chikkaballapur</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Effectiveness of academic monitoring and cluster support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Chikkaballapur's study “Reality of School Visit, Feedback and Compliance Process of Cluster Resource Persons in Chikkaballapur District” (2024-25). Heavy workloads and non-academic duties constrain CRPs' instructional role; weak cluster resource centres; limited time for observation and inadequate follow-up.</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Strengthen grassroots supervision and teacher support; protect CRPs' academic time; improve cluster resource centres.</w:t>
            </w:r>
          </w:p>
          <w:p>
            <w:pPr>
              <w:spacing w:after="60"/>
              <w:ind w:left="360" w:hanging="259"/>
              <w:jc w:val="both"/>
            </w:pPr>
            <w:r>
              <w:rPr>
                <w:b w:val="0"/>
              </w:rPr>
              <w:t xml:space="preserve">•  </w:t>
            </w:r>
            <w:r>
              <w:rPr>
                <w:b w:val="0"/>
              </w:rPr>
              <w:t>Infrastructure deficiencies at cluster resource centers undermine their potential as hubs for professional development and academic excellence.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Chikkaballapur's study on school visits, feedback and compliance by Cluster Resource Persons (CRPs) is a thorough, district-wide review of grassroots academic supervision. CRPs, established under DPEP in 1994, are responsible for school visits, classroom observation, pedagogical support and feedback. The study covered all six educational taluks, selecting one school from each of the 58 clusters by stratified random sampling, with 186 respondents, 58 CRPs, 58 headmasters, 58 SDMC members and 12 administrative officers, using separate questionnaires for each group.</w:t>
            </w:r>
          </w:p>
          <w:p>
            <w:pPr>
              <w:spacing w:after="60"/>
              <w:jc w:val="both"/>
            </w:pPr>
            <w:r>
              <w:rPr>
                <w:b w:val="0"/>
              </w:rPr>
              <w:t>The full-coverage design is itself a best practice: by including every cluster and hearing from CRPs, headmasters, SDMC members and officers, the study gives a complete and balanced picture of how supervision works on the ground. It identified significant variations in CRP performance across clusters and taluks, showing that strong models exist within the district alongside weaker ones.</w:t>
            </w:r>
          </w:p>
          <w:p>
            <w:pPr>
              <w:spacing w:after="60"/>
              <w:jc w:val="both"/>
            </w:pPr>
            <w:r>
              <w:rPr>
                <w:b w:val="0"/>
              </w:rPr>
              <w:t>The practice of auditing cluster-level supervision is sustainable because it uses the existing CRP network and can be repeated periodically. It is replicable in every district. It is scalable as a basis for redesigning CRP roles and training. It is monitorable through visit records, feedback provided, compliance follow-up and stakeholder views. The study found that heavy workloads and non-academic responsibilities constrained CRPs' instructional leadership, infrastructure deficiencies weakened cluster resource centres, and limited time for observation and follow-up led to superficial interventions. Addressing these, protecting CRPs' academic time and strengthening cluster centres, would allow the best-performing clusters' practices to spread across the district.</w:t>
            </w:r>
          </w:p>
        </w:tc>
      </w:tr>
    </w:tbl>
    <w:p>
      <w:pPr>
        <w:spacing w:after="120" w:before="160"/>
      </w:pPr>
      <w:r>
        <w:rPr>
          <w:b/>
          <w:i w:val="0"/>
          <w:sz w:val="24"/>
          <w:u w:val="none"/>
        </w:rPr>
        <w:t>References</w:t>
      </w:r>
    </w:p>
    <w:p>
      <w:pPr>
        <w:spacing w:after="60" w:before="0"/>
        <w:ind w:left="576" w:hanging="576"/>
        <w:jc w:val="both"/>
      </w:pPr>
      <w:r>
        <w:rPr>
          <w:b w:val="0"/>
          <w:i w:val="0"/>
          <w:u w:val="none"/>
        </w:rPr>
        <w:t>DIET Chikkaballapur (2024-25). Reality of School Visit, Feedback and Compliance Process of Cluster Resource Persons in Chikkaballapur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38</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Chikkamagaluru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Sambhrama Shanivara (bag-less day)</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Chikkamagaluru's study “A Study on the Effect of the Implementation of the 'Sambhrama Shanivara' Programme on the Learning of Primary School Students in Chikkamagaluru Taluk” (2024-25). Teachers need to prepare activity plans in advance and support hesitant children.</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Advance activity plans; explain concepts; maximise creativity and free expression; build confidence of shy children; keep session records; similar activities in other free periods.</w:t>
            </w:r>
          </w:p>
          <w:p>
            <w:pPr>
              <w:spacing w:after="60"/>
              <w:ind w:left="360" w:hanging="259"/>
              <w:jc w:val="both"/>
            </w:pPr>
            <w:r>
              <w:rPr>
                <w:b w:val="0"/>
              </w:rPr>
              <w:t xml:space="preserve">•  </w:t>
            </w:r>
            <w:r>
              <w:rPr>
                <w:b w:val="0"/>
              </w:rPr>
              <w:t>Teachers should prepare the related activity plan in advance for every Sambhrama Shanivara session and clarify the underlying concept to students.</w:t>
            </w:r>
          </w:p>
          <w:p>
            <w:pPr>
              <w:spacing w:after="60"/>
              <w:ind w:left="360" w:hanging="259"/>
              <w:jc w:val="both"/>
            </w:pPr>
            <w:r>
              <w:rPr>
                <w:b w:val="0"/>
              </w:rPr>
              <w:t xml:space="preserve">•  </w:t>
            </w:r>
            <w:r>
              <w:rPr>
                <w:b w:val="0"/>
              </w:rPr>
              <w:t>Children's creativity and free expression should be given maximum opportunity during activities.</w:t>
            </w:r>
          </w:p>
          <w:p>
            <w:pPr>
              <w:spacing w:after="60"/>
              <w:ind w:left="360" w:hanging="259"/>
              <w:jc w:val="both"/>
            </w:pPr>
            <w:r>
              <w:rPr>
                <w:b w:val="0"/>
              </w:rPr>
              <w:t xml:space="preserve">•  </w:t>
            </w:r>
            <w:r>
              <w:rPr>
                <w:b w:val="0"/>
              </w:rPr>
              <w:t>Teachers should build confidence in hesitant or shy children and encourage their participation, while safeguarding children's rights.</w:t>
            </w:r>
          </w:p>
          <w:p>
            <w:pPr>
              <w:spacing w:after="60"/>
              <w:ind w:left="360" w:hanging="259"/>
              <w:jc w:val="both"/>
            </w:pPr>
            <w:r>
              <w:rPr>
                <w:b w:val="0"/>
              </w:rPr>
              <w:t xml:space="preserve">•  </w:t>
            </w:r>
            <w:r>
              <w:rPr>
                <w:b w:val="0"/>
              </w:rPr>
              <w:t>Records/reports of each Sambhrama Shanivara session held in schools should be maintained.</w:t>
            </w:r>
          </w:p>
          <w:p>
            <w:pPr>
              <w:spacing w:after="60"/>
              <w:ind w:left="360" w:hanging="259"/>
              <w:jc w:val="both"/>
            </w:pPr>
            <w:r>
              <w:rPr>
                <w:b w:val="0"/>
              </w:rPr>
              <w:t xml:space="preserve">•  </w:t>
            </w:r>
            <w:r>
              <w:rPr>
                <w:b w:val="0"/>
              </w:rPr>
              <w:t>Similar activities may also be organised during other free periods in the school calendar.</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Chikkamagaluru's study on the Sambhrama Shanivara (Joyful Saturday) programme in primary schools of Chikkamagaluru taluk documents how a bag-free Saturday each month is building children's civic sense, life skills and values. The programme is supported by activity books and a teacher handbook brought out by DSERT. The study used a survey with structured Google Forms questionnaires administered to head teachers and co-teachers of 27 clusters, with support from BRPs and CRPs.</w:t>
            </w:r>
          </w:p>
          <w:p>
            <w:pPr>
              <w:spacing w:after="60"/>
              <w:jc w:val="both"/>
            </w:pPr>
            <w:r>
              <w:rPr>
                <w:b w:val="0"/>
              </w:rPr>
              <w:t>The findings are positive. The programme engages children in multi-faceted activities without the burden of books, notebooks or bags. Teachers reported that the activities foster civic sense, social-emotional skills and ethical values, and student participation and engagement were found to be good. The use of DSERT activity books and the teacher handbook provides structure and consistency across schools.</w:t>
            </w:r>
          </w:p>
          <w:p>
            <w:pPr>
              <w:spacing w:after="60"/>
              <w:jc w:val="both"/>
            </w:pPr>
            <w:r>
              <w:rPr>
                <w:b w:val="0"/>
              </w:rPr>
              <w:t>The practice is sustainable because it is built into the school calendar and supported by DSERT materials that can be reused. It is replicable in every primary school and is already statewide. It is scalable, and the study suggests extending similar activities to other free periods in the school calendar. It is monitorable through records of each session, which the study recommends maintaining, and through cluster-level reporting via BRPs and CRPs, as used in this study. The study recommends that teachers prepare activity plans in advance and explain the underlying concept to students, give maximum opportunity for children's creativity and free expression, build the confidence of hesitant or shy children while safeguarding their rights, and maintain records of each session, simple steps that make each Joyful Saturday purposeful.</w:t>
            </w:r>
          </w:p>
        </w:tc>
      </w:tr>
    </w:tbl>
    <w:p>
      <w:pPr>
        <w:spacing w:after="120" w:before="160"/>
      </w:pPr>
      <w:r>
        <w:rPr>
          <w:b/>
          <w:i w:val="0"/>
          <w:sz w:val="24"/>
          <w:u w:val="none"/>
        </w:rPr>
        <w:t>References</w:t>
      </w:r>
    </w:p>
    <w:p>
      <w:pPr>
        <w:spacing w:after="60" w:before="0"/>
        <w:ind w:left="576" w:hanging="576"/>
        <w:jc w:val="both"/>
      </w:pPr>
      <w:r>
        <w:rPr>
          <w:b w:val="0"/>
          <w:i w:val="0"/>
          <w:u w:val="none"/>
        </w:rPr>
        <w:t>DIET Chikkamagaluru (2024-25). A Study on the Effect of the Implementation of the 'Sambhrama Shanivara' Programme on the Learning of Primary School Students in Chikkamagaluru Taluk.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39</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Chikkamagaluru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Use of ICT labs, TALP and smart classes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Chikkamagaluru's study “A Study on the Implementation of the TALP (Technology Assisted Learning Programme) in KPS Pre-Primary Schools of Chikkamagaluru District” (2024-25). Internet and electricity problems in the Malnad region; non-teaching work; need for face-to-face and inclusive education training.</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Face-to-face training; more inclusive education training; address internet and power in Malnad; relief from non-teaching work; recognise innovative teachers; extend to all pre-primary schools.</w:t>
            </w:r>
          </w:p>
          <w:p>
            <w:pPr>
              <w:spacing w:after="60"/>
              <w:ind w:left="360" w:hanging="259"/>
              <w:jc w:val="both"/>
            </w:pPr>
            <w:r>
              <w:rPr>
                <w:b w:val="0"/>
              </w:rPr>
              <w:t xml:space="preserve">•  </w:t>
            </w:r>
            <w:r>
              <w:rPr>
                <w:b w:val="0"/>
              </w:rPr>
              <w:t>Trainings of this kind, if delivered face-to-face, could be implemented more effectively in schools.</w:t>
            </w:r>
          </w:p>
          <w:p>
            <w:pPr>
              <w:spacing w:after="60"/>
              <w:ind w:left="360" w:hanging="259"/>
              <w:jc w:val="both"/>
            </w:pPr>
            <w:r>
              <w:rPr>
                <w:b w:val="0"/>
              </w:rPr>
              <w:t xml:space="preserve">•  </w:t>
            </w:r>
            <w:r>
              <w:rPr>
                <w:b w:val="0"/>
              </w:rPr>
              <w:t>Programmes involving only students are easy to implement, but this programme requires parents to be involved while children carry out activities, which is difficult; the department should consider this.</w:t>
            </w:r>
          </w:p>
          <w:p>
            <w:pPr>
              <w:spacing w:after="60"/>
              <w:ind w:left="360" w:hanging="259"/>
              <w:jc w:val="both"/>
            </w:pPr>
            <w:r>
              <w:rPr>
                <w:b w:val="0"/>
              </w:rPr>
              <w:t xml:space="preserve">•  </w:t>
            </w:r>
            <w:r>
              <w:rPr>
                <w:b w:val="0"/>
              </w:rPr>
              <w:t>More training on the programme for teachers and headmasters is desirable.</w:t>
            </w:r>
          </w:p>
          <w:p>
            <w:pPr>
              <w:spacing w:after="60"/>
              <w:ind w:left="360" w:hanging="259"/>
              <w:jc w:val="both"/>
            </w:pPr>
            <w:r>
              <w:rPr>
                <w:b w:val="0"/>
              </w:rPr>
              <w:t xml:space="preserve">•  </w:t>
            </w:r>
            <w:r>
              <w:rPr>
                <w:b w:val="0"/>
              </w:rPr>
              <w:t>Teachers need more training in inclusive education and more information on facilitating learning for children with learning difficulties; the department should organise such training.</w:t>
            </w:r>
          </w:p>
          <w:p>
            <w:pPr>
              <w:spacing w:after="60"/>
              <w:ind w:left="360" w:hanging="259"/>
              <w:jc w:val="both"/>
            </w:pPr>
            <w:r>
              <w:rPr>
                <w:b w:val="0"/>
              </w:rPr>
              <w:t xml:space="preserve">•  </w:t>
            </w:r>
            <w:r>
              <w:rPr>
                <w:b w:val="0"/>
              </w:rPr>
              <w:t>Teachers who adopt good practices and innovative activities should be identified and given platforms for encouragement by the department.</w:t>
            </w:r>
          </w:p>
          <w:p>
            <w:pPr>
              <w:spacing w:after="60"/>
              <w:ind w:left="360" w:hanging="259"/>
              <w:jc w:val="both"/>
            </w:pPr>
            <w:r>
              <w:rPr>
                <w:b w:val="0"/>
              </w:rPr>
              <w:t xml:space="preserve">•  </w:t>
            </w:r>
            <w:r>
              <w:rPr>
                <w:b w:val="0"/>
              </w:rPr>
              <w:t>Headmasters and teachers find it difficult to implement training content because of various departmental programmes; participants felt that relieving them of non-teaching work would enable quality learning progress.</w:t>
            </w:r>
          </w:p>
          <w:p>
            <w:pPr>
              <w:spacing w:after="60"/>
              <w:ind w:left="360" w:hanging="259"/>
              <w:jc w:val="both"/>
            </w:pPr>
            <w:r>
              <w:rPr>
                <w:b w:val="0"/>
              </w:rPr>
              <w:t xml:space="preserve">•  </w:t>
            </w:r>
            <w:r>
              <w:rPr>
                <w:b w:val="0"/>
              </w:rPr>
              <w:t>Instead of implementing the programme/training only in KPS schools, it may be extended to all pre-primary schools.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Chikkamagaluru's study on TALP in KPS pre-primary sections documents the innovative use of technology and play-based methods in early childhood classrooms. Conducted under the PAB-approved Teacher Education Programme 2024-25, the study covered KPS pre-primary schools in all eight taluks, with 18 LKG and UKG teachers, eight headmasters and an eight-member focus group of implementing officials, using questionnaires and classroom observation.</w:t>
            </w:r>
          </w:p>
          <w:p>
            <w:pPr>
              <w:spacing w:after="60"/>
              <w:jc w:val="both"/>
            </w:pPr>
            <w:r>
              <w:rPr>
                <w:b w:val="0"/>
              </w:rPr>
              <w:t>The study documents rich practice. Teachers used diverse activities, puppets, language games, flash cards, clay models and locally available materials to support foundational literacy and numeracy. Children of migrant coffee-estate workers were first supported in their home language, a sensitive inclusive practice. Laptops, smart classes, online platforms and audio-video materials were used in classroom transactions. Parental participation was good, with parents engaging children in activities on the programme's activity cards. Trained teachers reported positive changes in teaching and classroom management, which were confirmed during lesson observation, and headmasters involved the community and observed colleagues' classes.</w:t>
            </w:r>
          </w:p>
          <w:p>
            <w:pPr>
              <w:spacing w:after="60"/>
              <w:jc w:val="both"/>
            </w:pPr>
            <w:r>
              <w:rPr>
                <w:b w:val="0"/>
              </w:rPr>
              <w:t>The practice is sustainable because it combines low-cost local materials with technology and parent engagement. It is replicable in KPS pre-primary sections across the State. It is scalable, the study recommends extending it to all pre-primary schools. It is monitorable through lesson observation, parent participation and children's progress. The study suggests face-to-face training, more training in inclusive education, measures to address internet and electricity problems in the Malnad region, relief from non-teaching work and recognition of innovative teachers.</w:t>
            </w:r>
          </w:p>
        </w:tc>
      </w:tr>
    </w:tbl>
    <w:p>
      <w:pPr>
        <w:spacing w:after="120" w:before="160"/>
      </w:pPr>
      <w:r>
        <w:rPr>
          <w:b/>
          <w:i w:val="0"/>
          <w:sz w:val="24"/>
          <w:u w:val="none"/>
        </w:rPr>
        <w:t>References</w:t>
      </w:r>
    </w:p>
    <w:p>
      <w:pPr>
        <w:spacing w:after="60" w:before="0"/>
        <w:ind w:left="576" w:hanging="576"/>
        <w:jc w:val="both"/>
      </w:pPr>
      <w:r>
        <w:rPr>
          <w:b w:val="0"/>
          <w:i w:val="0"/>
          <w:u w:val="none"/>
        </w:rPr>
        <w:t>DIET Chikkamagaluru (2024-25). A Study on the Implementation of the TALP (Technology Assisted Learning Programme) in KPS Pre-Primary Schools of Chikkamagaluru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40</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Chikkamagaluru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Effectiveness of academic monitoring and cluster support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Chikkamagaluru's study “A Study on the Implementation and Effectiveness of Instructional Supervision Processes in Government High Schools of Chikkamagaluru District” (2024-25). Only forty-five per cent of teachers receive timely, constructive feedback; supervision records incomplete in sixty-two per cent of schools; only thirty-two per cent rate feedback highly useful; rural schools face greater challenges.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Clear supervision guidelines; dedicated supervision time; structured training for head teachers in observation and feedback; digital documentation.</w:t>
            </w:r>
          </w:p>
          <w:p>
            <w:pPr>
              <w:spacing w:after="60"/>
              <w:ind w:left="360" w:hanging="259"/>
              <w:jc w:val="both"/>
            </w:pPr>
            <w:r>
              <w:rPr>
                <w:b w:val="0"/>
              </w:rPr>
              <w:t xml:space="preserve">•  </w:t>
            </w:r>
            <w:r>
              <w:rPr>
                <w:b w:val="0"/>
              </w:rPr>
              <w:t>Develop comprehensive supervision guidelines that clearly define expectations, procedures, and documentation requirements Allocate dedicated time for head teachers to conduct instructional supervision without competing administrative demands.</w:t>
            </w:r>
          </w:p>
          <w:p>
            <w:pPr>
              <w:spacing w:after="60"/>
              <w:ind w:left="360" w:hanging="259"/>
              <w:jc w:val="both"/>
            </w:pPr>
            <w:r>
              <w:rPr>
                <w:b w:val="0"/>
              </w:rPr>
              <w:t xml:space="preserve">•  </w:t>
            </w:r>
            <w:r>
              <w:rPr>
                <w:b w:val="0"/>
              </w:rPr>
              <w:t>Establish quality assurance mechanisms to monitor supervision implementation across districts.</w:t>
            </w:r>
          </w:p>
          <w:p>
            <w:pPr>
              <w:spacing w:after="60"/>
              <w:ind w:left="360" w:hanging="259"/>
              <w:jc w:val="both"/>
            </w:pPr>
            <w:r>
              <w:rPr>
                <w:b w:val="0"/>
              </w:rPr>
              <w:t xml:space="preserve">•  </w:t>
            </w:r>
            <w:r>
              <w:rPr>
                <w:b w:val="0"/>
              </w:rPr>
              <w:t>Provide structured training programs for head teachers in observation techniques, feedback delivery, and professional development planning.</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Chikkamagaluru's study on instructional supervision in government high schools provides statistical evidence that regular supervisory support leads teachers to adopt innovative teaching, a powerful case for strengthening headteacher supervision. The study used a mixed-methods descriptive survey with stratified random sampling of urban (22; thirty per cent) and rural (45; seventy per cent) schools, with 68 head teachers, teachers and students, using questionnaires, interviews and observation.</w:t>
            </w:r>
          </w:p>
          <w:p>
            <w:pPr>
              <w:spacing w:after="60"/>
              <w:jc w:val="both"/>
            </w:pPr>
            <w:r>
              <w:rPr>
                <w:b w:val="0"/>
              </w:rPr>
              <w:t>The findings show a strong base and a clear payoff. In all, 86.9 per cent of head teachers reported conducting regular classroom observations, and seventy-eight per cent of teachers acknowledged receiving some professional support. Most significantly, the study found a statistically significant correlation (p &lt; 0.05) between regular supervisory support and teachers' adoption of innovative teaching methods.</w:t>
            </w:r>
          </w:p>
          <w:p>
            <w:pPr>
              <w:spacing w:after="60"/>
              <w:jc w:val="both"/>
            </w:pPr>
            <w:r>
              <w:rPr>
                <w:b w:val="0"/>
              </w:rPr>
              <w:t>The practice of regular classroom observation with constructive feedback by head teachers is sustainable because it uses school leaders already in place. It is replicable in every school. It is scalable through structured training for head teachers in observation and feedback techniques, which head teachers themselves requested. It is monitorable through supervision records, frequency of observations and teachers' ratings of feedback usefulness. The study identified where improvement is needed, only forty-five per cent of teachers received timely, constructive feedback, records were incomplete in sixty-two per cent of schools, and only thirty-two per cent rated feedback highly useful. It recommends clear supervision guidelines, dedicated supervision time, structured training for head teachers and digital systems for documentation.</w:t>
            </w:r>
          </w:p>
        </w:tc>
      </w:tr>
    </w:tbl>
    <w:p>
      <w:pPr>
        <w:spacing w:after="120" w:before="160"/>
      </w:pPr>
      <w:r>
        <w:rPr>
          <w:b/>
          <w:i w:val="0"/>
          <w:sz w:val="24"/>
          <w:u w:val="none"/>
        </w:rPr>
        <w:t>References</w:t>
      </w:r>
    </w:p>
    <w:p>
      <w:pPr>
        <w:spacing w:after="60" w:before="0"/>
        <w:ind w:left="576" w:hanging="576"/>
        <w:jc w:val="both"/>
      </w:pPr>
      <w:r>
        <w:rPr>
          <w:b w:val="0"/>
          <w:i w:val="0"/>
          <w:u w:val="none"/>
        </w:rPr>
        <w:t>DIET Chikkamagaluru (2024-25). A Study on the Implementation and Effectiveness of Instructional Supervision Processes in Government High Schools of Chikkamagaluru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41</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Chikkamagaluru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Science laboratories, Atal Tinkering Labs and experiential science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Chikkamagaluru's study “A Study on the Interest and Competency Level of Nodal Teachers Working with StudentCreated Models in Atal Tinkering Labs of Government High Schools in Chikkamagaluru District” (2024-25). Only forty-two per cent of ATL nodal teachers confident with all equipment; fifty-eight per cent need technical training; only thirty-three per cent have dedicated ATL periods; sixty-five per cent of students want more mentorship.</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Comprehensive technical and pedagogical training; dedicated timetable slots; technical support; incentives; certification; peer learning networks for nodal teachers.</w:t>
            </w:r>
          </w:p>
          <w:p>
            <w:pPr>
              <w:spacing w:after="60"/>
              <w:ind w:left="360" w:hanging="259"/>
              <w:jc w:val="both"/>
            </w:pPr>
            <w:r>
              <w:rPr>
                <w:b w:val="0"/>
              </w:rPr>
              <w:t xml:space="preserve">•  </w:t>
            </w:r>
            <w:r>
              <w:rPr>
                <w:b w:val="0"/>
              </w:rPr>
              <w:t>Develop comprehensive training programs for ATL nodal teachers covering technical skills, pedagogy of innovation, and design thinking facilitation Allocate dedicated timetable slots for ATL activities to ensure systematic program implementation.</w:t>
            </w:r>
          </w:p>
          <w:p>
            <w:pPr>
              <w:spacing w:after="60"/>
              <w:ind w:left="360" w:hanging="259"/>
              <w:jc w:val="both"/>
            </w:pPr>
            <w:r>
              <w:rPr>
                <w:b w:val="0"/>
              </w:rPr>
              <w:t xml:space="preserve">•  </w:t>
            </w:r>
            <w:r>
              <w:rPr>
                <w:b w:val="0"/>
              </w:rPr>
              <w:t>Establish technical support mechanisms for equipment maintenance and troubleshooting.</w:t>
            </w:r>
          </w:p>
          <w:p>
            <w:pPr>
              <w:spacing w:after="60"/>
              <w:ind w:left="360" w:hanging="259"/>
              <w:jc w:val="both"/>
            </w:pPr>
            <w:r>
              <w:rPr>
                <w:b w:val="0"/>
              </w:rPr>
              <w:t xml:space="preserve">•  </w:t>
            </w:r>
            <w:r>
              <w:rPr>
                <w:b w:val="0"/>
              </w:rPr>
              <w:t>Conduct regular hands-on workshops on emerging technologies and innovation pedagogy.</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Chikkamagaluru's study on nodal teachers in Atal Tinkering Labs (ATL) documents the decisive role of teacher competence in student innovation. ATLs, launched under the Atal Innovation Mission in 2016, offer hands-on STEM experience through 3D printers, robotics kits and IoT devices. The study covered all 12 government high schools with functional labs across five blocks, with 12 nodal teachers and 120 students, using questionnaires, interviews, lab observations and documentation analysis.</w:t>
            </w:r>
          </w:p>
          <w:p>
            <w:pPr>
              <w:spacing w:after="60"/>
              <w:jc w:val="both"/>
            </w:pPr>
            <w:r>
              <w:rPr>
                <w:b w:val="0"/>
              </w:rPr>
              <w:t>The findings show strong teacher commitment and a measurable link between competence and outcomes. Seventy-five per cent of nodal teachers expressed high interest and twenty-five per cent moderate interest. Eighty-three per cent of students appreciated their teachers' guidance. Most strikingly, schools with more technically competent teachers had 3.2 times higher student participation in innovation competitions, and training hours correlated significantly with project complexity (p &lt; 0.01).</w:t>
            </w:r>
          </w:p>
          <w:p>
            <w:pPr>
              <w:spacing w:after="60"/>
              <w:jc w:val="both"/>
            </w:pPr>
            <w:r>
              <w:rPr>
                <w:b w:val="0"/>
              </w:rPr>
              <w:t>The practice of investing in nodal-teacher competence is sustainable because trained teachers continue to mentor successive student groups. It is replicable in every ATL school. It is scalable through structured training and certification. It is monitorable through teacher training hours, project complexity and student participation in competitions, the indicators the study linked statistically. The study recommends comprehensive technical and pedagogical training, dedicated timetable slots (only thirty-three per cent had ATL periods), technical support for equipment, incentives, certification programmes and peer learning networks for nodal teachers. These measures would ensure that ATL investments produce the innovation outcomes seen in schools with well-trained teachers.</w:t>
            </w:r>
          </w:p>
        </w:tc>
      </w:tr>
    </w:tbl>
    <w:p>
      <w:pPr>
        <w:spacing w:after="120" w:before="160"/>
      </w:pPr>
      <w:r>
        <w:rPr>
          <w:b/>
          <w:i w:val="0"/>
          <w:sz w:val="24"/>
          <w:u w:val="none"/>
        </w:rPr>
        <w:t>References</w:t>
      </w:r>
    </w:p>
    <w:p>
      <w:pPr>
        <w:spacing w:after="60" w:before="0"/>
        <w:ind w:left="576" w:hanging="576"/>
        <w:jc w:val="both"/>
      </w:pPr>
      <w:r>
        <w:rPr>
          <w:b w:val="0"/>
          <w:i w:val="0"/>
          <w:u w:val="none"/>
        </w:rPr>
        <w:t>DIET Chikkamagaluru (2024-25). A Study on the Interest and Competency Level of Nodal Teachers Working with StudentCreated Models in Atal Tinkering Labs of Government High Schools in Chikkamagaluru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42</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Chikkamagaluru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Subject pedagogy and teaching-learning materials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Chikkamagaluru's study “An Analytical Study on the Effective Implementation of Experiential Learning in Selected Government Schools of Tarikere Taluk, Chikkamagaluru District” (2024-25). Experiential learning needs strengthened monitoring, training in designing activities, timetabling and handbooks for every teacher.</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Continue with monitoring; training in innovative activities; timetabling and action plans; handbook to every teacher; local resources; parent and community participation.</w:t>
            </w:r>
          </w:p>
          <w:p>
            <w:pPr>
              <w:spacing w:after="60"/>
              <w:ind w:left="360" w:hanging="259"/>
              <w:jc w:val="both"/>
            </w:pPr>
            <w:r>
              <w:rPr>
                <w:b w:val="0"/>
              </w:rPr>
              <w:t xml:space="preserve">•  </w:t>
            </w:r>
            <w:r>
              <w:rPr>
                <w:b w:val="0"/>
              </w:rPr>
              <w:t>Take steps to ensure that the experiential learning programme continues to be implemented effectively.</w:t>
            </w:r>
          </w:p>
          <w:p>
            <w:pPr>
              <w:spacing w:after="60"/>
              <w:ind w:left="360" w:hanging="259"/>
              <w:jc w:val="both"/>
            </w:pPr>
            <w:r>
              <w:rPr>
                <w:b w:val="0"/>
              </w:rPr>
              <w:t xml:space="preserve">•  </w:t>
            </w:r>
            <w:r>
              <w:rPr>
                <w:b w:val="0"/>
              </w:rPr>
              <w:t>Strengthen monitoring of the programme's implementation and maintain continuity.</w:t>
            </w:r>
          </w:p>
          <w:p>
            <w:pPr>
              <w:spacing w:after="60"/>
              <w:ind w:left="360" w:hanging="259"/>
              <w:jc w:val="both"/>
            </w:pPr>
            <w:r>
              <w:rPr>
                <w:b w:val="0"/>
              </w:rPr>
              <w:t xml:space="preserve">•  </w:t>
            </w:r>
            <w:r>
              <w:rPr>
                <w:b w:val="0"/>
              </w:rPr>
              <w:t>Provide suitable guidance and training for organising innovative experiential learning activities.</w:t>
            </w:r>
          </w:p>
          <w:p>
            <w:pPr>
              <w:spacing w:after="60"/>
              <w:ind w:left="360" w:hanging="259"/>
              <w:jc w:val="both"/>
            </w:pPr>
            <w:r>
              <w:rPr>
                <w:b w:val="0"/>
              </w:rPr>
              <w:t xml:space="preserve">•  </w:t>
            </w:r>
            <w:r>
              <w:rPr>
                <w:b w:val="0"/>
              </w:rPr>
              <w:t>Systematically adjust time and the timetable, and prepare a suitable action plan, when organising activities.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Chikkamagaluru's study on experiential learning in government schools of Tarikere taluk documents successful implementation of an NEP 2020 priority. The study used a survey and observation method in five government schools with five head teachers, 24 assistant teachers, 142 students and 101 parents, 272 respondents in all.</w:t>
            </w:r>
          </w:p>
          <w:p>
            <w:pPr>
              <w:spacing w:after="60"/>
              <w:jc w:val="both"/>
            </w:pPr>
            <w:r>
              <w:rPr>
                <w:b w:val="0"/>
              </w:rPr>
              <w:t>The findings are strongly positive. The experiential learning programme had been implemented effectively in the selected schools, its objectives had been achieved at school level, and it had a positive effect on students' academic progress. Experiential learning served teachers as an innovative method, provided practical learning close to children's daily lives, created interesting and joyful learning, and fostered activeness, creativity and a rational outlook. Two specific components stood out: 'Nanna Fitness Sutra' activities developed self-discipline and motivation, and 'Maulyadatta Namma Chitta' activities imparted value education.</w:t>
            </w:r>
          </w:p>
          <w:p>
            <w:pPr>
              <w:spacing w:after="60"/>
              <w:jc w:val="both"/>
            </w:pPr>
            <w:r>
              <w:rPr>
                <w:b w:val="0"/>
              </w:rPr>
              <w:t>The practice is sustainable because it draws on local resources and an experiential learning handbook. It is replicable in other taluks and districts. It is scalable through teacher training and wider distribution of the handbook. It is monitorable through observation of activities, academic progress and parent feedback, and the inclusion of 101 parents shows strong community involvement. The study recommends continued implementation with strengthened monitoring, training in designing innovative activities, suitable timetabling and action plans, availability of the experiential learning handbook to every teacher, use of local resources, and maximum participation of parents and the community.</w:t>
            </w:r>
          </w:p>
        </w:tc>
      </w:tr>
    </w:tbl>
    <w:p>
      <w:pPr>
        <w:spacing w:after="120" w:before="160"/>
      </w:pPr>
      <w:r>
        <w:rPr>
          <w:b/>
          <w:i w:val="0"/>
          <w:sz w:val="24"/>
          <w:u w:val="none"/>
        </w:rPr>
        <w:t>References</w:t>
      </w:r>
    </w:p>
    <w:p>
      <w:pPr>
        <w:spacing w:after="60" w:before="0"/>
        <w:ind w:left="576" w:hanging="576"/>
        <w:jc w:val="both"/>
      </w:pPr>
      <w:r>
        <w:rPr>
          <w:b w:val="0"/>
          <w:i w:val="0"/>
          <w:u w:val="none"/>
        </w:rPr>
        <w:t>DIET Chikkamagaluru (2024-25). An Analytical Study on the Effective Implementation of Experiential Learning in Selected Government Schools of Tarikere Taluk, Chikkamagaluru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43</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Chitradurga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Teachers' English proficiency and English-medium classroom practice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Chitradurga's study “Study on the Impact of EMTIP Trainings; on the Academic Achievement of Students and Teachers in Chitradurga District” (2024-25). Some teachers need further training in spoken English; insufficient funding limits classroom decoration.</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Systematically expand bilingual sections with adequate resources and ongoing teacher professional development.</w:t>
            </w:r>
          </w:p>
          <w:p>
            <w:pPr>
              <w:spacing w:after="60"/>
              <w:ind w:left="360" w:hanging="259"/>
              <w:jc w:val="both"/>
            </w:pPr>
            <w:r>
              <w:rPr>
                <w:b w:val="0"/>
              </w:rPr>
              <w:t xml:space="preserve">•  </w:t>
            </w:r>
            <w:r>
              <w:rPr>
                <w:b w:val="0"/>
              </w:rPr>
              <w:t>Policymakers should consider systematically expanding BiMS to additional schools while ensuring adequate resource allocation for infrastructure, teaching materials, and ongoing teacher professional development.</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Chitradurga's study on EMTIP training documents the success of the State's bilingual medium sections in the district. The Bilingual Medium Sections initiative began in 2019-20 with 1,000 English-medium Class 1 sections statewide; in Chitradurga, 24 schools began in 2019-20, expanding to 81 sections by 2023-24. EMTIP, developed by DSERT, RIESI Bengaluru and Samagra Shikshana Karnataka, gave teachers 6 to 8 days of training. The study randomly selected 36 schools across six taluks, using questionnaires developed by Master Resource Persons at DIET workshops for headmasters, teachers, parents, SDMC members and students, followed by school visits.</w:t>
            </w:r>
          </w:p>
          <w:p>
            <w:pPr>
              <w:spacing w:after="60"/>
              <w:jc w:val="both"/>
            </w:pPr>
            <w:r>
              <w:rPr>
                <w:b w:val="0"/>
              </w:rPr>
              <w:t>The results are impressive. Ninety per cent of teachers successfully implemented EMTIP training, creating an English language atmosphere and easing the transition from mother tongue to English. Seventy-five per cent regularly used teaching-learning materials. Ninety-four per cent of students were actively involved in English classrooms, ninety-seven per cent showed proficiency in comprehension and speaking, and seventy per cent participated enthusiastically; students in 29 schools read two- and three-letter words properly.</w:t>
            </w:r>
          </w:p>
          <w:p>
            <w:pPr>
              <w:spacing w:after="60"/>
              <w:jc w:val="both"/>
            </w:pPr>
            <w:r>
              <w:rPr>
                <w:b w:val="0"/>
              </w:rPr>
              <w:t>The practice is sustainable because trained teachers and established bilingual sections continue year on year. It is replicable statewide through the same EMTIP model. It is scalable, as Chitradurga's growth from 24 to 81 sections shows. It is monitorable through student involvement, comprehension and speaking assessments and classroom observation. The study recommends systematically expanding bilingual sections with adequate resources and ongoing teacher development, including spoken English for teachers who need it.</w:t>
            </w:r>
          </w:p>
        </w:tc>
      </w:tr>
    </w:tbl>
    <w:p>
      <w:pPr>
        <w:spacing w:after="120" w:before="160"/>
      </w:pPr>
      <w:r>
        <w:rPr>
          <w:b/>
          <w:i w:val="0"/>
          <w:sz w:val="24"/>
          <w:u w:val="none"/>
        </w:rPr>
        <w:t>References</w:t>
      </w:r>
    </w:p>
    <w:p>
      <w:pPr>
        <w:spacing w:after="60" w:before="0"/>
        <w:ind w:left="576" w:hanging="576"/>
        <w:jc w:val="both"/>
      </w:pPr>
      <w:r>
        <w:rPr>
          <w:b w:val="0"/>
          <w:i w:val="0"/>
          <w:u w:val="none"/>
        </w:rPr>
        <w:t>DIET Chitradurga (2024-25). Study on the Impact of EMTIP Trainings; on the Academic Achievement of Students and Teachers in Chitradurga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44</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Chitradurga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Karnataka Public Schools: teaching, learning and infrastructure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Chitradurga's study “Study on Kannada Medium Primary Schools (KPS) in Chitradurga District- An Evaluation of Teaching, Learning and Infrastructure Quality” (2024-25). New KPS face inadequate classroom space, TLM, library and science resources; lack of playgrounds; challenges in English teaching and technology integration.</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Funds for classrooms; TLM kits; functional libraries; science labs and maths corners; in-service training in English, mathematics and technology.</w:t>
            </w:r>
          </w:p>
          <w:p>
            <w:pPr>
              <w:spacing w:after="60"/>
              <w:ind w:left="360" w:hanging="259"/>
              <w:jc w:val="both"/>
            </w:pPr>
            <w:r>
              <w:rPr>
                <w:b w:val="0"/>
              </w:rPr>
              <w:t xml:space="preserve">•  </w:t>
            </w:r>
            <w:r>
              <w:rPr>
                <w:b w:val="0"/>
              </w:rPr>
              <w:t>Infrastructure Development.</w:t>
            </w:r>
          </w:p>
          <w:p>
            <w:pPr>
              <w:spacing w:after="60"/>
              <w:ind w:left="360" w:hanging="259"/>
              <w:jc w:val="both"/>
            </w:pPr>
            <w:r>
              <w:rPr>
                <w:b w:val="0"/>
              </w:rPr>
              <w:t xml:space="preserve">•  </w:t>
            </w:r>
            <w:r>
              <w:rPr>
                <w:b w:val="0"/>
              </w:rPr>
              <w:t>Immediate allocation of funds for classroom construction to reduce student-teacher ratios.</w:t>
            </w:r>
          </w:p>
          <w:p>
            <w:pPr>
              <w:spacing w:after="60"/>
              <w:ind w:left="360" w:hanging="259"/>
              <w:jc w:val="both"/>
            </w:pPr>
            <w:r>
              <w:rPr>
                <w:b w:val="0"/>
              </w:rPr>
              <w:t xml:space="preserve">•  </w:t>
            </w:r>
            <w:r>
              <w:rPr>
                <w:b w:val="0"/>
              </w:rPr>
              <w:t>Establishment of functional libraries with age-appropriate Kannada and English books.</w:t>
            </w:r>
          </w:p>
          <w:p>
            <w:pPr>
              <w:spacing w:after="60"/>
              <w:ind w:left="360" w:hanging="259"/>
              <w:jc w:val="both"/>
            </w:pPr>
            <w:r>
              <w:rPr>
                <w:b w:val="0"/>
              </w:rPr>
              <w:t xml:space="preserve">•  </w:t>
            </w:r>
            <w:r>
              <w:rPr>
                <w:b w:val="0"/>
              </w:rPr>
              <w:t>Development of basic science laboratories and mathematics activity corners.</w:t>
            </w:r>
          </w:p>
          <w:p>
            <w:pPr>
              <w:spacing w:after="60"/>
              <w:ind w:left="360" w:hanging="259"/>
              <w:jc w:val="both"/>
            </w:pPr>
            <w:r>
              <w:rPr>
                <w:b w:val="0"/>
              </w:rPr>
              <w:t xml:space="preserve">•  </w:t>
            </w:r>
            <w:r>
              <w:rPr>
                <w:b w:val="0"/>
              </w:rPr>
              <w:t>Regular in-service training programs focusing on English language teaching, mathematics pedagogy, and technology integration.</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Chitradurga's evaluation of eight Karnataka Public Schools (KPS) that began in 2023-24 documents the early strengths of new KPS and what they need to succeed. The study used an evaluative survey with structured questionnaires administered to five stakeholder groups across schools in different taluks.</w:t>
            </w:r>
          </w:p>
          <w:p>
            <w:pPr>
              <w:spacing w:after="60"/>
              <w:jc w:val="both"/>
            </w:pPr>
            <w:r>
              <w:rPr>
                <w:b w:val="0"/>
              </w:rPr>
              <w:t>The study found clear strengths in teaching and learning. Teachers demonstrated good subject knowledge in Kannada and environmental studies, and most implemented active learning methods and child-centred pedagogy. Students showed satisfactory progress in Kannada literacy and numeracy for their grade levels, with particular strength in oral communication. These findings show that new KPS are already delivering sound foundational education in their first years.</w:t>
            </w:r>
          </w:p>
          <w:p>
            <w:pPr>
              <w:spacing w:after="60"/>
              <w:jc w:val="both"/>
            </w:pPr>
            <w:r>
              <w:rPr>
                <w:b w:val="0"/>
              </w:rPr>
              <w:t>The KPS model is sustainable because it is a long-term State commitment with expanding funding. It is replicable, with hundreds more KPS planned statewide. It is scalable by applying lessons from early evaluations such as this one to new schools. It is monitorable through regular assessment of teaching quality, student outcomes and infrastructure. The evaluation also identifies the investments new KPS need: funds for classroom construction to reduce student-teacher ratios, teaching-learning material kits for all subjects, functional libraries with Kannada and English books, basic science laboratories and mathematics activity corners, playgrounds, and regular in-service training in English language teaching, mathematics pedagogy and technology integration. Acting on these early findings would help each new KPS develop into the full LKG-to-PUC model envisaged.</w:t>
            </w:r>
          </w:p>
        </w:tc>
      </w:tr>
    </w:tbl>
    <w:p>
      <w:pPr>
        <w:spacing w:after="120" w:before="160"/>
      </w:pPr>
      <w:r>
        <w:rPr>
          <w:b/>
          <w:i w:val="0"/>
          <w:sz w:val="24"/>
          <w:u w:val="none"/>
        </w:rPr>
        <w:t>References</w:t>
      </w:r>
    </w:p>
    <w:p>
      <w:pPr>
        <w:spacing w:after="60" w:before="0"/>
        <w:ind w:left="576" w:hanging="576"/>
        <w:jc w:val="both"/>
      </w:pPr>
      <w:r>
        <w:rPr>
          <w:b w:val="0"/>
          <w:i w:val="0"/>
          <w:u w:val="none"/>
        </w:rPr>
        <w:t>DIET Chitradurga (2024-25). Study on Kannada Medium Primary Schools (KPS) in Chitradurga District- An Evaluation of Teaching, Learning and Infrastructure Quality.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45</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Chitradurga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Science laboratories, Atal Tinkering Labs and experiential science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Chitradurga's study “Natyaananda Science Laboratory: Integrating Theatre-Based Learning With Science Experimentation for Enhanced Conceptual Understanding and Scientific Temper in Secondary School Students” (2024-25). Low engagement, misconceptions and rote memorisation in secondary science.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Teacher training in theatre-integrated pedagogy; collaboration between science and arts teachers; detailed teacher guides.</w:t>
            </w:r>
          </w:p>
          <w:p>
            <w:pPr>
              <w:spacing w:after="60"/>
              <w:ind w:left="360" w:hanging="259"/>
              <w:jc w:val="both"/>
            </w:pPr>
            <w:r>
              <w:rPr>
                <w:b w:val="0"/>
              </w:rPr>
              <w:t xml:space="preserve">•  </w:t>
            </w:r>
            <w:r>
              <w:rPr>
                <w:b w:val="0"/>
              </w:rPr>
              <w:t>Design comprehensive training programs for science teachers on theatre-integrated pedagogy including basic drama techniques, methods for embodying scientific concepts, and integration strategies.</w:t>
            </w:r>
          </w:p>
          <w:p>
            <w:pPr>
              <w:spacing w:after="60"/>
              <w:ind w:left="360" w:hanging="259"/>
              <w:jc w:val="both"/>
            </w:pPr>
            <w:r>
              <w:rPr>
                <w:b w:val="0"/>
              </w:rPr>
              <w:t xml:space="preserve">•  </w:t>
            </w:r>
            <w:r>
              <w:rPr>
                <w:b w:val="0"/>
              </w:rPr>
              <w:t>Create collaborative teams of science teachers and arts teachers working together to develop integrated curricula.</w:t>
            </w:r>
          </w:p>
          <w:p>
            <w:pPr>
              <w:spacing w:after="60"/>
              <w:ind w:left="360" w:hanging="259"/>
              <w:jc w:val="both"/>
            </w:pPr>
            <w:r>
              <w:rPr>
                <w:b w:val="0"/>
              </w:rPr>
              <w:t xml:space="preserve">•  </w:t>
            </w:r>
            <w:r>
              <w:rPr>
                <w:b w:val="0"/>
              </w:rPr>
              <w:t>Establish teacher professional learning communities focused on arts- integrated STEM education.</w:t>
            </w:r>
          </w:p>
          <w:p>
            <w:pPr>
              <w:spacing w:after="60"/>
              <w:ind w:left="360" w:hanging="259"/>
              <w:jc w:val="both"/>
            </w:pPr>
            <w:r>
              <w:rPr>
                <w:b w:val="0"/>
              </w:rPr>
              <w:t xml:space="preserve">•  </w:t>
            </w:r>
            <w:r>
              <w:rPr>
                <w:b w:val="0"/>
              </w:rPr>
              <w:t>Develop detailed teacher guides with sample lesson plans, activity descriptions, and implementation guidelines for Natyaananda Science Laboratory approach.</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Chitradurga's Natyaananda Science Laboratory study documents an original, evidence-based innovation: integrating theatre-based learning with science experiments for Grades 8–10. Aligned with NEP 2020's emphasis on experiential learning, arts integration and scientific temper, the study used a quasi-experimental design comparing Natyaananda groups with control groups receiving conventional laboratory instruction, in six government high schools in different taluks during 2024-25.</w:t>
            </w:r>
          </w:p>
          <w:p>
            <w:pPr>
              <w:spacing w:after="60"/>
              <w:jc w:val="both"/>
            </w:pPr>
            <w:r>
              <w:rPr>
                <w:b w:val="0"/>
              </w:rPr>
              <w:t>The results are striking. Students in Natyaananda groups showed substantially higher post-test gains in conceptual understanding, an average 35–forty per cent improvement, compared with 15–twenty per cent in control groups, with effect sizes indicating strong practical significance. Students who enacted atomic models or chemical bonding grasped these concepts better than peers who only observed diagrams or videos. Significant improvements were also seen in curiosity, willingness to experiment, suspended judgement and appreciation of evidence-based reasoning, the core of scientific temper.</w:t>
            </w:r>
          </w:p>
          <w:p>
            <w:pPr>
              <w:spacing w:after="60"/>
              <w:jc w:val="both"/>
            </w:pPr>
            <w:r>
              <w:rPr>
                <w:b w:val="0"/>
              </w:rPr>
              <w:t>The practice is sustainable because it uses students' own dramatic expression alongside existing laboratory equipment, requiring little additional cost. It is replicable in any high school. It is scalable through teacher guides and training, and through collaboration between science and arts teachers. It is monitorable through pre- and post-tests of conceptual understanding and scales of scientific attitude, as this study used. The study recommends teacher training in theatre-integrated pedagogy, collaboration between science and arts teachers, and detailed teacher guides. Natyaananda is a home-grown Karnataka innovation that could be showcased at State level.</w:t>
            </w:r>
          </w:p>
        </w:tc>
      </w:tr>
    </w:tbl>
    <w:p>
      <w:pPr>
        <w:spacing w:after="120" w:before="160"/>
      </w:pPr>
      <w:r>
        <w:rPr>
          <w:b/>
          <w:i w:val="0"/>
          <w:sz w:val="24"/>
          <w:u w:val="none"/>
        </w:rPr>
        <w:t>References</w:t>
      </w:r>
    </w:p>
    <w:p>
      <w:pPr>
        <w:spacing w:after="60" w:before="0"/>
        <w:ind w:left="576" w:hanging="576"/>
        <w:jc w:val="both"/>
      </w:pPr>
      <w:r>
        <w:rPr>
          <w:b w:val="0"/>
          <w:i w:val="0"/>
          <w:u w:val="none"/>
        </w:rPr>
        <w:t>DIET Chitradurga (2024-25). Natyaananda Science Laboratory: Integrating Theatre-Based Learning With Science Experimentation for Enhanced Conceptual Understanding and Scientific Temper in Secondary School Students.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46</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Chitradurga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Subject pedagogy and teaching-learning materials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Chitradurga's study “Innovative Teaching-Learning Strategies in Social Science Education: A Study on Pedagogical Transformation in Government High Schools of Chitradurga District” (2024-25). Social Science teaching relies on lecture methods; need for training and ongoing support rather than one-time workshops.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Training in inquiry-based and project-based learning, primary sources and ICT; teacher learning communities; ongoing mentoring; exemplar lesson plans.</w:t>
            </w:r>
          </w:p>
          <w:p>
            <w:pPr>
              <w:spacing w:after="60"/>
              <w:ind w:left="360" w:hanging="259"/>
              <w:jc w:val="both"/>
            </w:pPr>
            <w:r>
              <w:rPr>
                <w:b w:val="0"/>
              </w:rPr>
              <w:t xml:space="preserve">•  </w:t>
            </w:r>
            <w:r>
              <w:rPr>
                <w:b w:val="0"/>
              </w:rPr>
              <w:t>Design and implement comprehensive training programs on innovative social science pedagogy covering inquiry-based learning, project-based learning, use of primary sources, and integration of ICT.</w:t>
            </w:r>
          </w:p>
          <w:p>
            <w:pPr>
              <w:spacing w:after="60"/>
              <w:ind w:left="360" w:hanging="259"/>
              <w:jc w:val="both"/>
            </w:pPr>
            <w:r>
              <w:rPr>
                <w:b w:val="0"/>
              </w:rPr>
              <w:t xml:space="preserve">•  </w:t>
            </w:r>
            <w:r>
              <w:rPr>
                <w:b w:val="0"/>
              </w:rPr>
              <w:t>Establish teacher learning communities where social science teachers can collaboratively develop lessons, share best practices, and provide peer support.</w:t>
            </w:r>
          </w:p>
          <w:p>
            <w:pPr>
              <w:spacing w:after="60"/>
              <w:ind w:left="360" w:hanging="259"/>
              <w:jc w:val="both"/>
            </w:pPr>
            <w:r>
              <w:rPr>
                <w:b w:val="0"/>
              </w:rPr>
              <w:t xml:space="preserve">•  </w:t>
            </w:r>
            <w:r>
              <w:rPr>
                <w:b w:val="0"/>
              </w:rPr>
              <w:t>Provide ongoing mentoring and classroom-based support rather than one-time workshop trainings.</w:t>
            </w:r>
          </w:p>
          <w:p>
            <w:pPr>
              <w:spacing w:after="60"/>
              <w:ind w:left="360" w:hanging="259"/>
              <w:jc w:val="both"/>
            </w:pPr>
            <w:r>
              <w:rPr>
                <w:b w:val="0"/>
              </w:rPr>
              <w:t xml:space="preserve">•  </w:t>
            </w:r>
            <w:r>
              <w:rPr>
                <w:b w:val="0"/>
              </w:rPr>
              <w:t>Develop exemplar lesson plans and teaching guides demonstrating innovative methods aligned with curriculum.</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Chitradurga's action research on innovative Social Science teaching documents measurable gains from activity-based, inquiry-oriented instruction in government high schools. The study used a mixed-methods action research design across several high schools in different taluks during 2024-25, focusing on Grades 8–10, with classroom observation, pre- and post-tests and student surveys, comparing innovative methods with traditional instruction.</w:t>
            </w:r>
          </w:p>
          <w:p>
            <w:pPr>
              <w:spacing w:after="60"/>
              <w:jc w:val="both"/>
            </w:pPr>
            <w:r>
              <w:rPr>
                <w:b w:val="0"/>
              </w:rPr>
              <w:t>The findings are clear. Students exposed to activity-based, inquiry-oriented instruction showed significantly higher conceptual understanding than control groups. Post-test scores improved by an average of 25–thirty per cent on conceptual questions requiring analysis and application. Students showed enhanced critical thinking and a better ability to connect Social Science concepts with real-world contexts. Classroom observation documented markedly higher engagement, students asked more questions, participated more actively and showed greater enthusiasm, and 75–eighty per cent of students preferred activity-based learning over lectures.</w:t>
            </w:r>
          </w:p>
          <w:p>
            <w:pPr>
              <w:spacing w:after="60"/>
              <w:jc w:val="both"/>
            </w:pPr>
            <w:r>
              <w:rPr>
                <w:b w:val="0"/>
              </w:rPr>
              <w:t>The practice is sustainable because inquiry and activity methods use existing materials and can become teachers' normal way of working. It is replicable in every high school. It is scalable through teacher learning communities and exemplar lessons. It is monitorable through tests of conceptual understanding and classroom observation of engagement. The study recommends comprehensive training on inquiry-based learning, project-based learning, use of primary sources and ICT; teacher learning communities for collaborative lesson development; ongoing mentoring and classroom-based support rather than one-time workshops; and exemplar lesson plans and teaching guides aligned with the curriculum.</w:t>
            </w:r>
          </w:p>
        </w:tc>
      </w:tr>
    </w:tbl>
    <w:p>
      <w:pPr>
        <w:spacing w:after="120" w:before="160"/>
      </w:pPr>
      <w:r>
        <w:rPr>
          <w:b/>
          <w:i w:val="0"/>
          <w:sz w:val="24"/>
          <w:u w:val="none"/>
        </w:rPr>
        <w:t>References</w:t>
      </w:r>
    </w:p>
    <w:p>
      <w:pPr>
        <w:spacing w:after="60" w:before="0"/>
        <w:ind w:left="576" w:hanging="576"/>
        <w:jc w:val="both"/>
      </w:pPr>
      <w:r>
        <w:rPr>
          <w:b w:val="0"/>
          <w:i w:val="0"/>
          <w:u w:val="none"/>
        </w:rPr>
        <w:t>DIET Chitradurga (2024-25). Innovative Teaching-Learning Strategies in Social Science Education: A Study on Pedagogical Transformation in Government High Schools of Chitradurga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47</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Dakshina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Teachers' English proficiency and English-medium classroom practice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Dakshina Kannada's study “Impact of EMTIP (English Medium Teachers Induction Programme) on English Language Learning of Standard V Students in Selected English Medium Primary Schools of Dakshina Kannada District” (2024-25). Complex instructions, pronunciation, grammar, fluency, reading speed and inferential comprehension need support; oral skills stronger than written; inter-school variation.</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Standardisation, balanced skill development and sustained follow-up support for teachers.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Dakshina Kannada's study on the impact of EMTIP on the English learning of Grade 5 students documents measurable gains in bilingual sections. By 2024-25 the district had established 120 bilingual schools. The study used a descriptive mixed-methods design, with assessment tools developed with resource persons following departmental guidelines, and orientation workshops that prepared CRPs and BRPs as trained field investigators, a capacity-building practice in itself.</w:t>
            </w:r>
          </w:p>
          <w:p>
            <w:pPr>
              <w:spacing w:after="60"/>
              <w:jc w:val="both"/>
            </w:pPr>
            <w:r>
              <w:rPr>
                <w:b w:val="0"/>
              </w:rPr>
              <w:t>The results show overall positive outcomes, with a 35–forty per cent improvement in English proficiency over baselines across seven schools. Listening reached seventy per cent satisfactory or above, speaking showed sixty per cent functional communicative competence, and reading showed sixty-five per cent age-appropriate comprehension. No students were in the lowest performance category.</w:t>
            </w:r>
          </w:p>
          <w:p>
            <w:pPr>
              <w:spacing w:after="60"/>
              <w:jc w:val="both"/>
            </w:pPr>
            <w:r>
              <w:rPr>
                <w:b w:val="0"/>
              </w:rPr>
              <w:t>The practice is sustainable because trained CRPs and BRPs can repeat the assessment in future years, and trained teachers continue to use EMTIP methods. It is replicable across all bilingual schools. It is scalable through district-wide use of the same assessment tools. It is monitorable through skill-wise assessment of listening, speaking, reading and writing against baselines, which gives teachers evidence-based feedback on their strategies. The study notes that oral skills developed more strongly than written skills and that complex instructions, pronunciation, grammar, fluency, reading speed and inferential comprehension need support. Inter-school variations suggest differences in implementation quality, so the study recommends standardisation, balanced skill development and sustained follow-up support for teachers.</w:t>
            </w:r>
          </w:p>
        </w:tc>
      </w:tr>
    </w:tbl>
    <w:p>
      <w:pPr>
        <w:spacing w:after="120" w:before="160"/>
      </w:pPr>
      <w:r>
        <w:rPr>
          <w:b/>
          <w:i w:val="0"/>
          <w:sz w:val="24"/>
          <w:u w:val="none"/>
        </w:rPr>
        <w:t>References</w:t>
      </w:r>
    </w:p>
    <w:p>
      <w:pPr>
        <w:spacing w:after="60" w:before="0"/>
        <w:ind w:left="576" w:hanging="576"/>
        <w:jc w:val="both"/>
      </w:pPr>
      <w:r>
        <w:rPr>
          <w:b w:val="0"/>
          <w:i w:val="0"/>
          <w:u w:val="none"/>
        </w:rPr>
        <w:t>DIET Dakshina Kannada (2024-25). Impact of EMTIP (English Medium Teachers Induction Programme) on English Language Learning of Standard V Students in Selected English Medium Primary Schools of Dakshina Kannada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48</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Dakshina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Professional learning communities and peer learning among teachers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Dakshina Kannada's study “A Study on the Qualitative Change in Core Subject Teachers of Classes 4 and 5 in Primary Schools of Dakshina Kannada District through Cluster Sharing Meetings” (2024-25). Twenty-five per cent of teachers do not attend cluster sharing meetings regularly (seventy-five per cent average attendance).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Shift from traditional workshops to collaborative peer learning communities through cluster sharing meetings.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Dakshina Kannada's study on cluster sharing meetings for core-subject teachers of Classes 4 and 5 documents a highly effective, peer-based model of professional development. Cluster sharing meetings bring teachers together to share content knowledge, strategies and classroom experience.</w:t>
            </w:r>
          </w:p>
          <w:p>
            <w:pPr>
              <w:spacing w:after="60"/>
              <w:jc w:val="both"/>
            </w:pPr>
            <w:r>
              <w:rPr>
                <w:b w:val="0"/>
              </w:rPr>
              <w:t>The results are among the strongest in the compilation. Ninety-four per cent of teachers reported improved content knowledge and teaching strategies, and eighty-nine per cent implemented new classroom strategies learned through the meetings. Eighty-five per cent showed increased confidence in subject teaching and problem-solving, seventy-eight per cent rated the content as highly relevant, and eighty-two per cent expressed high satisfaction with peer learning. Average attendance of seventy-five per cent indicated strong engagement, and seventy-two per cent of teachers observed measurable improvements in student learning outcomes. The meetings also enhanced inter-school collaboration, resource sharing and professional networking.</w:t>
            </w:r>
          </w:p>
          <w:p>
            <w:pPr>
              <w:spacing w:after="60"/>
              <w:jc w:val="both"/>
            </w:pPr>
            <w:r>
              <w:rPr>
                <w:b w:val="0"/>
              </w:rPr>
              <w:t>The practice is sustainable because it uses existing cluster structures and teachers' own expertise, at minimal cost. It is replicable in every cluster across the State. It is scalable as a regular feature of the in-service calendar. It is monitorable through attendance, implementation of new strategies and student outcomes. The study concludes that cluster sharing meetings validate a shift from traditional workshop approaches towards collaborative learning communities: peer-based learning with practical, contextually relevant content produces more effective transfer to classrooms than theoretical expert-led training, and collaborative learning reduces teachers' professional isolation. This is a model the State could adopt widely.</w:t>
            </w:r>
          </w:p>
        </w:tc>
      </w:tr>
    </w:tbl>
    <w:p>
      <w:pPr>
        <w:spacing w:after="120" w:before="160"/>
      </w:pPr>
      <w:r>
        <w:rPr>
          <w:b/>
          <w:i w:val="0"/>
          <w:sz w:val="24"/>
          <w:u w:val="none"/>
        </w:rPr>
        <w:t>References</w:t>
      </w:r>
    </w:p>
    <w:p>
      <w:pPr>
        <w:spacing w:after="60" w:before="0"/>
        <w:ind w:left="576" w:hanging="576"/>
        <w:jc w:val="both"/>
      </w:pPr>
      <w:r>
        <w:rPr>
          <w:b w:val="0"/>
          <w:i w:val="0"/>
          <w:u w:val="none"/>
        </w:rPr>
        <w:t>DIET Dakshina Kannada (2024-25). A Study on the Qualitative Change in Core Subject Teachers of Classes 4 and 5 in Primary Schools of Dakshina Kannada District through Cluster Sharing Meetings.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49</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Dakshina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Science laboratories, Atal Tinkering Labs and experiential science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Dakshina Kannada's study “Effective Utilization of Science Laboratory in Government, Aided, and Unaided High Schools of Dakshina Kannada District - A Comparative Analysis” (2024-25). Eighty per cent of schools lack dedicated science laboratory rooms; problems with ventilation, lighting, wiring, water, drainage, benches and storage; inadequate teacher training.</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Systematic intervention to strengthen laboratory infrastructure and teacher training in laboratory pedagogy.</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Dakshina Kannada's comparative study of science laboratories across government, aided and unaided high schools is a model of comprehensive, district-wide infrastructure assessment. Stratified random sampling covered all seven taluks, Mangaluru, Bantwal, Puttur, Sullia, Belthangady, Mudabidri and Ullal, and 105 high schools (35 each of government, aided and unaided), with 105 headmasters, science teachers, parents and students. Methods included questionnaires, interviews, observation and photographic documentation.</w:t>
            </w:r>
          </w:p>
          <w:p>
            <w:pPr>
              <w:spacing w:after="60"/>
              <w:jc w:val="both"/>
            </w:pPr>
            <w:r>
              <w:rPr>
                <w:b w:val="0"/>
              </w:rPr>
              <w:t>The study's methodology is its key strength. By comparing all three management types with a large, balanced sample and documenting conditions photographically, it produced objective evidence on ventilation, lighting, electrical wiring, water supply, drainage, furniture and storage. This level of detail allows precise planning of investments rather than general allocations.</w:t>
            </w:r>
          </w:p>
          <w:p>
            <w:pPr>
              <w:spacing w:after="60"/>
              <w:jc w:val="both"/>
            </w:pPr>
            <w:r>
              <w:rPr>
                <w:b w:val="0"/>
              </w:rPr>
              <w:t>The practice of systematic, comparative laboratory audits is sustainable because it can be repeated using the same checklists. It is replicable in every district. It is scalable as a basis for State-level laboratory investment planning. It is monitorable because each indicator, dedicated rooms, ventilation, wiring, water, drainage, benches and storage, can be tracked over time. The audit found that eighty per cent of schools lacked dedicated laboratory rooms and identified specific deficits, as well as disparities between government and private schools and inadequate teacher training. It concludes that systematic intervention is urgently needed to strengthen practical science education, and its detailed evidence gives planners a clear starting point.</w:t>
            </w:r>
          </w:p>
        </w:tc>
      </w:tr>
    </w:tbl>
    <w:p>
      <w:pPr>
        <w:spacing w:after="120" w:before="160"/>
      </w:pPr>
      <w:r>
        <w:rPr>
          <w:b/>
          <w:i w:val="0"/>
          <w:sz w:val="24"/>
          <w:u w:val="none"/>
        </w:rPr>
        <w:t>References</w:t>
      </w:r>
    </w:p>
    <w:p>
      <w:pPr>
        <w:spacing w:after="60" w:before="0"/>
        <w:ind w:left="576" w:hanging="576"/>
        <w:jc w:val="both"/>
      </w:pPr>
      <w:r>
        <w:rPr>
          <w:b w:val="0"/>
          <w:i w:val="0"/>
          <w:u w:val="none"/>
        </w:rPr>
        <w:t>DIET Dakshina Kannada (2024-25). Effective Utilization of Science Laboratory in Government, Aided, and Unaided High Schools of Dakshina Kannada District - A Comparative Analysis.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50</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Dakshina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Adolescent development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Dakshina Kannada's study “Study on Newborn and Young Child Support Groups in High Schools of Dakshina Kannada” (2024-25). Gaps in maternal–child health knowledge in the community.</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Community-based peer support groups linked to high schools for maternal–child health education.</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Dakshina Kannada's study on newborn and young child support groups linked to high schools documents a community health education model with exceptional results. The study used a quasi-experimental pre-test/post-test design, assessing maternal knowledge, childcare practices and observable health outcomes before and after sustained participation in peer support groups, using a structured questionnaire developed collaboratively.</w:t>
            </w:r>
          </w:p>
          <w:p>
            <w:pPr>
              <w:spacing w:after="60"/>
              <w:jc w:val="both"/>
            </w:pPr>
            <w:r>
              <w:rPr>
                <w:b w:val="0"/>
              </w:rPr>
              <w:t>The results are striking. Mean knowledge scores rose from forty-five per cent before the intervention to eighty-two per cent after, a 37-percentage-point gain (p &lt; 0.001) across all assessed domains. Practice adoption reached seventy-eight per cent of participants, showing that knowledge translated into changed childcare behaviour.</w:t>
            </w:r>
          </w:p>
          <w:p>
            <w:pPr>
              <w:spacing w:after="60"/>
              <w:jc w:val="both"/>
            </w:pPr>
            <w:r>
              <w:rPr>
                <w:b w:val="0"/>
              </w:rPr>
              <w:t>The practice is sustainable because it relies on peer support within the community rather than external experts, so groups can continue after initial facilitation. It is replicable in other districts through high schools and community networks. It is scalable through convergence with the Health and Family Welfare and Women and Child Development departments. It is monitorable through pre- and post-knowledge tests and records of practice adoption, as this study demonstrates. The study concludes that the community-based peer support group model is a highly effective, evidence-based approach to health promotion, validating peer-based collaborative learning for sustained behaviour change in child health practices. Linking schools with community health education in this way extends the role of schools beyond the classroom and supports the Viksit Karnataka objective of human development through better maternal and child health.</w:t>
            </w:r>
          </w:p>
        </w:tc>
      </w:tr>
    </w:tbl>
    <w:p>
      <w:pPr>
        <w:spacing w:after="120" w:before="160"/>
      </w:pPr>
      <w:r>
        <w:rPr>
          <w:b/>
          <w:i w:val="0"/>
          <w:sz w:val="24"/>
          <w:u w:val="none"/>
        </w:rPr>
        <w:t>References</w:t>
      </w:r>
    </w:p>
    <w:p>
      <w:pPr>
        <w:spacing w:after="60" w:before="0"/>
        <w:ind w:left="576" w:hanging="576"/>
        <w:jc w:val="both"/>
      </w:pPr>
      <w:r>
        <w:rPr>
          <w:b w:val="0"/>
          <w:i w:val="0"/>
          <w:u w:val="none"/>
        </w:rPr>
        <w:t>DIET Dakshina Kannada (2024-25). Study on Newborn and Young Child Support Groups in High Schools of Dakshina Kannada.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51</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SMT SHARADA S NAREGAL</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Dharwad</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Science laboratories, Atal Tinkering Labs and experiential science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Dharwad's study “Implementation and Effectiveness of Science Experiments and Practical Activities in Primary School Teaching-Learning Processes” (2024-25). About forty per cent of students taught by traditional methods reached only verbal comprehension of science concepts (sample of 92 students). Government primary schools lack adequate science equipment, materials and laboratory facilities; examinations test theory rather than practical skills.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Integrate experiential, experiment-based pedagogy into the science curriculum from the early grades.</w:t>
            </w:r>
          </w:p>
          <w:p>
            <w:pPr>
              <w:spacing w:after="60"/>
              <w:ind w:left="360" w:hanging="259"/>
              <w:jc w:val="both"/>
            </w:pPr>
            <w:r>
              <w:rPr>
                <w:b w:val="0"/>
              </w:rPr>
              <w:t xml:space="preserve">•  </w:t>
            </w:r>
            <w:r>
              <w:rPr>
                <w:b w:val="0"/>
              </w:rPr>
              <w:t>Prioritise science equipment and laboratory facilities in government primary schools.</w:t>
            </w:r>
          </w:p>
          <w:p>
            <w:pPr>
              <w:spacing w:after="60"/>
              <w:ind w:left="360" w:hanging="259"/>
              <w:jc w:val="both"/>
            </w:pPr>
            <w:r>
              <w:rPr>
                <w:b w:val="0"/>
              </w:rPr>
              <w:t xml:space="preserve">•  </w:t>
            </w:r>
            <w:r>
              <w:rPr>
                <w:b w:val="0"/>
              </w:rPr>
              <w:t>Include substantial practical training in experiment-based teaching in pre-service and in-service teacher education.</w:t>
            </w:r>
          </w:p>
          <w:p>
            <w:pPr>
              <w:spacing w:after="60"/>
              <w:ind w:left="360" w:hanging="259"/>
              <w:jc w:val="both"/>
            </w:pPr>
            <w:r>
              <w:rPr>
                <w:b w:val="0"/>
              </w:rPr>
              <w:t xml:space="preserve">•  </w:t>
            </w:r>
            <w:r>
              <w:rPr>
                <w:b w:val="0"/>
              </w:rPr>
              <w:t>Reform assessment to evaluate practical skills and conceptual understanding.</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Dharwad's study on science experiments and practical activities in primary schools offers a well-documented practice of experiment-based science teaching that can be adopted across districts. The study used an experimental design with elements of action research. One group of students was taught science through experiments and practical activities, while a comparison group was taught through traditional methods. Before the experimental teaching began, teachers received specialised training in experiment-based pedagogy, so the practice combined teacher preparation with classroom implementation.</w:t>
            </w:r>
          </w:p>
          <w:p>
            <w:pPr>
              <w:spacing w:after="60"/>
              <w:jc w:val="both"/>
            </w:pPr>
            <w:r>
              <w:rPr>
                <w:b w:val="0"/>
              </w:rPr>
              <w:t>The results make a strong case for the practice. In traditional teaching, approximately forty per cent of students achieved only verbal comprehension of concepts, whereas students exposed to experimental methods showed significantly higher understanding through direct experience. No student in the experimental group relied on rote learning alone. Participation was equitable: in the sample of 92 students, boys and girls took part equally, with no gender disparity in engagement across 14 different contexts.</w:t>
            </w:r>
          </w:p>
          <w:p>
            <w:pPr>
              <w:spacing w:after="60"/>
              <w:jc w:val="both"/>
            </w:pPr>
            <w:r>
              <w:rPr>
                <w:b w:val="0"/>
              </w:rPr>
              <w:t>The practice is sustainable because it builds teacher capacity rather than depending on external inputs; once trained, teachers can continue experiment-based lessons with locally available materials and the equipment already supplied to schools. It is replicable because the design is simple, training, experimental teaching and comparison with traditional teaching, and can be repeated in any block. It is scalable through DIET in-service programmes and pre-service practicum, as the study itself recommends including practical training in experiment-based teaching in teacher education. It is monitorable, since learning outcomes of experiment-based and traditional classes can be compared through regular assessments, and participation can be tracked by gender. The study's call to reform assessment so that practical skills and conceptual understanding are evaluated would further embed the practice in everyday classrooms.</w:t>
            </w:r>
          </w:p>
        </w:tc>
      </w:tr>
    </w:tbl>
    <w:p>
      <w:pPr>
        <w:spacing w:after="120" w:before="160"/>
      </w:pPr>
      <w:r>
        <w:rPr>
          <w:b/>
          <w:i w:val="0"/>
          <w:sz w:val="24"/>
          <w:u w:val="none"/>
        </w:rPr>
        <w:t>References</w:t>
      </w:r>
    </w:p>
    <w:p>
      <w:pPr>
        <w:spacing w:after="60" w:before="0"/>
        <w:ind w:left="576" w:hanging="576"/>
        <w:jc w:val="both"/>
      </w:pPr>
      <w:r>
        <w:rPr>
          <w:b w:val="0"/>
          <w:i w:val="0"/>
          <w:u w:val="none"/>
        </w:rPr>
        <w:t>DIET Dharwad (2024-25). Implementation and Effectiveness of Science Experiments and Practical Activities in Primary School Teaching-Learning Processes.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52</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SMT SHARADA S NAREGAL</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Dharwad</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Parent engagement in children's learning</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Dharwad's study “Parental Attitudes, Involvement Patterns, and Perceptions of Student Progress in Alternative/Parallel Schools” (2024-25). Alternative/parallel schools face a perception gap in quality compared with private schools. Seven per cent of parents could not attend training because of physical or logistical constraints.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Institutionalise parent education programmes across all alternative education interventions.</w:t>
            </w:r>
          </w:p>
          <w:p>
            <w:pPr>
              <w:spacing w:after="60"/>
              <w:ind w:left="360" w:hanging="259"/>
              <w:jc w:val="both"/>
            </w:pPr>
            <w:r>
              <w:rPr>
                <w:b w:val="0"/>
              </w:rPr>
              <w:t xml:space="preserve">•  </w:t>
            </w:r>
            <w:r>
              <w:rPr>
                <w:b w:val="0"/>
              </w:rPr>
              <w:t>Communicate student outcomes transparently to close the quality-perception gap with private schools.</w:t>
            </w:r>
          </w:p>
          <w:p>
            <w:pPr>
              <w:spacing w:after="60"/>
              <w:ind w:left="360" w:hanging="259"/>
              <w:jc w:val="both"/>
            </w:pPr>
            <w:r>
              <w:rPr>
                <w:b w:val="0"/>
              </w:rPr>
              <w:t xml:space="preserve">•  </w:t>
            </w:r>
            <w:r>
              <w:rPr>
                <w:b w:val="0"/>
              </w:rPr>
              <w:t>Adopt a holistic parent-partnership model covering curricular and co-curricular activities.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Dharwad's study on parental attitudes and involvement in alternative/parallel schools documents a strong model of systematic parent training that strengthens the partnership between home and school. The study used a mixed-methods descriptive survey, combining structured questionnaires with in-depth interviews and observations, to understand how parents engage with their children's education and how they perceive student progress.</w:t>
            </w:r>
          </w:p>
          <w:p>
            <w:pPr>
              <w:spacing w:after="60"/>
              <w:jc w:val="both"/>
            </w:pPr>
            <w:r>
              <w:rPr>
                <w:b w:val="0"/>
              </w:rPr>
              <w:t>The central practice is structured training for parents on supporting their children's education. Its reach was high: Ninety-three per cent of parents in the study had received such training, and only seven per cent had not, owing to physical or logistical constraints. The training was seen as relevant, with ninety-three per cent of parents reporting that the content was applicable. Its practical orientation influenced parents' understanding of effective teaching approaches. Parents showed heightened interest in their children's academic development, an improved ability to support learning at home, and active participation in both curricular and co-curricular activities, demonstrating engagement that goes beyond academics alone. Parents also provided consistent support to teachers.</w:t>
            </w:r>
          </w:p>
          <w:p>
            <w:pPr>
              <w:spacing w:after="60"/>
              <w:jc w:val="both"/>
            </w:pPr>
            <w:r>
              <w:rPr>
                <w:b w:val="0"/>
              </w:rPr>
              <w:t>The practice is sustainable because, once parents are trained, the benefits continue at home without recurring cost to the school. It is replicable in any government or alternative school, as it uses existing school meetings and community structures. Its scalability is shown by the high reach achieved; the study itself concludes that the ninety-three per cent coverage demonstrates the feasibility of large-scale parent education programmes and recommends institutionalising them across all alternative education interventions. The practice is monitorable through simple indicators: the proportion of parents trained, attendance at school activities, and parents' reported involvement in home learning. Combined with transparent communication about student outcomes, the model can also help alternative schools close the perceived quality gap with private schools.</w:t>
            </w:r>
          </w:p>
        </w:tc>
      </w:tr>
    </w:tbl>
    <w:p>
      <w:pPr>
        <w:spacing w:after="120" w:before="160"/>
      </w:pPr>
      <w:r>
        <w:rPr>
          <w:b/>
          <w:i w:val="0"/>
          <w:sz w:val="24"/>
          <w:u w:val="none"/>
        </w:rPr>
        <w:t>References</w:t>
      </w:r>
    </w:p>
    <w:p>
      <w:pPr>
        <w:spacing w:after="60" w:before="0"/>
        <w:ind w:left="576" w:hanging="576"/>
        <w:jc w:val="both"/>
      </w:pPr>
      <w:r>
        <w:rPr>
          <w:b w:val="0"/>
          <w:i w:val="0"/>
          <w:u w:val="none"/>
        </w:rPr>
        <w:t>DIET Dharwad (2024-25). Parental Attitudes, Involvement Patterns, and Perceptions of Student Progress in Alternative/Parallel Schools.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53</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SMT SHARADA S NAREGAL</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Dharwad</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School libraries and reading habits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Dharwad's study “Utilization of Library Books and Reading Habits Among Students in Government High Schools Students” (2024-25). Five per cent of the 30 government high schools studied lack a dedicated library room. Library budgets are not ring-fenced and trained library staff are lacking.</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Set minimum standards for school library infrastructure across government high schools in the district.</w:t>
            </w:r>
          </w:p>
          <w:p>
            <w:pPr>
              <w:spacing w:after="60"/>
              <w:ind w:left="360" w:hanging="259"/>
              <w:jc w:val="both"/>
            </w:pPr>
            <w:r>
              <w:rPr>
                <w:b w:val="0"/>
              </w:rPr>
              <w:t xml:space="preserve">•  </w:t>
            </w:r>
            <w:r>
              <w:rPr>
                <w:b w:val="0"/>
              </w:rPr>
              <w:t>Increase and ring-fence budget allocation for library development.</w:t>
            </w:r>
          </w:p>
          <w:p>
            <w:pPr>
              <w:spacing w:after="60"/>
              <w:ind w:left="360" w:hanging="259"/>
              <w:jc w:val="both"/>
            </w:pPr>
            <w:r>
              <w:rPr>
                <w:b w:val="0"/>
              </w:rPr>
              <w:t xml:space="preserve">•  </w:t>
            </w:r>
            <w:r>
              <w:rPr>
                <w:b w:val="0"/>
              </w:rPr>
              <w:t>Provide trained library professionals or library periods managed by trained teachers.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Dharwad's study on the utilisation of library books and reading habits in government high schools provides a practical model for assessing and strengthening school libraries on the basis of evidence. The study used a descriptive survey design with quantitative and qualitative methods. Researchers visited all 30 selected government high schools and used structured interview schedules for principals and librarians, observation checklists for physical infrastructure, review of library registers and book inventories, and questionnaires for teachers and students. This multi-source approach captured several dimensions of library functioning at once.</w:t>
            </w:r>
          </w:p>
          <w:p>
            <w:pPr>
              <w:spacing w:after="60"/>
              <w:jc w:val="both"/>
            </w:pPr>
            <w:r>
              <w:rPr>
                <w:b w:val="0"/>
              </w:rPr>
              <w:t>The study found that ninety-five per cent of the schools have separate library rooms within the main school building, while five per cent lack dedicated library space. This means that, in most schools, the physical base for a reading programme already exists, and attention can be focused on improving use, collections and management.</w:t>
            </w:r>
          </w:p>
          <w:p>
            <w:pPr>
              <w:spacing w:after="60"/>
              <w:jc w:val="both"/>
            </w:pPr>
            <w:r>
              <w:rPr>
                <w:b w:val="0"/>
              </w:rPr>
              <w:t>The practice worth replicating is the library audit itself: a systematic, school-by-school assessment of space, collections, registers and use, carried out by DIET faculty. It is sustainable because it relies on records that schools already maintain and can be repeated each year at low cost. It is replicable in any district, since the tools, interview schedules, observation checklists and register review, are simple and standard. It is scalable through BRCs and CRPs, who could carry out the same audit during routine school visits. It is monitorable because it yields clear indicators such as availability of a separate library room, size and condition of the collection, and entries in issue registers. The study's recommendations, minimum infrastructure standards, ring-fenced library budgets, and trained library staff or dedicated library periods managed by trained teachers, give district officers a clear action agenda grounded in the audit findings.</w:t>
            </w:r>
          </w:p>
        </w:tc>
      </w:tr>
    </w:tbl>
    <w:p>
      <w:pPr>
        <w:spacing w:after="120" w:before="160"/>
      </w:pPr>
      <w:r>
        <w:rPr>
          <w:b/>
          <w:i w:val="0"/>
          <w:sz w:val="24"/>
          <w:u w:val="none"/>
        </w:rPr>
        <w:t>References</w:t>
      </w:r>
    </w:p>
    <w:p>
      <w:pPr>
        <w:spacing w:after="60" w:before="0"/>
        <w:ind w:left="576" w:hanging="576"/>
        <w:jc w:val="both"/>
      </w:pPr>
      <w:r>
        <w:rPr>
          <w:b w:val="0"/>
          <w:i w:val="0"/>
          <w:u w:val="none"/>
        </w:rPr>
        <w:t>DIET Dharwad (2024-25). Utilization of Library Books and Reading Habits Among Students in Government High Schools Students.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54</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Thammannagowda H</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Effect of Sethubandha/FLN programmes on closing FLN and learning-outcome gaps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“Study on Effective Implementation of Sethubhanda Shikshana Programme (Bridge Course) in 8th Grade Mathematics” (2024-25). Students entering Class 8 carry gaps in mathematical competencies from earlier classes.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Continue the competency-based bridge course with systematic pre-assessment and targeted remediation.</w:t>
            </w:r>
          </w:p>
          <w:p>
            <w:pPr>
              <w:spacing w:after="60"/>
              <w:ind w:left="360" w:hanging="259"/>
              <w:jc w:val="both"/>
            </w:pPr>
            <w:r>
              <w:rPr>
                <w:b w:val="0"/>
              </w:rPr>
              <w:t xml:space="preserve">•  </w:t>
            </w:r>
            <w:r>
              <w:rPr>
                <w:b w:val="0"/>
              </w:rPr>
              <w:t>Ensure teachers study government materials and prepare before the academic year begins.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the implementation of the Sethubandha Shikshana programme (bridge course) in Class 8 mathematics documents a successful practice of competency-based learning recovery at the start of the academic year. Students were assessed through a pre-test of their mathematical competencies, given a bridge course with targeted remediation, and then assessed again through a post-test.</w:t>
            </w:r>
          </w:p>
          <w:p>
            <w:pPr>
              <w:spacing w:after="60"/>
              <w:jc w:val="both"/>
            </w:pPr>
            <w:r>
              <w:rPr>
                <w:b w:val="0"/>
              </w:rPr>
              <w:t>The results show substantial gains across all mathematical competencies from pre-test to post-test. The bridge course also reduced learning disparities among students from diverse backgrounds. The study identified why the programme worked. A majority of teachers studied the government materials, prepared before the academic year began, understood the goals of the bridge course and used innovative teaching approaches. Teachers successfully identified each student's competency level, prepared appropriate assessment tools and provided targeted remedial instruction. The study names four success factors: a competency-based approach, systematic pre-assessment, targeted remediation and teacher preparedness.</w:t>
            </w:r>
          </w:p>
          <w:p>
            <w:pPr>
              <w:spacing w:after="60"/>
              <w:jc w:val="both"/>
            </w:pPr>
            <w:r>
              <w:rPr>
                <w:b w:val="0"/>
              </w:rPr>
              <w:t>The practice is sustainable because Sethubandha is a recurring part of the State's academic calendar, so the approach can be repeated every year with the same materials and tools. It is replicable in every school and district, as the bridge course framework, pre- and post-tests and remediation process are standard across the State. It is scalable to other subjects and classes using the same four success factors. It is monitorable through pre-test and post-test results, which give a clear measure of learning gains for each student and class, and through records of remedial instruction. Two lessons stand out for other districts. Teacher preparation before the academic year, studying materials and understanding the purpose of the bridge course, is critical. Assessment data must be used to plan targeted remediation for individual students. Taken together, these practices make Sethubandha an effective tool for closing learning gaps carried over from earlier classes, particularly in mathematics at the upper primary stage.</w:t>
            </w:r>
          </w:p>
        </w:tc>
      </w:tr>
    </w:tbl>
    <w:p>
      <w:pPr>
        <w:spacing w:after="120" w:before="160"/>
      </w:pPr>
      <w:r>
        <w:rPr>
          <w:b/>
          <w:i w:val="0"/>
          <w:sz w:val="24"/>
          <w:u w:val="none"/>
        </w:rPr>
        <w:t>References</w:t>
      </w:r>
    </w:p>
    <w:p>
      <w:pPr>
        <w:spacing w:after="60" w:before="0"/>
        <w:ind w:left="576" w:hanging="576"/>
        <w:jc w:val="both"/>
      </w:pPr>
      <w:r>
        <w:rPr>
          <w:b w:val="0"/>
          <w:i w:val="0"/>
          <w:u w:val="none"/>
        </w:rPr>
        <w:t>DIET Hassan (2024-25). Study on Effective Implementation of Sethubhanda Shikshana Programme (Bridge Course) in 8th Grade Mathematics.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55</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Anuradha TG</w:t>
            </w:r>
          </w:p>
        </w:tc>
      </w:tr>
      <w:tr>
        <w:tc>
          <w:tcPr>
            <w:tcW w:type="dxa" w:w="3312"/>
            <w:shd w:val="clear" w:color="auto" w:fill="F2F2F2"/>
          </w:tcPr>
          <w:p>
            <w:pPr>
              <w:spacing w:after="0"/>
            </w:pPr>
            <w:r/>
            <w:r>
              <w:rPr>
                <w:b/>
              </w:rPr>
              <w:t>Designation</w:t>
            </w:r>
          </w:p>
        </w:tc>
        <w:tc>
          <w:tcPr>
            <w:tcW w:type="dxa" w:w="5760"/>
          </w:tcPr>
          <w:p>
            <w:pPr>
              <w:spacing w:after="0"/>
            </w:pPr>
            <w:r/>
            <w:r>
              <w:t>Senior 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Factors behind SSLC results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“A Study on the Role of Progress Review Meetings in Improving SSLC Results in Government High Schools of Hassan District” (2025-26). Parental attendance at progress review meetings is modest, the 60–seventy per cent range was most commonly reported (by 32.5 per cent of headmasters).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Data-driven dashboards for real-time academic tracking; grouping students into performance tiers.</w:t>
            </w:r>
          </w:p>
          <w:p>
            <w:pPr>
              <w:spacing w:after="60"/>
              <w:ind w:left="360" w:hanging="259"/>
              <w:jc w:val="both"/>
            </w:pPr>
            <w:r>
              <w:rPr>
                <w:b w:val="0"/>
              </w:rPr>
              <w:t xml:space="preserve">•  </w:t>
            </w:r>
            <w:r>
              <w:rPr>
                <w:b w:val="0"/>
              </w:rPr>
              <w:t>Streamlined 60-minute agendas; share performance summaries with parents at least three days before meetings.</w:t>
            </w:r>
          </w:p>
          <w:p>
            <w:pPr>
              <w:spacing w:after="60"/>
              <w:ind w:left="360" w:hanging="259"/>
              <w:jc w:val="both"/>
            </w:pPr>
            <w:r>
              <w:rPr>
                <w:b w:val="0"/>
              </w:rPr>
              <w:t xml:space="preserve">•  </w:t>
            </w:r>
            <w:r>
              <w:rPr>
                <w:b w:val="0"/>
              </w:rPr>
              <w:t>Monthly mini-reviews and peer review between high- and low-performing schools.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progress review meetings in government high schools documents a school-level administrative practice that is strongly linked to improved SSLC results. A progress review meeting is an official school meeting that analyses overall school development, students' academic performance and administrative functioning. These meetings measure academic progress through tests of learning levels; identify deficiencies and plan special training for low-achieving students; manage grants, mid-day meals, textbooks and uniforms; address infrastructure needs; enrol out-of-school children; and build community partnership through the SDMC. The study used a descriptive survey with a mixed-methods approach, covering 40 headmasters and 40 implementing officers across eight taluks, with 4-point questionnaires analysed through percentages and thematic content analysis.</w:t>
            </w:r>
          </w:p>
          <w:p>
            <w:pPr>
              <w:spacing w:after="60"/>
              <w:jc w:val="both"/>
            </w:pPr>
            <w:r>
              <w:rPr>
                <w:b w:val="0"/>
              </w:rPr>
              <w:t>The evidence is strong. Ninety per cent of headmasters agreed that progress review meetings are a key administrative tool for improving SSLC results, and eighty-five per cent agreed that the meetings had helped raise SSLC pass percentages. In 97.5 per cent of cases, student-centred programmes such as special and remedial classes were organised following meeting instructions, and 92.18 per cent of teachers regularly participated in the meetings.</w:t>
            </w:r>
          </w:p>
          <w:p>
            <w:pPr>
              <w:spacing w:after="60"/>
              <w:jc w:val="both"/>
            </w:pPr>
            <w:r>
              <w:rPr>
                <w:b w:val="0"/>
              </w:rPr>
              <w:t>The practice is sustainable because it uses existing school structures, staff and SDMCs at no additional cost. It is replicable in every high school in the State. It is scalable through standard meeting formats issued by the department. It is monitorable through meeting records, follow-up actions such as remedial classes, teacher and parent attendance, and SSLC results. The study recommends refinements that would make the practice even more effective: data-driven dashboards for real-time academic tracking, grouping students into performance tiers, streamlined 60-minute agendas, sharing performance summaries with parents at least three days before meetings, monthly mini-reviews, and peer review between high- and low-performing schools.</w:t>
            </w:r>
          </w:p>
        </w:tc>
      </w:tr>
    </w:tbl>
    <w:p>
      <w:pPr>
        <w:spacing w:after="120" w:before="160"/>
      </w:pPr>
      <w:r>
        <w:rPr>
          <w:b/>
          <w:i w:val="0"/>
          <w:sz w:val="24"/>
          <w:u w:val="none"/>
        </w:rPr>
        <w:t>References</w:t>
      </w:r>
    </w:p>
    <w:p>
      <w:pPr>
        <w:spacing w:after="60" w:before="0"/>
        <w:ind w:left="576" w:hanging="576"/>
        <w:jc w:val="both"/>
      </w:pPr>
      <w:r>
        <w:rPr>
          <w:b w:val="0"/>
          <w:i w:val="0"/>
          <w:u w:val="none"/>
        </w:rPr>
        <w:t>DIET Hassan (2025-26). A Study on the Role of Progress Review Meetings in Improving SSLC Results in Government High Schools of Hassan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56</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Vijayalakshmi HK</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Teachers' English proficiency and English-medium classroom practice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“A Study on Linguistic Competence for Class 6th English Medium Section Language Teachers and Learners in Hassan District” (2025-26). Students' English communication skills in English-medium sections are improving only gradually and need further practice.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Continue teacher training; more spoken English practice; English clubs, debates, storytelling, role-play and language competitions.</w:t>
            </w:r>
          </w:p>
          <w:p>
            <w:pPr>
              <w:spacing w:after="60"/>
              <w:ind w:left="360" w:hanging="259"/>
              <w:jc w:val="both"/>
            </w:pPr>
            <w:r>
              <w:rPr>
                <w:b w:val="0"/>
              </w:rPr>
              <w:t xml:space="preserve">•  </w:t>
            </w:r>
            <w:r>
              <w:rPr>
                <w:b w:val="0"/>
              </w:rPr>
              <w:t>Stronger classroom observation and mentoring; more digital resources; parental involvement; remedial teaching for slow learners.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the linguistic competence of Class 6 English-medium section teachers and learners documents how English-medium sections in government schools, backed by DIET academic support, have strengthened public education in the district. The Government of Karnataka introduced English-medium sections experimentally in 1,000 schools statewide in 2019-20. In Hassan, they began in 38 schools in 2019-20, expanded to 44 English and 6 Urdu medium sections in 2020-21, and reached 273 permitted sections by 2025-26. The study used a descriptive survey, collecting information from teachers, parents and students through questionnaires, school visits, interviews, classroom observations and focus group discussions.</w:t>
            </w:r>
          </w:p>
          <w:p>
            <w:pPr>
              <w:spacing w:after="60"/>
              <w:jc w:val="both"/>
            </w:pPr>
            <w:r>
              <w:rPr>
                <w:b w:val="0"/>
              </w:rPr>
              <w:t>The findings show clear benefits. English-medium sections increased enrolment in government schools and strengthened parents' confidence in government education. Students' interest in learning English increased, teachers' confidence improved through regular training, and classroom participation became more active. DIET academic support had a positive impact on classroom teaching. Students' communication skills were improving, though gradually, and needed further practice.</w:t>
            </w:r>
          </w:p>
          <w:p>
            <w:pPr>
              <w:spacing w:after="60"/>
              <w:jc w:val="both"/>
            </w:pPr>
            <w:r>
              <w:rPr>
                <w:b w:val="0"/>
              </w:rPr>
              <w:t>The practice is sustainable because it combines a permanent policy provision, English-medium sections, with regular teacher training and continuing DIET support. It is replicable in other districts, where the same expansion and support model can be followed. Its scalability is shown by Hassan's own growth from 38 schools to 273 sections in six years. It is monitorable through enrolment trends, classroom observation and periodic assessment of students' communication skills and vocabulary. The study recommends continued teacher training; more opportunities for spoken English practice; English language clubs, debates, storytelling, role-play and language competitions; stronger classroom observation and mentoring; more digital resources; greater parental involvement; and remedial teaching for slow learners, measures that would help communication skills keep pace with the gains in enrolment and confidence.</w:t>
            </w:r>
          </w:p>
        </w:tc>
      </w:tr>
    </w:tbl>
    <w:p>
      <w:pPr>
        <w:spacing w:after="120" w:before="160"/>
      </w:pPr>
      <w:r>
        <w:rPr>
          <w:b/>
          <w:i w:val="0"/>
          <w:sz w:val="24"/>
          <w:u w:val="none"/>
        </w:rPr>
        <w:t>References</w:t>
      </w:r>
    </w:p>
    <w:p>
      <w:pPr>
        <w:spacing w:after="60" w:before="0"/>
        <w:ind w:left="576" w:hanging="576"/>
        <w:jc w:val="both"/>
      </w:pPr>
      <w:r>
        <w:rPr>
          <w:b w:val="0"/>
          <w:i w:val="0"/>
          <w:u w:val="none"/>
        </w:rPr>
        <w:t>DIET Hassan (2025-26). A Study on Linguistic Competence for Class 6th English Medium Section Language Teachers and Learners in Hassan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57</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Gayithri Bai</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Out-of-school and dropout children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“A Study on the Factors Contributing to School Dropout among Secondary School Students in Hassan District” (2025-26). Significant dropout at Classes 8–10: Arkalgud recorded the highest (49 students), then Belur (38); Sakleshpur the lowest (2). Rural boys formed the majority of dropouts in all taluks except Hassan; main causes were family problems, social issues, labour migration and lack of interest. Home visits and awareness programmes had mixed success in re-enrolment.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More effective awareness programmes; strict enforcement of compulsory education rules.</w:t>
            </w:r>
          </w:p>
          <w:p>
            <w:pPr>
              <w:spacing w:after="60"/>
              <w:ind w:left="360" w:hanging="259"/>
              <w:jc w:val="both"/>
            </w:pPr>
            <w:r>
              <w:rPr>
                <w:b w:val="0"/>
              </w:rPr>
              <w:t xml:space="preserve">•  </w:t>
            </w:r>
            <w:r>
              <w:rPr>
                <w:b w:val="0"/>
              </w:rPr>
              <w:t>Improved school facilities and financial assistance to support continuity of education.</w:t>
            </w:r>
          </w:p>
          <w:p>
            <w:pPr>
              <w:spacing w:after="60"/>
              <w:ind w:left="360" w:hanging="259"/>
              <w:jc w:val="both"/>
            </w:pPr>
            <w:r>
              <w:rPr>
                <w:b w:val="0"/>
              </w:rPr>
              <w:t xml:space="preserve">•  </w:t>
            </w:r>
            <w:r>
              <w:rPr>
                <w:b w:val="0"/>
              </w:rPr>
              <w:t>Head teachers and teachers should take necessary measures to prevent dropout.</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the factors contributing to school dropout among secondary students documents a systematic, taluk-wise approach to understanding dropout that provides a sound basis for targeted action. Despite programmes such as enrolment campaigns, Back to School, Chinnara Angala and Sethubandha, dropout at the high school level (Classes 8–10) persists in this predominantly agricultural district. The study used survey and descriptive methods, collecting data from headmasters, teachers, CRPs and ECOs of secondary schools in all eight taluks, Alur, Arkalgud, Arsikere, Belur, Channarayapatna, Hassan, Holenarasipura and Sakleshpur.</w:t>
            </w:r>
          </w:p>
          <w:p>
            <w:pPr>
              <w:spacing w:after="60"/>
              <w:jc w:val="both"/>
            </w:pPr>
            <w:r>
              <w:rPr>
                <w:b w:val="0"/>
              </w:rPr>
              <w:t>The practice that stands out is the precise, location-specific mapping of dropout. The study identified where dropout is concentrated: Arkalgud taluk recorded the highest number of dropouts (49 students), followed by Belur (38 students), while Sakleshpur recorded the lowest (two students). It identified who drops out: rural boys constituted the majority in all taluks except Hassan, where urban dropout exceeded rural dropout. It also identified why: the major factors were family problems, social issues, migration for labour and lack of interest in education. Finally, it documented the follow-up efforts of officials, including home visits and awareness programmes, and their mixed success in re-enrolling students.</w:t>
            </w:r>
          </w:p>
          <w:p>
            <w:pPr>
              <w:spacing w:after="60"/>
              <w:jc w:val="both"/>
            </w:pPr>
            <w:r>
              <w:rPr>
                <w:b w:val="0"/>
              </w:rPr>
              <w:t>This approach is sustainable because it draws on data that headmasters, CRPs and ECOs already collect. It is replicable in every district through the same network of field functionaries. It is scalable by making taluk-wise dropout analysis an annual DIET activity. It is monitorable through year-on-year comparison of dropout numbers by taluk, gender and location, and re-enrolment rates. The study recommends more effective awareness programmes, strict enforcement of compulsory education rules, improved school facilities and financial assistance to support continuity of education. With precise data, these measures can be concentrated in the taluks and groups that need them most.</w:t>
            </w:r>
          </w:p>
        </w:tc>
      </w:tr>
    </w:tbl>
    <w:p>
      <w:pPr>
        <w:spacing w:after="120" w:before="160"/>
      </w:pPr>
      <w:r>
        <w:rPr>
          <w:b/>
          <w:i w:val="0"/>
          <w:sz w:val="24"/>
          <w:u w:val="none"/>
        </w:rPr>
        <w:t>References</w:t>
      </w:r>
    </w:p>
    <w:p>
      <w:pPr>
        <w:spacing w:after="60" w:before="0"/>
        <w:ind w:left="576" w:hanging="576"/>
        <w:jc w:val="both"/>
      </w:pPr>
      <w:r>
        <w:rPr>
          <w:b w:val="0"/>
          <w:i w:val="0"/>
          <w:u w:val="none"/>
        </w:rPr>
        <w:t>DIET Hassan (2025-26). A Study on the Factors Contributing to School Dropout among Secondary School Students in Hassan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58</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Bharathi BP</w:t>
            </w:r>
          </w:p>
        </w:tc>
      </w:tr>
      <w:tr>
        <w:tc>
          <w:tcPr>
            <w:tcW w:type="dxa" w:w="3312"/>
            <w:shd w:val="clear" w:color="auto" w:fill="F2F2F2"/>
          </w:tcPr>
          <w:p>
            <w:pPr>
              <w:spacing w:after="0"/>
            </w:pPr>
            <w:r/>
            <w:r>
              <w:rPr>
                <w:b/>
              </w:rPr>
              <w:t>Designation</w:t>
            </w:r>
          </w:p>
        </w:tc>
        <w:tc>
          <w:tcPr>
            <w:tcW w:type="dxa" w:w="5760"/>
          </w:tcPr>
          <w:p>
            <w:pPr>
              <w:spacing w:after="0"/>
            </w:pPr>
            <w:r/>
            <w:r>
              <w:t>Senior 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Readiness and effect of pre-primary (LKG/UKG, ECCE) education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“A Study on the CLAP Learning Program (Children's Learning Acceleration Program) in Pre-Primary Schools of Hassan District” (2025-26). Learning gaps in basic reading, writing and mathematics begin at the pre-primary stage.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Sustain parental involvement; continue teacher guidance and mentoring.</w:t>
            </w:r>
          </w:p>
          <w:p>
            <w:pPr>
              <w:spacing w:after="60"/>
              <w:ind w:left="360" w:hanging="259"/>
              <w:jc w:val="both"/>
            </w:pPr>
            <w:r>
              <w:rPr>
                <w:b w:val="0"/>
              </w:rPr>
              <w:t xml:space="preserve">•  </w:t>
            </w:r>
            <w:r>
              <w:rPr>
                <w:b w:val="0"/>
              </w:rPr>
              <w:t>Strengthen the home–school connection through digital media where appropriate.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the Children's Learning Acceleration Program (CLAP) in pre-primary schools documents a practice that strengthens foundational learning from the earliest stage. CLAP is designed to strengthen children's basic abilities in reading, writing and mathematics and to reduce learning gaps among students in government schools. The study used a descriptive survey in purposively selected KPN pre-primary schools actively implementing the programme, with teachers, participating children and selected parents as respondents. Data were collected through a questionnaire, an observation checklist, an interview schedule and document analysis, and learning achievement was compared between schools implementing CLAP and those that do not.</w:t>
            </w:r>
          </w:p>
          <w:p>
            <w:pPr>
              <w:spacing w:after="60"/>
              <w:jc w:val="both"/>
            </w:pPr>
            <w:r>
              <w:rPr>
                <w:b w:val="0"/>
              </w:rPr>
              <w:t>The findings are positive on every dimension studied. Parental participation increased significantly, with parents providing learning-related support at home. Children showed improvement in listening and speaking skills and in basic numeracy, including counting and number recognition. Schools implementing CLAP showed better learning achievement, greater student confidence and interest, and improved school readiness compared with schools without the programme. CLAP achieves this through project-based learning and activity-based modules covering language and literacy, mathematics and numeracy, cognitive skills and social-emotional growth.</w:t>
            </w:r>
          </w:p>
          <w:p>
            <w:pPr>
              <w:spacing w:after="60"/>
              <w:jc w:val="both"/>
            </w:pPr>
            <w:r>
              <w:rPr>
                <w:b w:val="0"/>
              </w:rPr>
              <w:t>The practice is sustainable because its activity-based modules and parent engagement can continue as part of the regular pre-primary routine. It is replicable in other pre-primary sections, particularly in Karnataka Public Schools. It is scalable by extending the modules and teacher guidance to all pre-primary classes in the district. It is monitorable through observation checklists, children's progress in listening, speaking and numeracy, and comparison with non-CLAP schools, as this study did. The study recommends sustaining parental involvement, continuing teacher guidance and mentoring, and strengthening the home–school connection through digital media where appropriate. These measures would extend CLAP's benefits to more children at the stage where learning foundations are laid.</w:t>
            </w:r>
          </w:p>
        </w:tc>
      </w:tr>
    </w:tbl>
    <w:p>
      <w:pPr>
        <w:spacing w:after="120" w:before="160"/>
      </w:pPr>
      <w:r>
        <w:rPr>
          <w:b/>
          <w:i w:val="0"/>
          <w:sz w:val="24"/>
          <w:u w:val="none"/>
        </w:rPr>
        <w:t>References</w:t>
      </w:r>
    </w:p>
    <w:p>
      <w:pPr>
        <w:spacing w:after="60" w:before="0"/>
        <w:ind w:left="576" w:hanging="576"/>
        <w:jc w:val="both"/>
      </w:pPr>
      <w:r>
        <w:rPr>
          <w:b w:val="0"/>
          <w:i w:val="0"/>
          <w:u w:val="none"/>
        </w:rPr>
        <w:t>DIET Hassan (2025-26). A Study on the CLAP Learning Program (Children's Learning Acceleration Program) in Pre-Primary Schools of Hassan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59</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Value education and life skills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“Role of Nava Manujaru Program in the Personality Development of Selected Government Higher Primary School Students in Hassan District” (2025-26). Personality development and life skills are not systematically built into regular teaching.</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Integrate personality development activities into regular classroom teaching.</w:t>
            </w:r>
          </w:p>
          <w:p>
            <w:pPr>
              <w:spacing w:after="60"/>
              <w:ind w:left="360" w:hanging="259"/>
              <w:jc w:val="both"/>
            </w:pPr>
            <w:r>
              <w:rPr>
                <w:b w:val="0"/>
              </w:rPr>
              <w:t xml:space="preserve">•  </w:t>
            </w:r>
            <w:r>
              <w:rPr>
                <w:b w:val="0"/>
              </w:rPr>
              <w:t>Strengthen life-skills and value-based education; expand the Nava Manujaru programme to more schools across the district and State.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the Nava Manujaru programme in government higher primary schools documents a practice that builds students' personality, life skills and values alongside academic learning. The study used a quantitative descriptive survey of students in Classes 6 to 8 and of teachers coordinating the programme in selected schools, supported by qualitative inputs from interviews and observations.</w:t>
            </w:r>
          </w:p>
          <w:p>
            <w:pPr>
              <w:spacing w:after="60"/>
              <w:jc w:val="both"/>
            </w:pPr>
            <w:r>
              <w:rPr>
                <w:b w:val="0"/>
              </w:rPr>
              <w:t>The findings show wide-ranging benefits for students. Those who participated in the programme showed increased self-confidence and were more willing to express their opinions in classroom and school activities. Their communication skills, including speaking, listening and interpersonal interaction, improved significantly. Students demonstrated better leadership qualities, decision-making and problem-solving abilities, and improved teamwork, cooperation, self-discipline and time management. The study concludes that Nava Manujaru contributes positively to students' overall personality development, including self-confidence, communication skills, leadership, teamwork and moral values.</w:t>
            </w:r>
          </w:p>
          <w:p>
            <w:pPr>
              <w:spacing w:after="60"/>
              <w:jc w:val="both"/>
            </w:pPr>
            <w:r>
              <w:rPr>
                <w:b w:val="0"/>
              </w:rPr>
              <w:t>The practice is sustainable because it works through teachers already coordinating the programme in schools and can be built into the regular school calendar. It is replicable in other government higher primary schools, since it targets the upper primary age group common to all such schools. It is scalable: the study itself recommends expanding the programme to more schools across the district and the State. It is monitorable through simple indicators such as students' participation in classroom discussion and school activities, leadership roles taken up, and teacher observations of communication, teamwork and self-discipline. The study further recommends integrating personality development activities into regular classroom teaching and strengthening life-skills and value-based education in government schools. Nava Manujaru therefore offers a ready model for the State's value education and life skills priorities, showing that structured activities in the upper primary years can measurably strengthen the qualities that students need for further education and life.</w:t>
            </w:r>
          </w:p>
        </w:tc>
      </w:tr>
    </w:tbl>
    <w:p>
      <w:pPr>
        <w:spacing w:after="120" w:before="160"/>
      </w:pPr>
      <w:r>
        <w:rPr>
          <w:b/>
          <w:i w:val="0"/>
          <w:sz w:val="24"/>
          <w:u w:val="none"/>
        </w:rPr>
        <w:t>References</w:t>
      </w:r>
    </w:p>
    <w:p>
      <w:pPr>
        <w:spacing w:after="60" w:before="0"/>
        <w:ind w:left="576" w:hanging="576"/>
        <w:jc w:val="both"/>
      </w:pPr>
      <w:r>
        <w:rPr>
          <w:b w:val="0"/>
          <w:i w:val="0"/>
          <w:u w:val="none"/>
        </w:rPr>
        <w:t>DIET Hassan (2025-26). Role of Nava Manujaru Program in the Personality Development of Selected Government Higher Primary School Students in Hassan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60</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Pushpa SM</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School libraries and reading habits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“A Study on Government Higher Primary School Students in Hassan District and Their Use of the School Library” (2025-26) and DIET Hassan's study “Impact of the 100 Day Reading Campaign-2024 on Learning of Government Higher Primary Students of Hassan District” (2025-26) and DIET Hassan's study “Kannada Library Reading Habits of 5th Standard Students in Hassan District” (2024-25). Thirty-six per cent of students found library books insufficient and forty-one per cent said library periods were held only occasionally. In the 100-Day Reading Campaign, thirty-two per cent of students had writing errors; commuting, household chores and farm labour limited reading time; difficult vocabulary in new literature was a barrier.</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More age-appropriate, illustrated books; regular weekly library periods; library-based classroom learning; reading competitions.</w:t>
            </w:r>
          </w:p>
          <w:p>
            <w:pPr>
              <w:spacing w:after="60"/>
              <w:ind w:left="360" w:hanging="259"/>
              <w:jc w:val="both"/>
            </w:pPr>
            <w:r>
              <w:rPr>
                <w:b w:val="0"/>
              </w:rPr>
              <w:t xml:space="preserve">•  </w:t>
            </w:r>
            <w:r>
              <w:rPr>
                <w:b w:val="0"/>
              </w:rPr>
              <w:t>Dedicated classroom reading spaces; e-books, audio books and QR-code stories; freedom for children to choose their reading; stronger parental cooperation in rural areas.</w:t>
            </w:r>
          </w:p>
          <w:p>
            <w:pPr>
              <w:spacing w:after="60"/>
              <w:ind w:left="360" w:hanging="259"/>
              <w:jc w:val="both"/>
            </w:pPr>
            <w:r>
              <w:rPr>
                <w:b w:val="0"/>
              </w:rPr>
              <w:t xml:space="preserve">•  </w:t>
            </w:r>
            <w:r>
              <w:rPr>
                <w:b w:val="0"/>
              </w:rPr>
              <w:t>School libraries continue to play an important role in promoting reading habits and supporting academic learning; teacher encouragement significantly influences library usage, but inadequate book collections and irregular library periods reduce effective utilization.</w:t>
            </w:r>
          </w:p>
          <w:p>
            <w:pPr>
              <w:spacing w:after="60"/>
              <w:ind w:left="360" w:hanging="259"/>
              <w:jc w:val="both"/>
            </w:pPr>
            <w:r>
              <w:rPr>
                <w:b w:val="0"/>
              </w:rPr>
              <w:t xml:space="preserve">•  </w:t>
            </w:r>
            <w:r>
              <w:rPr>
                <w:b w:val="0"/>
              </w:rPr>
              <w:t>There is a need to curate an engaging selection of age- appropriate books, create dedicated reading spaces in classrooms, and use technology such as e-books, audio books, and QR-code stories to sustain interest.</w:t>
            </w:r>
          </w:p>
          <w:p>
            <w:pPr>
              <w:spacing w:after="60"/>
              <w:ind w:left="360" w:hanging="259"/>
              <w:jc w:val="both"/>
            </w:pPr>
            <w:r>
              <w:rPr>
                <w:b w:val="0"/>
              </w:rPr>
              <w:t xml:space="preserve">•  </w:t>
            </w:r>
            <w:r>
              <w:rPr>
                <w:b w:val="0"/>
              </w:rPr>
              <w:t>Priority must be given to procuring quality curriculum- aligned reference materials.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Two DIET Hassan studies document complementary practices for building reading habits: regular use of school libraries in government higher primary schools, and the 100-Day Reading Campaign 2024. The library study surveyed 300 students from 10 government higher primary schools selected through simple random sampling, using questionnaires, an observation schedule, informal interviews with teachers and headmasters, and library records. The reading campaign study surveyed students, parents, teachers and head teachers in selected schools across eight taluks, examining the campaign's effect on Class 6 and 7 students.</w:t>
            </w:r>
          </w:p>
          <w:p>
            <w:pPr>
              <w:spacing w:after="60"/>
              <w:jc w:val="both"/>
            </w:pPr>
            <w:r>
              <w:rPr>
                <w:b w:val="0"/>
              </w:rPr>
              <w:t>The library study shows that regular, teacher-encouraged library use is well established. Approximately eighty-two per cent of students visited the library at least once a week, and sixty-four per cent preferred storybooks and children's literature. About seventy-one per cent said teachers encouraged regular library use, and sixty-seven per cent believed library reading improved their language skills and academic performance. The study concludes that teacher encouragement strongly influences library use. The 100-Day Reading Campaign, which engaged children, teachers, parents, the community and educational implementers, increased students' knowledge through science books and biographies, and fifty-six per cent of students could comprehend and explain what they had read.</w:t>
            </w:r>
          </w:p>
          <w:p>
            <w:pPr>
              <w:spacing w:after="60"/>
              <w:jc w:val="both"/>
            </w:pPr>
            <w:r>
              <w:rPr>
                <w:b w:val="0"/>
              </w:rPr>
              <w:t>Both practices are sustainable because they use existing libraries and school routines. They are replicable statewide, and the reading campaign model can be repeated each year. They are scalable through weekly library periods and community involvement. They are monitorable through library issue registers, frequency of visits and students' ability to comprehend and explain texts. The studies recommend more age-appropriate, illustrated books; regular weekly library periods; library-based classroom learning; reading competitions; dedicated classroom reading spaces; e-books, audio books and QR-code stories; freedom for children to choose their reading; and stronger parental cooperation in rural areas. (The 2024-25 study on Kannada library reading habits of Class 5 students has no findings recorded in the compilation.)</w:t>
            </w:r>
          </w:p>
        </w:tc>
      </w:tr>
    </w:tbl>
    <w:p>
      <w:pPr>
        <w:spacing w:after="120" w:before="160"/>
      </w:pPr>
      <w:r>
        <w:rPr>
          <w:b/>
          <w:i w:val="0"/>
          <w:sz w:val="24"/>
          <w:u w:val="none"/>
        </w:rPr>
        <w:t>References</w:t>
      </w:r>
    </w:p>
    <w:p>
      <w:pPr>
        <w:spacing w:after="60" w:before="0"/>
        <w:ind w:left="576" w:hanging="576"/>
        <w:jc w:val="both"/>
      </w:pPr>
      <w:r>
        <w:rPr>
          <w:b w:val="0"/>
          <w:i w:val="0"/>
          <w:u w:val="none"/>
        </w:rPr>
        <w:t>DIET Hassan (2025-26). A Study on Government Higher Primary School Students in Hassan District and Their Use of the School Library; DIET Hassan (2025-26). Impact of the 100 Day Reading Campaign-2024 on Learning of Government Higher Primary Students of Hassan District; DIET Hassan (2024-25). Kannada Library Reading Habits of 5th Standard Students in Hassan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61</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Parameshwarappa YS</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Use of ICT labs, TALP and smart classes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“SMART CLASS Effect Study at Selected Technology Assisted Learning Programme (TALP) Government High Schools in Hassan District” (2024-25) and DIET Hassan's study “Use of Internet in Classroom Teaching in Government High Schools of Hassan District” (2024-25) and DIET Hassan's study “A Study on the Implementation of the TALP Program in Government High Schools in Hassan District” (2025-26) and DIET Hassan's study “Comparative Study of Online Learning and Traditional Learning among Class IX Students of a Government High School under Programme TALP” (2025-26). About twenty-five per cent of rural TALP schools lacked uninterrupted power and nearly fifty per cent lacked seamless internet. Equipment maintenance, Internet and technical support are recurring obstacles; teachers want advanced and subject-specific digital pedagogy training. Online learning alone gave weaker conceptual understanding than classroom teaching where connectivity and devices were poor.</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Address power, connectivity and technical maintenance alongside continued teacher capacity building.</w:t>
            </w:r>
          </w:p>
          <w:p>
            <w:pPr>
              <w:spacing w:after="60"/>
              <w:ind w:left="360" w:hanging="259"/>
              <w:jc w:val="both"/>
            </w:pPr>
            <w:r>
              <w:rPr>
                <w:b w:val="0"/>
              </w:rPr>
              <w:t xml:space="preserve">•  </w:t>
            </w:r>
            <w:r>
              <w:rPr>
                <w:b w:val="0"/>
              </w:rPr>
              <w:t>Adopt blended learning, online learning to complement, not replace, classroom teaching; regular ICT training; digital content in regional languages.</w:t>
            </w:r>
          </w:p>
          <w:p>
            <w:pPr>
              <w:spacing w:after="60"/>
              <w:ind w:left="360" w:hanging="259"/>
              <w:jc w:val="both"/>
            </w:pPr>
            <w:r>
              <w:rPr>
                <w:b w:val="0"/>
              </w:rPr>
              <w:t xml:space="preserve">•  </w:t>
            </w:r>
            <w:r>
              <w:rPr>
                <w:b w:val="0"/>
              </w:rPr>
              <w:t>Pre-loaded Kannada digital content reduces adoption friction.</w:t>
            </w:r>
          </w:p>
          <w:p>
            <w:pPr>
              <w:spacing w:after="60"/>
              <w:ind w:left="360" w:hanging="259"/>
              <w:jc w:val="both"/>
            </w:pPr>
            <w:r>
              <w:rPr>
                <w:b w:val="0"/>
              </w:rPr>
              <w:t xml:space="preserve">•  </w:t>
            </w:r>
            <w:r>
              <w:rPr>
                <w:b w:val="0"/>
              </w:rPr>
              <w:t>Strengthen technical maintenance support, expand internet connectivity in rural schools, and continue teacher capacity-building for TALP kit utilization.</w:t>
            </w:r>
          </w:p>
          <w:p>
            <w:pPr>
              <w:spacing w:after="60"/>
              <w:ind w:left="360" w:hanging="259"/>
              <w:jc w:val="both"/>
            </w:pPr>
            <w:r>
              <w:rPr>
                <w:b w:val="0"/>
              </w:rPr>
              <w:t xml:space="preserve">•  </w:t>
            </w:r>
            <w:r>
              <w:rPr>
                <w:b w:val="0"/>
              </w:rPr>
              <w:t>TALP can significantly improve student engagement when integrated into daily teaching practices, but teacher training in digital pedagogy and improved digital infrastructure are essential.</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Four DIET Hassan studies, on TALP implementation, SMART CLASS, Internet use in classroom teaching, and online versus traditional learning, together document technology-assisted learning as a best practice in government high schools. The largest study used stratified random sampling to select 40 government high schools across eight taluks, with 40 headmasters, 40 teachers and 200 students of Grades 8–10, using questionnaires, interviews and observation checklists. The Internet-use study covered 32 government high schools.</w:t>
            </w:r>
          </w:p>
          <w:p>
            <w:pPr>
              <w:spacing w:after="60"/>
              <w:jc w:val="both"/>
            </w:pPr>
            <w:r>
              <w:rPr>
                <w:b w:val="0"/>
              </w:rPr>
              <w:t>The evidence of impact is notable. Following the introduction of TALP, student enrolment increased by 4.5 per cent in Grade 8, nine per cent in Grade 9 and fourteen per cent in Grade 10, and attendance improved by nine per cent, eleven per cent and eighteen per cent respectively. Over eighty per cent of teachers integrated digital tools into daily teaching using open-source software such as Ubuntu, GeoGebra and LibreOffice, and fifty-eight per cent of TALP schools developed and integrated localised e-lessons. All 32 schools in the Internet study had connectivity, and teachers (128 respondents) used Internet-based tools for lessons and created e-content. Teachers observed increased engagement, attention and conceptual understanding with technology-assisted methods. The comparative study found that a blended approach combining online and classroom instruction produced better engagement and outcomes than either alone.</w:t>
            </w:r>
          </w:p>
          <w:p>
            <w:pPr>
              <w:spacing w:after="60"/>
              <w:jc w:val="both"/>
            </w:pPr>
            <w:r>
              <w:rPr>
                <w:b w:val="0"/>
              </w:rPr>
              <w:t>The practice is sustainable because it relies on open-source software and teacher-created localised e-lessons, reducing recurring cost. It is replicable in every TALP school in the State. It is scalable through TALP Induction and Refresher training, which teachers in Hassan have received. It is monitorable through enrolment, attendance, teachers' daily use of digital tools and the number of localised e-lessons. The studies recommend addressing power, connectivity and maintenance, continued capacity building, advanced subject-specific digital pedagogy, and blended learning with digital content in regional languages.</w:t>
            </w:r>
          </w:p>
        </w:tc>
      </w:tr>
    </w:tbl>
    <w:p>
      <w:pPr>
        <w:spacing w:after="120" w:before="160"/>
      </w:pPr>
      <w:r>
        <w:rPr>
          <w:b/>
          <w:i w:val="0"/>
          <w:sz w:val="24"/>
          <w:u w:val="none"/>
        </w:rPr>
        <w:t>References</w:t>
      </w:r>
    </w:p>
    <w:p>
      <w:pPr>
        <w:spacing w:after="60" w:before="0"/>
        <w:ind w:left="576" w:hanging="576"/>
        <w:jc w:val="both"/>
      </w:pPr>
      <w:r>
        <w:rPr>
          <w:b w:val="0"/>
          <w:i w:val="0"/>
          <w:u w:val="none"/>
        </w:rPr>
        <w:t>DIET Hassan (2024-25). SMART CLASS Effect Study at Selected Technology Assisted Learning Programme (TALP) Government High Schools in Hassan District; DIET Hassan (2024-25). Use of Internet in Classroom Teaching in Government High Schools of Hassan District; DIET Hassan (2025-26). A Study on the Implementation of the TALP Program in Government High Schools in Hassan District; DIET Hassan (2025-26). Comparative Study of Online Learning and Traditional Learning among Class IX Students of a Government High School under Programme TALP.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62</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Chandrika T</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Teachers' creation and use of digital resources (e-content)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“A Study on the Creation and Utilization of Digital Resources in Teaching among Teachers of Government High Schools in Hassan District” (2025-26). Only a limited number of teachers develop advanced content such as videos or interactive modules; rural schools have weaker digital infrastructure than urban schools.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Regular ICT training and capacity building; adequate computers and reliable internet.</w:t>
            </w:r>
          </w:p>
          <w:p>
            <w:pPr>
              <w:spacing w:after="60"/>
              <w:ind w:left="360" w:hanging="259"/>
              <w:jc w:val="both"/>
            </w:pPr>
            <w:r>
              <w:rPr>
                <w:b w:val="0"/>
              </w:rPr>
              <w:t xml:space="preserve">•  </w:t>
            </w:r>
            <w:r>
              <w:rPr>
                <w:b w:val="0"/>
              </w:rPr>
              <w:t>Reduce rural–urban disparities in digital access; continuous technical and administrative support.</w:t>
            </w:r>
          </w:p>
          <w:p>
            <w:pPr>
              <w:spacing w:after="60"/>
              <w:ind w:left="360" w:hanging="259"/>
              <w:jc w:val="both"/>
            </w:pPr>
            <w:r>
              <w:rPr>
                <w:b w:val="0"/>
              </w:rPr>
              <w:t xml:space="preserve">•  </w:t>
            </w:r>
            <w:r>
              <w:rPr>
                <w:b w:val="0"/>
              </w:rPr>
              <w:t>Improved teaching effectiveness and student-centred learning result from effective use of digital resources.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the creation and use of digital resources by government high school teachers documents the growing digital capacity of teachers and the link between ICT training and classroom practice. Digital resources such as e-content, presentations, educational videos and interactive applications have become essential tools for classroom instruction. The study used a descriptive survey, drawing a representative sample of teachers from government high schools across the district by stratified random sampling, with questionnaires distributed in person or through Google Forms.</w:t>
            </w:r>
          </w:p>
          <w:p>
            <w:pPr>
              <w:spacing w:after="60"/>
              <w:jc w:val="both"/>
            </w:pPr>
            <w:r>
              <w:rPr>
                <w:b w:val="0"/>
              </w:rPr>
              <w:t>The findings show a strong base of teacher digital practice. Most teachers possess basic digital literacy and use computers, projectors and Internet-based applications for teaching. A majority create simple digital resources themselves, such as presentations, PDF notes, worksheets and online quizzes. Most importantly, teachers who had received ICT-related training showed higher levels of digital resource creation and use, clear evidence that training translates into practice. The study also found that urban schools generally had better digital infrastructure than rural schools, identifying where support is most needed.</w:t>
            </w:r>
          </w:p>
          <w:p>
            <w:pPr>
              <w:spacing w:after="60"/>
              <w:jc w:val="both"/>
            </w:pPr>
            <w:r>
              <w:rPr>
                <w:b w:val="0"/>
              </w:rPr>
              <w:t>The practice of teacher-created digital resources is sustainable because teachers produce materials suited to their own classes using commonly available tools, with little or no recurring cost. It is replicable in every government high school. It is scalable through ICT training, since the study demonstrates the link between training and resource creation; trained teachers can also share resources across schools. It is monitorable through records of resources created, their use in lessons, and the proportion of teachers trained in ICT. The study recommends regular ICT training and capacity building, adequate computers and reliable Internet connectivity, reducing rural–urban disparities in digital access, and continuous technical and administrative support for schools. These steps would help more teachers move from simple presentations and worksheets to advanced content such as videos and interactive modules.</w:t>
            </w:r>
          </w:p>
        </w:tc>
      </w:tr>
    </w:tbl>
    <w:p>
      <w:pPr>
        <w:spacing w:after="120" w:before="160"/>
      </w:pPr>
      <w:r>
        <w:rPr>
          <w:b/>
          <w:i w:val="0"/>
          <w:sz w:val="24"/>
          <w:u w:val="none"/>
        </w:rPr>
        <w:t>References</w:t>
      </w:r>
    </w:p>
    <w:p>
      <w:pPr>
        <w:spacing w:after="60" w:before="0"/>
        <w:ind w:left="576" w:hanging="576"/>
        <w:jc w:val="both"/>
      </w:pPr>
      <w:r>
        <w:rPr>
          <w:b w:val="0"/>
          <w:i w:val="0"/>
          <w:u w:val="none"/>
        </w:rPr>
        <w:t>DIET Hassan (2025-26). A Study on the Creation and Utilization of Digital Resources in Teaching among Teachers of Government High Schools in Hassan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63</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Lokesha BA</w:t>
            </w:r>
          </w:p>
        </w:tc>
      </w:tr>
      <w:tr>
        <w:tc>
          <w:tcPr>
            <w:tcW w:type="dxa" w:w="3312"/>
            <w:shd w:val="clear" w:color="auto" w:fill="F2F2F2"/>
          </w:tcPr>
          <w:p>
            <w:pPr>
              <w:spacing w:after="0"/>
            </w:pPr>
            <w:r/>
            <w:r>
              <w:rPr>
                <w:b/>
              </w:rPr>
              <w:t>Designation</w:t>
            </w:r>
          </w:p>
        </w:tc>
        <w:tc>
          <w:tcPr>
            <w:tcW w:type="dxa" w:w="5760"/>
          </w:tcPr>
          <w:p>
            <w:pPr>
              <w:spacing w:after="0"/>
            </w:pPr>
            <w:r/>
            <w:r>
              <w:t>Senior 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Inclusive education for children with special needs (CWSN)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“A Study on the Empowerment of Special Needs Students in Government High Schools of Hassan District” (2025-26). Many schools lack assistive devices, accessible infrastructure and specialised learning materials. Many teachers need training in inclusive methods and individualised education planning.</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Strengthen inclusive education under Samagra Shiksha and the RPWD framework; continuous professional development in inclusive methods.</w:t>
            </w:r>
          </w:p>
          <w:p>
            <w:pPr>
              <w:spacing w:after="60"/>
              <w:ind w:left="360" w:hanging="259"/>
              <w:jc w:val="both"/>
            </w:pPr>
            <w:r>
              <w:rPr>
                <w:b w:val="0"/>
              </w:rPr>
              <w:t xml:space="preserve">•  </w:t>
            </w:r>
            <w:r>
              <w:rPr>
                <w:b w:val="0"/>
              </w:rPr>
              <w:t>Equal participation and leadership opportunities for special needs students.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the empowerment of students with special needs in government high schools documents the progress of inclusive education in mainstream classrooms. Guided by NEP 2020, the Rights of Persons with Disabilities Act 2016 and Samagra Shiksha, the study assessed students' educational, social, psychological and personal empowerment, the accessibility of facilities and support services, and the roles of teachers, management, parents and peers. It used a descriptive survey with a representative sample selected through stratified random sampling; students, teachers and head teachers were chosen through simple random or purposive sampling, and data were gathered through questionnaires, interviews, observations and schedules, with secondary data from DISE/UDISE records and policy documents.</w:t>
            </w:r>
          </w:p>
          <w:p>
            <w:pPr>
              <w:spacing w:after="60"/>
              <w:jc w:val="both"/>
            </w:pPr>
            <w:r>
              <w:rPr>
                <w:b w:val="0"/>
              </w:rPr>
              <w:t>The study found encouraging progress. Most students with special needs were enrolled in mainstream government high schools, reflecting progress in inclusive education policy. Teachers generally showed positive attitudes towards inclusion. Participation in classroom and co-curricular activities improved students' self-confidence, communication skills and social inclusion, the core of empowerment.</w:t>
            </w:r>
          </w:p>
          <w:p>
            <w:pPr>
              <w:spacing w:after="60"/>
              <w:jc w:val="both"/>
            </w:pPr>
            <w:r>
              <w:rPr>
                <w:b w:val="0"/>
              </w:rPr>
              <w:t>The practice of mainstream enrolment with active participation in classroom and co-curricular life is sustainable because it builds on statutory provisions and on teachers' positive attitudes. It is replicable in every district under the Samagra Shiksha framework. It is scalable by extending participation opportunities, including leadership roles, to all students with special needs. It is monitorable through UDISE enrolment data, participation in school activities, and assessments of students' confidence and communication. The study recommends strengthening inclusive education under Samagra Shiksha and the RPWD framework, continuous professional development for teachers in inclusive methods and individualised education planning, and equal participation and leadership opportunities for students with special needs. Providing adequate assistive devices, accessible infrastructure and specialised materials would build further on this progress.</w:t>
            </w:r>
          </w:p>
        </w:tc>
      </w:tr>
    </w:tbl>
    <w:p>
      <w:pPr>
        <w:spacing w:after="120" w:before="160"/>
      </w:pPr>
      <w:r>
        <w:rPr>
          <w:b/>
          <w:i w:val="0"/>
          <w:sz w:val="24"/>
          <w:u w:val="none"/>
        </w:rPr>
        <w:t>References</w:t>
      </w:r>
    </w:p>
    <w:p>
      <w:pPr>
        <w:spacing w:after="60" w:before="0"/>
        <w:ind w:left="576" w:hanging="576"/>
        <w:jc w:val="both"/>
      </w:pPr>
      <w:r>
        <w:rPr>
          <w:b w:val="0"/>
          <w:i w:val="0"/>
          <w:u w:val="none"/>
        </w:rPr>
        <w:t>DIET Hassan (2025-26). A Study on the Empowerment of Special Needs Students in Government High Schools of Hassan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64</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Thriveni Bai</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Learning outcomes of tribal and first-generation learners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“A Study on the Educational Problems of Tribal Students Studying in Government Higher Primary Schools of Hassan District” (2025-26). Over sixty per cent of tribal students (150 students, Classes 6–8) faced comprehension gaps due to differences between the teaching medium and native dialects. High absenteeism from poverty, seasonal migration, household work, long commutes and lack of transport; no academic guidance at home; delayed scholarship disbursement.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Culturally integrated textbooks and bilingual bridge materials.</w:t>
            </w:r>
          </w:p>
          <w:p>
            <w:pPr>
              <w:spacing w:after="60"/>
              <w:ind w:left="360" w:hanging="259"/>
              <w:jc w:val="both"/>
            </w:pPr>
            <w:r>
              <w:rPr>
                <w:b w:val="0"/>
              </w:rPr>
              <w:t xml:space="preserve">•  </w:t>
            </w:r>
            <w:r>
              <w:rPr>
                <w:b w:val="0"/>
              </w:rPr>
              <w:t>Teacher training in tribal dialects; transport for remote hamlets; timely scholarships.</w:t>
            </w:r>
          </w:p>
          <w:p>
            <w:pPr>
              <w:spacing w:after="60"/>
              <w:ind w:left="360" w:hanging="259"/>
              <w:jc w:val="both"/>
            </w:pPr>
            <w:r>
              <w:rPr>
                <w:b w:val="0"/>
              </w:rPr>
              <w:t xml:space="preserve">•  </w:t>
            </w:r>
            <w:r>
              <w:rPr>
                <w:b w:val="0"/>
              </w:rPr>
              <w:t>There is an urgent need to integrate tribal culture, local history, and folktales into standard textbooks to reduce cultural alienation.</w:t>
            </w:r>
          </w:p>
          <w:p>
            <w:pPr>
              <w:spacing w:after="60"/>
              <w:ind w:left="360" w:hanging="259"/>
              <w:jc w:val="both"/>
            </w:pPr>
            <w:r>
              <w:rPr>
                <w:b w:val="0"/>
              </w:rPr>
              <w:t xml:space="preserve">•  </w:t>
            </w:r>
            <w:r>
              <w:rPr>
                <w:b w:val="0"/>
              </w:rPr>
              <w:t>Teachers require training in tribal dialect basics and empathy-driven pedagogy.</w:t>
            </w:r>
          </w:p>
          <w:p>
            <w:pPr>
              <w:spacing w:after="60"/>
              <w:ind w:left="360" w:hanging="259"/>
              <w:jc w:val="both"/>
            </w:pPr>
            <w:r>
              <w:rPr>
                <w:b w:val="0"/>
              </w:rPr>
              <w:t xml:space="preserve">•  </w:t>
            </w:r>
            <w:r>
              <w:rPr>
                <w:b w:val="0"/>
              </w:rPr>
              <w:t>Administrative focus must shift from mere enrolment to active daily attendance tracking.</w:t>
            </w:r>
          </w:p>
          <w:p>
            <w:pPr>
              <w:spacing w:after="60"/>
              <w:ind w:left="360" w:hanging="259"/>
              <w:jc w:val="both"/>
            </w:pPr>
            <w:r>
              <w:rPr>
                <w:b w:val="0"/>
              </w:rPr>
              <w:t xml:space="preserve">•  </w:t>
            </w:r>
            <w:r>
              <w:rPr>
                <w:b w:val="0"/>
              </w:rPr>
              <w:t>Implement mother-tongue based instruction through bilingual bridge materials; provide dedicated transport linkages for remote tribal hamlets.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the educational problems of tribal students in government higher primary schools is a best practice in identifying the specific barriers faced by a disadvantaged group, so that support can be designed accurately. The study used a descriptive survey with a mixed-methods approach. Its sample comprised 150 tribal students of Classes 6–8, 50 parents and 30 teachers and headmasters across 10–15 schools. Data were collected through structured questionnaires for students, semi-structured interviews with parents and interactive sessions with educators, and were analysed using frequencies, percentages and mean scores.</w:t>
            </w:r>
          </w:p>
          <w:p>
            <w:pPr>
              <w:spacing w:after="60"/>
              <w:jc w:val="both"/>
            </w:pPr>
            <w:r>
              <w:rPr>
                <w:b w:val="0"/>
              </w:rPr>
              <w:t>The study produced a precise diagnosis. Over sixty per cent of tribal students faced comprehension gaps arising from differences between the medium of instruction and their native dialects. High absenteeism resulted from poverty, seasonal labour migration, household work, long commutes from remote hamlets and lack of transport. As first-generation learners, students lacked academic guidance at home, and cultural alienation led to social isolation and low self-esteem. At the same time, the study confirmed what is working: mid-day meals and uniforms were successful among tribal students.</w:t>
            </w:r>
          </w:p>
          <w:p>
            <w:pPr>
              <w:spacing w:after="60"/>
              <w:jc w:val="both"/>
            </w:pPr>
            <w:r>
              <w:rPr>
                <w:b w:val="0"/>
              </w:rPr>
              <w:t>The diagnostic approach is sustainable because it can be repeated periodically using the same tools. It is replicable in other districts with tribal populations. It is scalable through DIETs and CRPs who work in tribal areas. It is monitorable through indicators such as comprehension levels, attendance, scholarship disbursement timelines and student well-being. The study recommends culturally integrated textbooks, bilingual bridge materials, teacher training in tribal dialects and transport for remote hamlets, along with timely scholarship disbursement. Building on the success of mid-day meals and uniforms, these targeted measures address the language, economic and social barriers that the study identified, and they offer a model for supporting first-generation learners in other disadvantaged communities.</w:t>
            </w:r>
          </w:p>
        </w:tc>
      </w:tr>
    </w:tbl>
    <w:p>
      <w:pPr>
        <w:spacing w:after="120" w:before="160"/>
      </w:pPr>
      <w:r>
        <w:rPr>
          <w:b/>
          <w:i w:val="0"/>
          <w:sz w:val="24"/>
          <w:u w:val="none"/>
        </w:rPr>
        <w:t>References</w:t>
      </w:r>
    </w:p>
    <w:p>
      <w:pPr>
        <w:spacing w:after="60" w:before="0"/>
        <w:ind w:left="576" w:hanging="576"/>
        <w:jc w:val="both"/>
      </w:pPr>
      <w:r>
        <w:rPr>
          <w:b w:val="0"/>
          <w:i w:val="0"/>
          <w:u w:val="none"/>
        </w:rPr>
        <w:t>DIET Hassan (2025-26). A Study on the Educational Problems of Tribal Students Studying in Government Higher Primary Schools of Hassan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65</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Sujata C</w:t>
            </w:r>
          </w:p>
        </w:tc>
      </w:tr>
      <w:tr>
        <w:tc>
          <w:tcPr>
            <w:tcW w:type="dxa" w:w="3312"/>
            <w:shd w:val="clear" w:color="auto" w:fill="F2F2F2"/>
          </w:tcPr>
          <w:p>
            <w:pPr>
              <w:spacing w:after="0"/>
            </w:pPr>
            <w:r/>
            <w:r>
              <w:rPr>
                <w:b/>
              </w:rPr>
              <w:t>Designation</w:t>
            </w:r>
          </w:p>
        </w:tc>
        <w:tc>
          <w:tcPr>
            <w:tcW w:type="dxa" w:w="5760"/>
          </w:tcPr>
          <w:p>
            <w:pPr>
              <w:spacing w:after="0"/>
            </w:pPr>
            <w:r/>
            <w:r>
              <w:t>Senior 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Functioning of SDMCs in school development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“A Study on the Role of School Development and Monitoring Committees (SDMCs) in Government High Schools of Hassan District with Reference to Physics and Chemistry” (2025-26). Only 32.66 per cent saw the SDMC's role in boosting learning and enrolment; principals and teachers dominated decisions and parent representatives felt sidelined. Many members lacked clarity about their legal powers under the RTE Act; committees did not plan for inclusive needs or maintain formal financial accounts.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Continuous capacity building for parents and school heads; integration with Gram Panchayats.</w:t>
            </w:r>
          </w:p>
          <w:p>
            <w:pPr>
              <w:spacing w:after="60"/>
              <w:ind w:left="360" w:hanging="259"/>
              <w:jc w:val="both"/>
            </w:pPr>
            <w:r>
              <w:rPr>
                <w:b w:val="0"/>
              </w:rPr>
              <w:t xml:space="preserve">•  </w:t>
            </w:r>
            <w:r>
              <w:rPr>
                <w:b w:val="0"/>
              </w:rPr>
              <w:t>Social audits and tracking of monthly meeting records.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the role of School Development and Monitoring Committees (SDMCs) in government high schools, with particular reference to Physics and Chemistry, documents strong community recognition of the SDMC and provides a clear agenda for making it a more effective governing body. The SDMC is a statutory body pioneered in Karnataka to decentralise school administration and foster community ownership; SDMCs ensure local oversight, manage school funds and monitor student enrolment and teacher performance. The study selected a representative sample of schools across taluks by stratified random sampling, and respondents, students, teachers, head teachers and SDMC members, through simple and purposive sampling, using questionnaires, interviews and observations.</w:t>
            </w:r>
          </w:p>
          <w:p>
            <w:pPr>
              <w:spacing w:after="60"/>
              <w:jc w:val="both"/>
            </w:pPr>
            <w:r>
              <w:rPr>
                <w:b w:val="0"/>
              </w:rPr>
              <w:t>The key strength identified is the near-universal acceptance of the SDMC: 99.50 per cent of respondents viewed it as vital for school development. This level of support gives a strong foundation for deepening community participation in the life of the school, including support for science education.</w:t>
            </w:r>
          </w:p>
          <w:p>
            <w:pPr>
              <w:spacing w:after="60"/>
              <w:jc w:val="both"/>
            </w:pPr>
            <w:r>
              <w:rPr>
                <w:b w:val="0"/>
              </w:rPr>
              <w:t>The SDMC model is sustainable because it is a statutory structure present in every government school. It is replicable and already exists statewide, so improvements developed in Hassan can be applied everywhere. It is scalable through district-wide capacity building for members. It is monitorable through records of monthly meetings, decisions, financial accounts and social audits. The study points to specific improvements that would make SDMCs proactive governing bodies: continuous capacity building for parents and school heads so that members understand their legal powers under the RTE Act; integration of SDMCs with Gram Panchayats; social audits; and tracking of monthly meeting records. Planning for inclusive needs, maintaining formal financial accounts and giving parent representatives a real voice in decisions would ensure that the strong support for SDMCs translates into stronger roles in improving learning and enrolment.</w:t>
            </w:r>
          </w:p>
        </w:tc>
      </w:tr>
    </w:tbl>
    <w:p>
      <w:pPr>
        <w:spacing w:after="120" w:before="160"/>
      </w:pPr>
      <w:r>
        <w:rPr>
          <w:b/>
          <w:i w:val="0"/>
          <w:sz w:val="24"/>
          <w:u w:val="none"/>
        </w:rPr>
        <w:t>References</w:t>
      </w:r>
    </w:p>
    <w:p>
      <w:pPr>
        <w:spacing w:after="60" w:before="0"/>
        <w:ind w:left="576" w:hanging="576"/>
        <w:jc w:val="both"/>
      </w:pPr>
      <w:r>
        <w:rPr>
          <w:b w:val="0"/>
          <w:i w:val="0"/>
          <w:u w:val="none"/>
        </w:rPr>
        <w:t>DIET Hassan (2025-26). A Study on the Role of School Development and Monitoring Committees (SDMCs) in Government High Schools of Hassan District with Reference to Physics and Chemistry.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66</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Krishnegowda CG</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Effectiveness of academic monitoring and cluster support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“A Study on the Role of Cluster Resource Centers in Academic Strengthening of Educational Quality in Government Higher Primary Schools in Hassan District” (2025-26). CRC–school coordination and CRP mentoring capacity need strengthening.</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Strengthen CRC–school coordination and CRP mentoring; continue formative assessment comparisons; enhance CRC guidance on infrastructure and curriculum implementation.</w:t>
            </w:r>
          </w:p>
          <w:p>
            <w:pPr>
              <w:spacing w:after="60"/>
              <w:ind w:left="360" w:hanging="259"/>
              <w:jc w:val="both"/>
            </w:pPr>
            <w:r>
              <w:rPr>
                <w:b w:val="0"/>
              </w:rPr>
              <w:t xml:space="preserve">•  </w:t>
            </w:r>
            <w:r>
              <w:rPr>
                <w:b w:val="0"/>
              </w:rPr>
              <w:t>CRCs contribute meaningfully to academic strengthening and educational quality improvement in Government Higher Primary Schools.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the role of Cluster Resource Centres (CRCs) in strengthening educational quality in government higher primary schools documents the effectiveness of decentralised academic support. CRCs, introduced under DPEP and strengthened through Sarva Shiksha Abhiyan and Samagra Shiksha, mentor teachers through school visits, classroom observation, demonstration lessons and in-service training. The study covered 40 Cluster Resource Persons (CRPs), 120 head teachers and teachers, and 360 students from 72 schools across 40 CRCs in eight taluks. A distinctive feature of the design was the comparison of students' progress in Formative Assessment-1 at the start of the year with Formative Assessment-3, to measure the effect of CRPs' school visits.</w:t>
            </w:r>
          </w:p>
          <w:p>
            <w:pPr>
              <w:spacing w:after="60"/>
              <w:jc w:val="both"/>
            </w:pPr>
            <w:r>
              <w:rPr>
                <w:b w:val="0"/>
              </w:rPr>
              <w:t>The findings confirm the value of the CRC system. Students' academic progress improved under CRC guidance, with CRPs monitoring progress and providing appropriate school-level guidance. CRPs played a significant role in teachers' professional development, formulated educational plans across clusters, and guided teachers on delivering quality education and improving physical infrastructure.</w:t>
            </w:r>
          </w:p>
          <w:p>
            <w:pPr>
              <w:spacing w:after="60"/>
              <w:jc w:val="both"/>
            </w:pPr>
            <w:r>
              <w:rPr>
                <w:b w:val="0"/>
              </w:rPr>
              <w:t>The practice is sustainable because CRCs and CRPs are a permanent part of the school system, so academic support does not depend on special projects. It is replicable statewide, since every block has a CRC network. It is scalable by strengthening CRP mentoring capacity across all clusters. It is monitorable, and this study shows how, by comparing formative assessment results at the start and later in the year in schools visited by CRPs, alongside records of school visits and teacher support. The study recommends strengthening CRC–school coordination and CRP mentoring capacity, continuing formative assessment comparisons, and enhancing CRC guidance on infrastructure and curriculum implementation. Using formative assessment data to judge the impact of school visits is a practice every district can adopt.</w:t>
            </w:r>
          </w:p>
        </w:tc>
      </w:tr>
    </w:tbl>
    <w:p>
      <w:pPr>
        <w:spacing w:after="120" w:before="160"/>
      </w:pPr>
      <w:r>
        <w:rPr>
          <w:b/>
          <w:i w:val="0"/>
          <w:sz w:val="24"/>
          <w:u w:val="none"/>
        </w:rPr>
        <w:t>References</w:t>
      </w:r>
    </w:p>
    <w:p>
      <w:pPr>
        <w:spacing w:after="60" w:before="0"/>
        <w:ind w:left="576" w:hanging="576"/>
        <w:jc w:val="both"/>
      </w:pPr>
      <w:r>
        <w:rPr>
          <w:b w:val="0"/>
          <w:i w:val="0"/>
          <w:u w:val="none"/>
        </w:rPr>
        <w:t>DIET Hassan (2025-26). A Study on the Role of Cluster Resource Centers in Academic Strengthening of Educational Quality in Government Higher Primary Schools in Hassan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67</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Prema BC</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Mid-day meals / PM POSHAN: effect on attendance, nutrition and learning</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“A Study on the Role of PM POSHAN Abhiyan in Enhancing the Nutritional Status and Learning Quality of Primary School Children in Hassan District” (2025-26). Children from economically weaker families depend on school meals for nutrition and regular attendance.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Continue regular hot cooked meals providing 450 calories and 12 g protein per day for primary students; use PM POSHAN as an incentive for attendance and retention.</w:t>
            </w:r>
          </w:p>
          <w:p>
            <w:pPr>
              <w:spacing w:after="60"/>
              <w:ind w:left="360" w:hanging="259"/>
              <w:jc w:val="both"/>
            </w:pPr>
            <w:r>
              <w:rPr>
                <w:b w:val="0"/>
              </w:rPr>
              <w:t xml:space="preserve">•  </w:t>
            </w:r>
            <w:r>
              <w:rPr>
                <w:b w:val="0"/>
              </w:rPr>
              <w:t>PM POSHAN contributes to reducing classroom hunger and improving nutritional intake, providing 450 calories and 12 grams of protein per day for primary students, which supports children's physical growth, health, and cognitive development.</w:t>
            </w:r>
          </w:p>
          <w:p>
            <w:pPr>
              <w:spacing w:after="60"/>
              <w:ind w:left="360" w:hanging="259"/>
              <w:jc w:val="both"/>
            </w:pPr>
            <w:r>
              <w:rPr>
                <w:b w:val="0"/>
              </w:rPr>
              <w:t xml:space="preserve">•  </w:t>
            </w:r>
            <w:r>
              <w:rPr>
                <w:b w:val="0"/>
              </w:rPr>
              <w:t>Adequate nutrition improves concentration, memory, classroom participation, and learning achievement, and serves as an incentive for regular school attendance and reduced dropout, particularly among economically disadvantaged families.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the role of PM POSHAN in the nutritional status and learning quality of primary school children documents school meals as a proven practice for improving children's health, attendance and readiness to learn. The study used a descriptive survey in selected government primary schools across different educational blocks of the district, assessing children's nutrition, attendance and classroom concentration through school-level data.</w:t>
            </w:r>
          </w:p>
          <w:p>
            <w:pPr>
              <w:spacing w:after="60"/>
              <w:jc w:val="both"/>
            </w:pPr>
            <w:r>
              <w:rPr>
                <w:b w:val="0"/>
              </w:rPr>
              <w:t>The findings show that the regular provision of hot cooked meals helped reduce classroom hunger and improved physical growth and BMI among children receiving meals regularly. Schools reported increased attendance and reduced absenteeism, particularly among children from economically weaker families. PM POSHAN also encouraged greater enrolment and improved retention in government primary schools. The study notes that PM POSHAN provides 450 calories and 12 grams of protein per day for primary students, supporting children's physical growth, health and cognitive development. Adequate nutrition, in turn, improves concentration, memory, classroom participation and learning achievement, and serves as an incentive for regular attendance and reduced dropout, especially among economically disadvantaged families.</w:t>
            </w:r>
          </w:p>
          <w:p>
            <w:pPr>
              <w:spacing w:after="60"/>
              <w:jc w:val="both"/>
            </w:pPr>
            <w:r>
              <w:rPr>
                <w:b w:val="0"/>
              </w:rPr>
              <w:t>The practice is sustainable because PM POSHAN is a national scheme with assured funding, established kitchens and trained cooking staff in schools. It is replicable in every government primary school. It is scalable through extension to pre-primary and higher classes and by improving meal quality. It is monitorable through clear indicators: daily attendance, enrolment and retention, children's BMI and growth, and teachers' observations of classroom concentration. For districts, the Hassan evidence confirms that school meals do more than address hunger, they directly support the learning goals of the education system by keeping children in school and helping them concentrate. Linking meal records with attendance and health data at school level would allow this impact to be tracked regularly.</w:t>
            </w:r>
          </w:p>
        </w:tc>
      </w:tr>
    </w:tbl>
    <w:p>
      <w:pPr>
        <w:spacing w:after="120" w:before="160"/>
      </w:pPr>
      <w:r>
        <w:rPr>
          <w:b/>
          <w:i w:val="0"/>
          <w:sz w:val="24"/>
          <w:u w:val="none"/>
        </w:rPr>
        <w:t>References</w:t>
      </w:r>
    </w:p>
    <w:p>
      <w:pPr>
        <w:spacing w:after="60" w:before="0"/>
        <w:ind w:left="576" w:hanging="576"/>
        <w:jc w:val="both"/>
      </w:pPr>
      <w:r>
        <w:rPr>
          <w:b w:val="0"/>
          <w:i w:val="0"/>
          <w:u w:val="none"/>
        </w:rPr>
        <w:t>DIET Hassan (2025-26). A Study on the Role of PM POSHAN Abhiyan in Enhancing the Nutritional Status and Learning Quality of Primary School Children in Hassan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68</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Sharada K</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Subject pedagogy and teaching-learning materials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“A Study on the Role of the Kannada Practice Workbook in the Effective Learning of 9th Standard Students in Selected Secondary Schools of Hassan District” (2025-26). Workbook content needs more interactive and differentiated activities for diverse learners.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Integrate workbook activities with classroom instruction; enrich content; train teachers in workbook use; include differentiated tasks.</w:t>
            </w:r>
          </w:p>
          <w:p>
            <w:pPr>
              <w:spacing w:after="60"/>
              <w:ind w:left="360" w:hanging="259"/>
              <w:jc w:val="both"/>
            </w:pPr>
            <w:r>
              <w:rPr>
                <w:b w:val="0"/>
              </w:rPr>
              <w:t xml:space="preserve">•  </w:t>
            </w:r>
            <w:r>
              <w:rPr>
                <w:b w:val="0"/>
              </w:rPr>
              <w:t>Workbooks can strengthen language learning through continuous practice, and activity-based learning enhances student engagement and achievement.</w:t>
            </w:r>
          </w:p>
          <w:p>
            <w:pPr>
              <w:spacing w:after="60"/>
              <w:ind w:left="360" w:hanging="259"/>
              <w:jc w:val="both"/>
            </w:pPr>
            <w:r>
              <w:rPr>
                <w:b w:val="0"/>
              </w:rPr>
              <w:t xml:space="preserve">•  </w:t>
            </w:r>
            <w:r>
              <w:rPr>
                <w:b w:val="0"/>
              </w:rPr>
              <w:t>Enrich workbook content with more interactive activities; provide teacher training on effective workbook utilization; include differentiated tasks for diverse learners; and promote workbook-based learning across schools.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the Kannada Practice Workbook for Class 9 students documents a low-cost, high-impact practice for strengthening first-language skills at the secondary level. The workbook was introduced as a supplementary resource to improve reading, writing, comprehension, grammar and vocabulary through structured exercises. The study used a descriptive survey with purposive sampling of 120 students and 10 Kannada teachers from government and aided secondary schools. Data were collected through structured questionnaires, observation schedules and informal interviews, analysed using percentages and descriptive statistics, with qualitative responses interpreted thematically.</w:t>
            </w:r>
          </w:p>
          <w:p>
            <w:pPr>
              <w:spacing w:after="60"/>
              <w:jc w:val="both"/>
            </w:pPr>
            <w:r>
              <w:rPr>
                <w:b w:val="0"/>
              </w:rPr>
              <w:t>The findings are clearly positive. Eighty-two per cent of students reported improvement in their language learning, seventy-eight per cent showed increased classroom participation, and eighty-five per cent of teachers rated the workbook as effective. Regular workbook activities improved reading comprehension, writing skills, grammar knowledge and vocabulary, and gave students opportunities for self-learning beyond classroom instruction. The study concludes that workbooks strengthen language learning through continuous practice, and that activity-based learning enhances engagement and achievement.</w:t>
            </w:r>
          </w:p>
          <w:p>
            <w:pPr>
              <w:spacing w:after="60"/>
              <w:jc w:val="both"/>
            </w:pPr>
            <w:r>
              <w:rPr>
                <w:b w:val="0"/>
              </w:rPr>
              <w:t>The practice is sustainable because a printed workbook can be supplied each year at modest cost and used by students independently. It is replicable in all government and aided high schools and can be adapted for other grades and languages. It is scalable through State-level printing and distribution. It is monitorable through students' completion of workbook exercises, teachers' assessment of reading, writing and grammar, and language results in examinations. This is particularly relevant given concerns elsewhere in the State about first-language results in the SSLC examination. The study recommends integrating workbook activities with classroom instruction, enriching content with more interactive activities, training teachers in effective workbook use and including differentiated tasks for diverse learners, so that the workbook supports every student's language development.</w:t>
            </w:r>
          </w:p>
        </w:tc>
      </w:tr>
    </w:tbl>
    <w:p>
      <w:pPr>
        <w:spacing w:after="120" w:before="160"/>
      </w:pPr>
      <w:r>
        <w:rPr>
          <w:b/>
          <w:i w:val="0"/>
          <w:sz w:val="24"/>
          <w:u w:val="none"/>
        </w:rPr>
        <w:t>References</w:t>
      </w:r>
    </w:p>
    <w:p>
      <w:pPr>
        <w:spacing w:after="60" w:before="0"/>
        <w:ind w:left="576" w:hanging="576"/>
        <w:jc w:val="both"/>
      </w:pPr>
      <w:r>
        <w:rPr>
          <w:b w:val="0"/>
          <w:i w:val="0"/>
          <w:u w:val="none"/>
        </w:rPr>
        <w:t>DIET Hassan (2025-26). A Study on the Role of the Kannada Practice Workbook in the Effective Learning of 9th Standard Students in Selected Secondary Schools of Hassan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69</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Harish CK</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Adolescent development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“A Study on the Changes Observed among Adolescent Students in District High Schools of Hassan District” (2025-26). Students need structured support for physical, psychological and social changes during adolescence.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Conduct personality development classes; provide programmes supporting physical and mental growth during adolescence.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changes observed among adolescent students in high schools of the district documents the importance of school, family and community support during adolescence. The study used a descriptive survey, collecting information from headmasters, teachers and students across selected high schools in Hassan district.</w:t>
            </w:r>
          </w:p>
          <w:p>
            <w:pPr>
              <w:spacing w:after="60"/>
              <w:jc w:val="both"/>
            </w:pPr>
            <w:r>
              <w:rPr>
                <w:b w:val="0"/>
              </w:rPr>
              <w:t>The study observed improved physical, psychological and social changes among students during adolescence, along with improvements in academic performance linked to personality development. A key finding was that school, family and societal support significantly shaped students' adjustment during this stage. In other words, adolescence is a period in which the right support from adults around students, in school and at home, can turn natural developmental changes into growth in confidence and learning.</w:t>
            </w:r>
          </w:p>
          <w:p>
            <w:pPr>
              <w:spacing w:after="60"/>
              <w:jc w:val="both"/>
            </w:pPr>
            <w:r>
              <w:rPr>
                <w:b w:val="0"/>
              </w:rPr>
              <w:t>The practice of supporting adolescents through coordinated school and family efforts is sustainable because it uses existing relationships among teachers, parents and the community rather than requiring new structures. It is replicable in every high school, as all schools serve adolescent students. It is scalable through programmes that already exist in the system for adolescents, such as population and adolescence education activities, and through teacher orientation by DIETs. It is monitorable through teachers' observations of students' adjustment and personality development, participation in school activities, and academic performance over time. The study makes two practical recommendations: conduct personality development classes for students, and provide programmes to support physical and mental growth during adolescence. Implemented in a planned way, for example, as regular sessions within the school timetable with the involvement of parents, these measures would help schools respond to students' needs during this critical period. The Hassan findings suggest that such support contributes not only to students' well-being but also to their academic progress.</w:t>
            </w:r>
          </w:p>
        </w:tc>
      </w:tr>
    </w:tbl>
    <w:p>
      <w:pPr>
        <w:spacing w:after="120" w:before="160"/>
      </w:pPr>
      <w:r>
        <w:rPr>
          <w:b/>
          <w:i w:val="0"/>
          <w:sz w:val="24"/>
          <w:u w:val="none"/>
        </w:rPr>
        <w:t>References</w:t>
      </w:r>
    </w:p>
    <w:p>
      <w:pPr>
        <w:spacing w:after="60" w:before="0"/>
        <w:ind w:left="576" w:hanging="576"/>
        <w:jc w:val="both"/>
      </w:pPr>
      <w:r>
        <w:rPr>
          <w:b w:val="0"/>
          <w:i w:val="0"/>
          <w:u w:val="none"/>
        </w:rPr>
        <w:t>DIET Hassan (2025-26). A Study on the Changes Observed among Adolescent Students in District High Schools of Hassan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70</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Dhanpal MS</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Hassan</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NMMS scholarship examination and outcomes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Hassan's study “A Study on the NMMS Examination Results of Government and Aided High Schools in Hassan District” (2025-26). Students perform relatively well in the Scholastic Aptitude Test but face a significant bottleneck in the Mental Ability Test due to lack of training in logical reasoning. Remote rural blocks qualify at lower rates than urban centres such as Hassan and Arsikere.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Block-level teacher training in analytical reasoning; zonal coaching clusters for rural students.</w:t>
            </w:r>
          </w:p>
          <w:p>
            <w:pPr>
              <w:spacing w:after="60"/>
              <w:ind w:left="360" w:hanging="259"/>
              <w:jc w:val="both"/>
            </w:pPr>
            <w:r>
              <w:rPr>
                <w:b w:val="0"/>
              </w:rPr>
              <w:t xml:space="preserve">•  </w:t>
            </w:r>
            <w:r>
              <w:rPr>
                <w:b w:val="0"/>
              </w:rPr>
              <w:t>Daily MAT practice in morning assemblies; bilingual remedial question banks; a district mock NMMS examination.</w:t>
            </w:r>
          </w:p>
          <w:p>
            <w:pPr>
              <w:spacing w:after="60"/>
              <w:ind w:left="360" w:hanging="259"/>
              <w:jc w:val="both"/>
            </w:pPr>
            <w:r>
              <w:rPr>
                <w:b w:val="0"/>
              </w:rPr>
              <w:t xml:space="preserve">•  </w:t>
            </w:r>
            <w:r>
              <w:rPr>
                <w:b w:val="0"/>
              </w:rPr>
              <w:t>Superior performance of urban and aided schools implies uneven distribution of academic resources and exam- orientation support.</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Hassan's study on NMMS examination results in government and aided high schools documents a practice of analysing scholarship examination data to identify precisely where students need preparation. The National Means-cum-Merit Scholarship, launched in 2008-09, provides Rs 1,000 per month for four years to eligible Class 8 students from families with income below Rs 3,50,000. The study used a descriptive-comparative mixed-methods design, selecting schools by stratified random sampling according to management type and locality. NMMS merit lists, block-wise results and questionnaires for headmasters and teachers were analysed using descriptive statistics and independent samples t-tests.</w:t>
            </w:r>
          </w:p>
          <w:p>
            <w:pPr>
              <w:spacing w:after="60"/>
              <w:jc w:val="both"/>
            </w:pPr>
            <w:r>
              <w:rPr>
                <w:b w:val="0"/>
              </w:rPr>
              <w:t>The analysis yielded specific, actionable insights. Students performed relatively well in the Scholastic Aptitude Test but faced a significant bottleneck in the Mental Ability Test, owing to a lack of specialised training in logical and analytical reasoning. Government-aided schools showed a marginally higher selection rate than government high schools, attributed to greater institutional stability. Urban centres such as Hassan and Arsikere secured higher qualifying percentages than remote rural blocks. Gender parity remained strong, a notable positive outcome.</w:t>
            </w:r>
          </w:p>
          <w:p>
            <w:pPr>
              <w:spacing w:after="60"/>
              <w:jc w:val="both"/>
            </w:pPr>
            <w:r>
              <w:rPr>
                <w:b w:val="0"/>
              </w:rPr>
              <w:t>The practice of result analysis is sustainable because NMMS results are published every year and the same analysis can be repeated at low cost. It is replicable in every district. It is scalable through DIET-led block-wise analysis and targeted preparation. It is monitorable through annual selection rates by block, management type, gender and test component. The study recommends block-level teacher training in analytical reasoning, zonal coaching clusters for rural students, daily Mental Ability Test practice in morning assemblies, bilingual remedial question banks and a district mock NMMS examination. These measures directly address the curricular gap in abstract and non-verbal reasoning that the analysis identified, and could raise selections from rural government schools.</w:t>
            </w:r>
          </w:p>
        </w:tc>
      </w:tr>
    </w:tbl>
    <w:p>
      <w:pPr>
        <w:spacing w:after="120" w:before="160"/>
      </w:pPr>
      <w:r>
        <w:rPr>
          <w:b/>
          <w:i w:val="0"/>
          <w:sz w:val="24"/>
          <w:u w:val="none"/>
        </w:rPr>
        <w:t>References</w:t>
      </w:r>
    </w:p>
    <w:p>
      <w:pPr>
        <w:spacing w:after="60" w:before="0"/>
        <w:ind w:left="576" w:hanging="576"/>
        <w:jc w:val="both"/>
      </w:pPr>
      <w:r>
        <w:rPr>
          <w:b w:val="0"/>
          <w:i w:val="0"/>
          <w:u w:val="none"/>
        </w:rPr>
        <w:t>DIET Hassan (2025-26). A Study on the NMMS Examination Results of Government and Aided High Schools in Hassan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71</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Ilkal (Bagalkote)</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How teachers use assessment data for remedial teaching</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Ilkal (Bagalkote)'s study “The Role of Consultative Meetings in Addressing Learning Gaps among Students of Classes 6 to 8” (2024-25). Some teachers seek more time and follow-up support after consultative workshops.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Continue and institutionalise need-based consultative workshops as a professional development model with systematic follow-up.</w:t>
            </w:r>
          </w:p>
          <w:p>
            <w:pPr>
              <w:spacing w:after="60"/>
              <w:ind w:left="360" w:hanging="259"/>
              <w:jc w:val="both"/>
            </w:pPr>
            <w:r>
              <w:rPr>
                <w:b w:val="0"/>
              </w:rPr>
              <w:t xml:space="preserve">•  </w:t>
            </w:r>
            <w:r>
              <w:rPr>
                <w:b w:val="0"/>
              </w:rPr>
              <w:t>Regular consultative interactions encourage reflective teaching practices and support the transition towards constructivist pedagogy and outcome-based education.</w:t>
            </w:r>
          </w:p>
          <w:p>
            <w:pPr>
              <w:spacing w:after="60"/>
              <w:ind w:left="360" w:hanging="259"/>
              <w:jc w:val="both"/>
            </w:pPr>
            <w:r>
              <w:rPr>
                <w:b w:val="0"/>
              </w:rPr>
              <w:t xml:space="preserve">•  </w:t>
            </w:r>
            <w:r>
              <w:rPr>
                <w:b w:val="0"/>
              </w:rPr>
              <w:t>Development and sharing of teaching-learning materials during workshops can be institutionalized to enhance classroom transaction and student learning outcomes.</w:t>
            </w:r>
          </w:p>
          <w:p>
            <w:pPr>
              <w:spacing w:after="60"/>
              <w:ind w:left="360" w:hanging="259"/>
              <w:jc w:val="both"/>
            </w:pPr>
            <w:r>
              <w:rPr>
                <w:b w:val="0"/>
              </w:rPr>
              <w:t xml:space="preserve">•  </w:t>
            </w:r>
            <w:r>
              <w:rPr>
                <w:b w:val="0"/>
              </w:rPr>
              <w:t>Digital tools such as Google Sheets can be effectively used for documentation, monitoring, and follow-up of workshop outcomes.</w:t>
            </w:r>
          </w:p>
          <w:p>
            <w:pPr>
              <w:spacing w:after="60"/>
              <w:ind w:left="360" w:hanging="259"/>
              <w:jc w:val="both"/>
            </w:pPr>
            <w:r>
              <w:rPr>
                <w:b w:val="0"/>
              </w:rPr>
              <w:t xml:space="preserve">•  </w:t>
            </w:r>
            <w:r>
              <w:rPr>
                <w:b w:val="0"/>
              </w:rPr>
              <w:t>Policymakers may consider allocating dedicated time and resources for need-based consultative workshops to ensure sustainability and effectiveness.</w:t>
            </w:r>
          </w:p>
          <w:p>
            <w:pPr>
              <w:spacing w:after="60"/>
              <w:ind w:left="360" w:hanging="259"/>
              <w:jc w:val="both"/>
            </w:pPr>
            <w:r>
              <w:rPr>
                <w:b w:val="0"/>
              </w:rPr>
              <w:t xml:space="preserve">•  </w:t>
            </w:r>
            <w:r>
              <w:rPr>
                <w:b w:val="0"/>
              </w:rPr>
              <w:t> Need-Based Monthly Consultative Workshops should be conducted regularly with a well-defined structure and clear objectives.</w:t>
            </w:r>
          </w:p>
          <w:p>
            <w:pPr>
              <w:spacing w:after="60"/>
              <w:ind w:left="360" w:hanging="259"/>
              <w:jc w:val="both"/>
            </w:pPr>
            <w:r>
              <w:rPr>
                <w:b w:val="0"/>
              </w:rPr>
              <w:t xml:space="preserve">•  </w:t>
            </w:r>
            <w:r>
              <w:rPr>
                <w:b w:val="0"/>
              </w:rPr>
              <w:t> DIETs should ensure that workshop agendas are strictly need-based, derived from classroom realities and student learning outcomes.</w:t>
            </w:r>
          </w:p>
          <w:p>
            <w:pPr>
              <w:spacing w:after="60"/>
              <w:ind w:left="360" w:hanging="259"/>
              <w:jc w:val="both"/>
            </w:pPr>
            <w:r>
              <w:rPr>
                <w:b w:val="0"/>
              </w:rPr>
              <w:t xml:space="preserve">•  </w:t>
            </w:r>
            <w:r>
              <w:rPr>
                <w:b w:val="0"/>
              </w:rPr>
              <w:t> More opportunities should be provided for teachers to share classroom challenges, innovative practices, and subject- specific difficulties.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Ilkal's study on Need-Based Monthly Consultative Workshops documents a cluster-level professional development model that helps teachers address learning gaps in Classes 6 to 8. The workshops provide a platform where subject teachers and resource persons share challenges, best practices and difficult classroom situations, as schools move from behaviourist to constructivist pedagogy, from CCE to school-based assessment and from grade-based progress cards to descriptive reports. The study randomly selected government primary schools in selected clusters, with 30 headmasters, 60 teachers, 18 CRPs and 12 officials, using expert-reviewed questionnaires administered under CRP and BRP supervision and recorded through offline formats and Google Sheets.</w:t>
            </w:r>
          </w:p>
          <w:p>
            <w:pPr>
              <w:spacing w:after="60"/>
              <w:jc w:val="both"/>
            </w:pPr>
            <w:r>
              <w:rPr>
                <w:b w:val="0"/>
              </w:rPr>
              <w:t>The workshops were found to be effectively implemented at district and taluk levels under DIET guidance. A majority of teachers reported that they offered a useful platform to share classroom challenges, improved their understanding of constructivist pedagogy and outcome-based teaching, and helped them adapt to school-based assessment. Teachers observed a positive impact on students' concept clarity and participation, and head teachers acknowledged contributions to professional growth and reflective practice.</w:t>
            </w:r>
          </w:p>
          <w:p>
            <w:pPr>
              <w:spacing w:after="60"/>
              <w:jc w:val="both"/>
            </w:pPr>
            <w:r>
              <w:rPr>
                <w:b w:val="0"/>
              </w:rPr>
              <w:t>The model is sustainable because it uses existing Cluster Resource Teams and Centres and runs monthly at low cost. It is replicable in every cluster. It is scalable as a standard part of the in-service calendar. It is monitorable through workshop records, teacher feedback and student concept clarity. The study recommends that need-based consultative workshops be continued and institutionalised as a professional development model with systematic follow-up, strengthening the Cluster Resource Team as a sustainable support system and developing CRCs as responsive spaces for teachers.</w:t>
            </w:r>
          </w:p>
        </w:tc>
      </w:tr>
    </w:tbl>
    <w:p>
      <w:pPr>
        <w:spacing w:after="120" w:before="160"/>
      </w:pPr>
      <w:r>
        <w:rPr>
          <w:b/>
          <w:i w:val="0"/>
          <w:sz w:val="24"/>
          <w:u w:val="none"/>
        </w:rPr>
        <w:t>References</w:t>
      </w:r>
    </w:p>
    <w:p>
      <w:pPr>
        <w:spacing w:after="60" w:before="0"/>
        <w:ind w:left="576" w:hanging="576"/>
        <w:jc w:val="both"/>
      </w:pPr>
      <w:r>
        <w:rPr>
          <w:b w:val="0"/>
          <w:i w:val="0"/>
          <w:u w:val="none"/>
        </w:rPr>
        <w:t>DIET Ilkal (Bagalkote) (2024-25). The Role of Consultative Meetings in Addressing Learning Gaps among Students of Classes 6 to 8.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72</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Ilkal (Bagalkote)</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Classroom practices in bilingual (Kannada-English) schools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Ilkal (Bagalkote)'s study “A Qualitative study on Bilingual schools learning and teaching” (2024-25). Some head teachers and teachers feel students are slow in learning English.</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Workshops on bilingual teaching strategies; mentorship; resource development; a bilingual education policy framework.</w:t>
            </w:r>
          </w:p>
          <w:p>
            <w:pPr>
              <w:spacing w:after="60"/>
              <w:ind w:left="360" w:hanging="259"/>
              <w:jc w:val="both"/>
            </w:pPr>
            <w:r>
              <w:rPr>
                <w:b w:val="0"/>
              </w:rPr>
              <w:t xml:space="preserve">•  </w:t>
            </w:r>
            <w:r>
              <w:rPr>
                <w:b w:val="0"/>
              </w:rPr>
              <w:t>It develops language knowledge in children.</w:t>
            </w:r>
          </w:p>
          <w:p>
            <w:pPr>
              <w:spacing w:after="60"/>
              <w:ind w:left="360" w:hanging="259"/>
              <w:jc w:val="both"/>
            </w:pPr>
            <w:r>
              <w:rPr>
                <w:b w:val="0"/>
              </w:rPr>
              <w:t xml:space="preserve">•  </w:t>
            </w:r>
            <w:r>
              <w:rPr>
                <w:b w:val="0"/>
              </w:rPr>
              <w:t>EMTIP .‌Training is helpful for the professional development of teachers Recommendations Immediate Interventions : Teacher.</w:t>
            </w:r>
          </w:p>
          <w:p>
            <w:pPr>
              <w:spacing w:after="60"/>
              <w:ind w:left="360" w:hanging="259"/>
              <w:jc w:val="both"/>
            </w:pPr>
            <w:r>
              <w:rPr>
                <w:b w:val="0"/>
              </w:rPr>
              <w:t xml:space="preserve">•  </w:t>
            </w:r>
            <w:r>
              <w:rPr>
                <w:b w:val="0"/>
              </w:rPr>
              <w:t>Organize workshops on bilingual teaching strategies, language assessment, and cultural responsiveness.</w:t>
            </w:r>
          </w:p>
          <w:p>
            <w:pPr>
              <w:spacing w:after="60"/>
              <w:ind w:left="360" w:hanging="259"/>
              <w:jc w:val="both"/>
            </w:pPr>
            <w:r>
              <w:rPr>
                <w:b w:val="0"/>
              </w:rPr>
              <w:t xml:space="preserve">•  </w:t>
            </w:r>
            <w:r>
              <w:rPr>
                <w:b w:val="0"/>
              </w:rPr>
              <w:t>Pair experienced bilingual teachers with novice teachers for guidance and support.</w:t>
            </w:r>
          </w:p>
          <w:p>
            <w:pPr>
              <w:spacing w:after="60"/>
              <w:ind w:left="360" w:hanging="259"/>
              <w:jc w:val="both"/>
            </w:pPr>
            <w:r>
              <w:rPr>
                <w:b w:val="0"/>
              </w:rPr>
              <w:t xml:space="preserve">•  </w:t>
            </w:r>
            <w:r>
              <w:rPr>
                <w:b w:val="0"/>
              </w:rPr>
              <w:t>Provide bilingual teaching resources, such as textbooks, materials, and online tools Mid-term Strategies : Bilingual.</w:t>
            </w:r>
          </w:p>
          <w:p>
            <w:pPr>
              <w:spacing w:after="60"/>
              <w:ind w:left="360" w:hanging="259"/>
              <w:jc w:val="both"/>
            </w:pPr>
            <w:r>
              <w:rPr>
                <w:b w:val="0"/>
              </w:rPr>
              <w:t xml:space="preserve">•  </w:t>
            </w:r>
            <w:r>
              <w:rPr>
                <w:b w:val="0"/>
              </w:rPr>
              <w:t>Review and revise the bilingual curriculum to ensure alignment with national standards and student needs.</w:t>
            </w:r>
          </w:p>
          <w:p>
            <w:pPr>
              <w:spacing w:after="60"/>
              <w:ind w:left="360" w:hanging="259"/>
              <w:jc w:val="both"/>
            </w:pPr>
            <w:r>
              <w:rPr>
                <w:b w:val="0"/>
              </w:rPr>
              <w:t xml:space="preserve">•  </w:t>
            </w:r>
            <w:r>
              <w:rPr>
                <w:b w:val="0"/>
              </w:rPr>
              <w:t>Establish language support programs, such as language labs or tutoring services, for students struggling with language.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Ilkal's qualitative study on teaching and learning in government bilingual (English-medium) primary schools documents how these schools are bringing free, quality English education to economically backward rural students. The study used a qualitative case study design with purposive and snowball sampling of teachers experienced in bilingual teaching, using in-depth interviews, classroom observation and analysis of teaching materials, lesson plans and assessment tools, analysed thematically with triangulation, member checking and peer debriefing.</w:t>
            </w:r>
          </w:p>
          <w:p>
            <w:pPr>
              <w:spacing w:after="60"/>
              <w:jc w:val="both"/>
            </w:pPr>
            <w:r>
              <w:rPr>
                <w:b w:val="0"/>
              </w:rPr>
              <w:t>Head teachers and guiding teachers reported that children had become interested in English and were participating in English-related activities, and that the English learning environment in classrooms was increasing. Bilingual textbooks contained good learning activities, and supplementary models, charts and worksheets were useful. Respondents viewed bilingual schools as helpful in providing free, quality English education to economically backward rural students, increasing attendance and developing vocabulary and communication skills.</w:t>
            </w:r>
          </w:p>
          <w:p>
            <w:pPr>
              <w:spacing w:after="60"/>
              <w:jc w:val="both"/>
            </w:pPr>
            <w:r>
              <w:rPr>
                <w:b w:val="0"/>
              </w:rPr>
              <w:t>The practice is sustainable because it rests on a permanent policy provision, trained teachers and bilingual textbooks. It is replicable in all bilingual schools. It is scalable through workshops and mentorship for bilingual teachers. It is monitorable through attendance, classroom observation of the English learning environment and assessment of vocabulary and communication. The study's rigorous qualitative methods give confidence in these perceptions. It recommends workshops on bilingual teaching strategies, mentorship, resource development and a bilingual education policy framework, which would support teachers in helping the students they described as slower learners to keep pace.</w:t>
            </w:r>
          </w:p>
        </w:tc>
      </w:tr>
    </w:tbl>
    <w:p>
      <w:pPr>
        <w:spacing w:after="120" w:before="160"/>
      </w:pPr>
      <w:r>
        <w:rPr>
          <w:b/>
          <w:i w:val="0"/>
          <w:sz w:val="24"/>
          <w:u w:val="none"/>
        </w:rPr>
        <w:t>References</w:t>
      </w:r>
    </w:p>
    <w:p>
      <w:pPr>
        <w:spacing w:after="60" w:before="0"/>
        <w:ind w:left="576" w:hanging="576"/>
        <w:jc w:val="both"/>
      </w:pPr>
      <w:r>
        <w:rPr>
          <w:b w:val="0"/>
          <w:i w:val="0"/>
          <w:u w:val="none"/>
        </w:rPr>
        <w:t>DIET Ilkal (Bagalkote) (2024-25). A Qualitative study on Bilingual schools learning and teaching.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73</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Ilkal (Bagalkote)</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Teachers' English proficiency and English-medium classroom practice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Ilkal (Bagalkote)'s study “A Qualitative study on of EMTIP-5 training effect to bilingual school teachers” (2024-25) and DIET Ilkal (Bagalkote)'s study “Effectiveness of ELEC Training on teachers selected government primary schools of Bagalkot district” (2025-26). Shortage of trained teachers in rural areas; lack of aids and digital resources; large classes; inconsistent follow-up; limited parental support.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Regular EMTIP/ELEC training with follow-up mentoring; functional classroom English; pre- and post-training assessment; extend to all English-medium teachers; refresher training; English clubs.</w:t>
            </w:r>
          </w:p>
          <w:p>
            <w:pPr>
              <w:spacing w:after="60"/>
              <w:ind w:left="360" w:hanging="259"/>
              <w:jc w:val="both"/>
            </w:pPr>
            <w:r>
              <w:rPr>
                <w:b w:val="0"/>
              </w:rPr>
              <w:t xml:space="preserve">•  </w:t>
            </w:r>
            <w:r>
              <w:rPr>
                <w:b w:val="0"/>
              </w:rPr>
              <w:t>It develops language knowledge in children.</w:t>
            </w:r>
          </w:p>
          <w:p>
            <w:pPr>
              <w:spacing w:after="60"/>
              <w:ind w:left="360" w:hanging="259"/>
              <w:jc w:val="both"/>
            </w:pPr>
            <w:r>
              <w:rPr>
                <w:b w:val="0"/>
              </w:rPr>
              <w:t xml:space="preserve">•  </w:t>
            </w:r>
            <w:r>
              <w:rPr>
                <w:b w:val="0"/>
              </w:rPr>
              <w:t>EMTIP-trained teachers contribute to overall academic improvement and school reputation Recommendations.</w:t>
            </w:r>
          </w:p>
          <w:p>
            <w:pPr>
              <w:spacing w:after="60"/>
              <w:ind w:left="360" w:hanging="259"/>
              <w:jc w:val="both"/>
            </w:pPr>
            <w:r>
              <w:rPr>
                <w:b w:val="0"/>
              </w:rPr>
              <w:t xml:space="preserve">•  </w:t>
            </w:r>
            <w:r>
              <w:rPr>
                <w:b w:val="0"/>
              </w:rPr>
              <w:t>EMTIP training should be conducted regularly and continuously to sustain teachers’ English language proficiency.</w:t>
            </w:r>
          </w:p>
          <w:p>
            <w:pPr>
              <w:spacing w:after="60"/>
              <w:ind w:left="360" w:hanging="259"/>
              <w:jc w:val="both"/>
            </w:pPr>
            <w:r>
              <w:rPr>
                <w:b w:val="0"/>
              </w:rPr>
              <w:t xml:space="preserve">•  </w:t>
            </w:r>
            <w:r>
              <w:rPr>
                <w:b w:val="0"/>
              </w:rPr>
              <w:t>Follow-up mentoring and classroom observations should be introduced after training to ensure effective implementation.</w:t>
            </w:r>
          </w:p>
          <w:p>
            <w:pPr>
              <w:spacing w:after="60"/>
              <w:ind w:left="360" w:hanging="259"/>
              <w:jc w:val="both"/>
            </w:pPr>
            <w:r>
              <w:rPr>
                <w:b w:val="0"/>
              </w:rPr>
              <w:t xml:space="preserve">•  </w:t>
            </w:r>
            <w:r>
              <w:rPr>
                <w:b w:val="0"/>
              </w:rPr>
              <w:t>Training modules should focus more on functional classroom English rather than theoretical grammar.</w:t>
            </w:r>
          </w:p>
          <w:p>
            <w:pPr>
              <w:spacing w:after="60"/>
              <w:ind w:left="360" w:hanging="259"/>
              <w:jc w:val="both"/>
            </w:pPr>
            <w:r>
              <w:rPr>
                <w:b w:val="0"/>
              </w:rPr>
              <w:t xml:space="preserve">•  </w:t>
            </w:r>
            <w:r>
              <w:rPr>
                <w:b w:val="0"/>
              </w:rPr>
              <w:t>Subject-specific language support should be provided to help teachers explain concepts clearly in English.</w:t>
            </w:r>
          </w:p>
          <w:p>
            <w:pPr>
              <w:spacing w:after="60"/>
              <w:ind w:left="360" w:hanging="259"/>
              <w:jc w:val="both"/>
            </w:pPr>
            <w:r>
              <w:rPr>
                <w:b w:val="0"/>
              </w:rPr>
              <w:t xml:space="preserve">•  </w:t>
            </w:r>
            <w:r>
              <w:rPr>
                <w:b w:val="0"/>
              </w:rPr>
              <w:t>EMTIP programmes should include practice-based activities such as micro-teaching, role-plays, and peer teaching.</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Two DIET Ilkal studies document English teacher training, EMTIP and the 9-week English Language Enrichment Training (ELEC), as practices that transform teachers' confidence and students' English skills. The EMTIP study used a qualitative case study design with 28 trained teachers, in-depth interviews, classroom observation and questionnaires for teachers, students and headmasters. The ELEC study covered head teachers, teachers and students in six blocks, using questionnaires through Google Forms after an online orientation.</w:t>
            </w:r>
          </w:p>
          <w:p>
            <w:pPr>
              <w:spacing w:after="60"/>
              <w:jc w:val="both"/>
            </w:pPr>
            <w:r>
              <w:rPr>
                <w:b w:val="0"/>
              </w:rPr>
              <w:t>The EMTIP evidence is striking: the percentage of teachers confident in teaching through English increased from thirty-eight per cent before training to eighty-four per cent after. Training improved teachers' spoken English, pronunciation, fluency and classroom vocabulary, reduced hesitation and encouraged interactive strategies such as group work, discussion and questioning, and students showed better listening and speaking. ELEC similarly made teachers more confident in teaching English; students showed better communication, speaking, reading comprehension, vocabulary, pronunciation and fluency, with greater interest and participation; use of TLM and technology increased; and overall English performance improved.</w:t>
            </w:r>
          </w:p>
          <w:p>
            <w:pPr>
              <w:spacing w:after="60"/>
              <w:jc w:val="both"/>
            </w:pPr>
            <w:r>
              <w:rPr>
                <w:b w:val="0"/>
              </w:rPr>
              <w:t>These practices are sustainable because they build lasting teacher competencies. They are replicable statewide. They are scalable by extending EMTIP to all English-medium teachers, as recommended. They are monitorable through pre- and post-training confidence measures, as the 38-to-eighty-four per cent shift shows, and through classroom observation and student achievement. The studies recommend regular training with follow-up mentoring, functional classroom English, practice-based activities, pre- and post-training assessment, refresher training, digital resources, English clubs and parental involvement.</w:t>
            </w:r>
          </w:p>
        </w:tc>
      </w:tr>
    </w:tbl>
    <w:p>
      <w:pPr>
        <w:spacing w:after="120" w:before="160"/>
      </w:pPr>
      <w:r>
        <w:rPr>
          <w:b/>
          <w:i w:val="0"/>
          <w:sz w:val="24"/>
          <w:u w:val="none"/>
        </w:rPr>
        <w:t>References</w:t>
      </w:r>
    </w:p>
    <w:p>
      <w:pPr>
        <w:spacing w:after="60" w:before="0"/>
        <w:ind w:left="576" w:hanging="576"/>
        <w:jc w:val="both"/>
      </w:pPr>
      <w:r>
        <w:rPr>
          <w:b w:val="0"/>
          <w:i w:val="0"/>
          <w:u w:val="none"/>
        </w:rPr>
        <w:t>DIET Ilkal (Bagalkote) (2024-25). A Qualitative study on of EMTIP-5 training effect to bilingual school teachers; DIET Ilkal (Bagalkote) (2025-26). Effectiveness of ELEC Training on teachers selected government primary schools of Bagalkot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74</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Ilkal (Bagalkote)</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Out-of-school and dropout children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Ilkal (Bagalkote)'s study “A Study on the Problems of Dropout Children, Causes, and Solutions to Bring Them Back to the Mainstream in Selected Government Primary and Secondary schools” (2024-25). High dropout among low-income families (seventy-five per cent); causes: financial constraints (forty per cent), lack of interest (twenty-five per cent), family responsibilities (twenty per cent); higher in rural areas (sixty per cent).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Financial assistance; remedial classes and counselling; parental and community engagement; flexible learning; vocational training; girl-child education; robust tracking.</w:t>
            </w:r>
          </w:p>
          <w:p>
            <w:pPr>
              <w:spacing w:after="60"/>
              <w:ind w:left="360" w:hanging="259"/>
              <w:jc w:val="both"/>
            </w:pPr>
            <w:r>
              <w:rPr>
                <w:b w:val="0"/>
              </w:rPr>
              <w:t xml:space="preserve">•  </w:t>
            </w:r>
            <w:r>
              <w:rPr>
                <w:b w:val="0"/>
              </w:rPr>
              <w:t>Identify and support vulnerable students.</w:t>
            </w:r>
          </w:p>
          <w:p>
            <w:pPr>
              <w:spacing w:after="60"/>
              <w:ind w:left="360" w:hanging="259"/>
              <w:jc w:val="both"/>
            </w:pPr>
            <w:r>
              <w:rPr>
                <w:b w:val="0"/>
              </w:rPr>
              <w:t xml:space="preserve">•  </w:t>
            </w:r>
            <w:r>
              <w:rPr>
                <w:b w:val="0"/>
              </w:rPr>
              <w:t>Provide financial assistance and resources (e.g., scholarships, textbooks).</w:t>
            </w:r>
          </w:p>
          <w:p>
            <w:pPr>
              <w:spacing w:after="60"/>
              <w:ind w:left="360" w:hanging="259"/>
              <w:jc w:val="both"/>
            </w:pPr>
            <w:r>
              <w:rPr>
                <w:b w:val="0"/>
              </w:rPr>
              <w:t xml:space="preserve">•  </w:t>
            </w:r>
            <w:r>
              <w:rPr>
                <w:b w:val="0"/>
              </w:rPr>
              <w:t>Improve school infrastructure (e.g., toilets, drinking water) Mid-term Strategies.</w:t>
            </w:r>
          </w:p>
          <w:p>
            <w:pPr>
              <w:spacing w:after="60"/>
              <w:ind w:left="360" w:hanging="259"/>
              <w:jc w:val="both"/>
            </w:pPr>
            <w:r>
              <w:rPr>
                <w:b w:val="0"/>
              </w:rPr>
              <w:t xml:space="preserve">•  </w:t>
            </w:r>
            <w:r>
              <w:rPr>
                <w:b w:val="0"/>
              </w:rPr>
              <w:t>Teacher training and capacity building.</w:t>
            </w:r>
          </w:p>
          <w:p>
            <w:pPr>
              <w:spacing w:after="60"/>
              <w:ind w:left="360" w:hanging="259"/>
              <w:jc w:val="both"/>
            </w:pPr>
            <w:r>
              <w:rPr>
                <w:b w:val="0"/>
              </w:rPr>
              <w:t xml:space="preserve">•  </w:t>
            </w:r>
            <w:r>
              <w:rPr>
                <w:b w:val="0"/>
              </w:rPr>
              <w:t>Develop student engagement programs (e.g., extracurricular activities, vocational training).</w:t>
            </w:r>
          </w:p>
          <w:p>
            <w:pPr>
              <w:spacing w:after="60"/>
              <w:ind w:left="360" w:hanging="259"/>
              <w:jc w:val="both"/>
            </w:pPr>
            <w:r>
              <w:rPr>
                <w:b w:val="0"/>
              </w:rPr>
              <w:t xml:space="preserve">•  </w:t>
            </w:r>
            <w:r>
              <w:rPr>
                <w:b w:val="0"/>
              </w:rPr>
              <w:t>Establish community-based monitoring committees.</w:t>
            </w:r>
          </w:p>
          <w:p>
            <w:pPr>
              <w:spacing w:after="60"/>
              <w:ind w:left="360" w:hanging="259"/>
              <w:jc w:val="both"/>
            </w:pPr>
            <w:r>
              <w:rPr>
                <w:b w:val="0"/>
              </w:rPr>
              <w:t xml:space="preserve">•  </w:t>
            </w:r>
            <w:r>
              <w:rPr>
                <w:b w:val="0"/>
              </w:rPr>
              <w:t>Collaborate with local NGOs and organizations.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Ilkal's qualitative study on dropout children in Bagalkot district is a best practice in understanding why children leave school, drawing on the experience of teachers who have worked with out-of-school students across six taluks. The study used purposive and snowball sampling of experienced teachers, semi-structured in-depth interviews, classroom observation and document analysis, with rigorous thematic coding, triangulation, member checking and peer debriefing.</w:t>
            </w:r>
          </w:p>
          <w:p>
            <w:pPr>
              <w:spacing w:after="60"/>
              <w:jc w:val="both"/>
            </w:pPr>
            <w:r>
              <w:rPr>
                <w:b w:val="0"/>
              </w:rPr>
              <w:t>The study produced a clear profile of dropout. Dropout rates were high among students from low-income families (seventy-five per cent). The main reasons were financial constraints (forty per cent), lack of interest in studies (twenty-five per cent) and family responsibilities (twenty per cent), and dropout was higher in rural areas (sixty per cent) than urban areas (forty per cent). Qualitative findings pointed to parents' lack of education and awareness, inadequate infrastructure, teacher absenteeism, poor teacher–student relationships, child labour, lack of vocational training and relevant curriculum, and social factors such as early marriage and migration.</w:t>
            </w:r>
          </w:p>
          <w:p>
            <w:pPr>
              <w:spacing w:after="60"/>
              <w:jc w:val="both"/>
            </w:pPr>
            <w:r>
              <w:rPr>
                <w:b w:val="0"/>
              </w:rPr>
              <w:t>The diagnostic approach is sustainable because it draws on teachers' knowledge and can be repeated periodically. It is replicable in other districts with high dropout. It is scalable as a basis for district dropout-prevention plans. It is monitorable through tracking of dropout rates by income, location and cause. The study's comprehensive recommendations, financial assistance, remedial classes and counselling, parental and community engagement, improved infrastructure, teacher capacity building, flexible learning options, vocational training, promotion of girls' education and robust tracking and monitoring systems, respond directly to each cause identified, giving the district a complete strategy for bringing children back to school.</w:t>
            </w:r>
          </w:p>
        </w:tc>
      </w:tr>
    </w:tbl>
    <w:p>
      <w:pPr>
        <w:spacing w:after="120" w:before="160"/>
      </w:pPr>
      <w:r>
        <w:rPr>
          <w:b/>
          <w:i w:val="0"/>
          <w:sz w:val="24"/>
          <w:u w:val="none"/>
        </w:rPr>
        <w:t>References</w:t>
      </w:r>
    </w:p>
    <w:p>
      <w:pPr>
        <w:spacing w:after="60" w:before="0"/>
        <w:ind w:left="576" w:hanging="576"/>
        <w:jc w:val="both"/>
      </w:pPr>
      <w:r>
        <w:rPr>
          <w:b w:val="0"/>
          <w:i w:val="0"/>
          <w:u w:val="none"/>
        </w:rPr>
        <w:t>DIET Ilkal (Bagalkote) (2024-25). A Study on the Problems of Dropout Children, Causes, and Solutions to Bring Them Back to the Mainstream in Selected Government Primary and Secondary schools.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75</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Ilkal (Bagalkote)</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Use of ICT labs, TALP and smart classes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Ilkal (Bagalkote)'s study “Effectiveness of Technology Integration in Teaching- Learning Process by Teachers in Government Higher Primary/High Schools (Grades 6-10) in Bagalkot District, Karnataka” (2024-25) and DIET Ilkal (Bagalkote)'s study “Study on the availability and use of digital technologies in high schools in Bagalkote district” (2025-26). Rural schools have limited infrastructure; urban infrastructure underused; only 9.5 per cent of teachers show maximum digital safety awareness; unreliable power and internet in rural areas; untrained teachers in aided/unaided schools.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Continuous digital skills training; adequate infrastructure, internet and technical support; equitable distribution of digital resources; targeted interventions for the digital divide.</w:t>
            </w:r>
          </w:p>
          <w:p>
            <w:pPr>
              <w:spacing w:after="60"/>
              <w:ind w:left="360" w:hanging="259"/>
              <w:jc w:val="both"/>
            </w:pPr>
            <w:r>
              <w:rPr>
                <w:b w:val="0"/>
              </w:rPr>
              <w:t xml:space="preserve">•  </w:t>
            </w:r>
            <w:r>
              <w:rPr>
                <w:b w:val="0"/>
              </w:rPr>
              <w:t>Evidence from the study may support increased budget allocation for ICT facilities, smart classrooms, internet connectivity, and maintenance of digital resources.</w:t>
            </w:r>
          </w:p>
          <w:p>
            <w:pPr>
              <w:spacing w:after="60"/>
              <w:ind w:left="360" w:hanging="259"/>
              <w:jc w:val="both"/>
            </w:pPr>
            <w:r>
              <w:rPr>
                <w:b w:val="0"/>
              </w:rPr>
              <w:t xml:space="preserve">•  </w:t>
            </w:r>
            <w:r>
              <w:rPr>
                <w:b w:val="0"/>
              </w:rPr>
              <w:t>Educational administrators can use the findings to identify gaps in digital technology availability and prepare targeted improvement plans.</w:t>
            </w:r>
          </w:p>
          <w:p>
            <w:pPr>
              <w:spacing w:after="60"/>
              <w:ind w:left="360" w:hanging="259"/>
              <w:jc w:val="both"/>
            </w:pPr>
            <w:r>
              <w:rPr>
                <w:b w:val="0"/>
              </w:rPr>
              <w:t xml:space="preserve">•  </w:t>
            </w:r>
            <w:r>
              <w:rPr>
                <w:b w:val="0"/>
              </w:rPr>
              <w:t>Teacher training institutions such as District Institute of Education and Training (DIETs) can design need-based digital literacy and technology integration programs.</w:t>
            </w:r>
          </w:p>
          <w:p>
            <w:pPr>
              <w:spacing w:after="60"/>
              <w:ind w:left="360" w:hanging="259"/>
              <w:jc w:val="both"/>
            </w:pPr>
            <w:r>
              <w:rPr>
                <w:b w:val="0"/>
              </w:rPr>
              <w:t xml:space="preserve">•  </w:t>
            </w:r>
            <w:r>
              <w:rPr>
                <w:b w:val="0"/>
              </w:rPr>
              <w:t>Schools lacking adequate digital facilities can be prioritized for infrastructure development.</w:t>
            </w:r>
          </w:p>
          <w:p>
            <w:pPr>
              <w:spacing w:after="60"/>
              <w:ind w:left="360" w:hanging="259"/>
              <w:jc w:val="both"/>
            </w:pPr>
            <w:r>
              <w:rPr>
                <w:b w:val="0"/>
              </w:rPr>
              <w:t xml:space="preserve">•  </w:t>
            </w:r>
            <w:r>
              <w:rPr>
                <w:b w:val="0"/>
              </w:rPr>
              <w:t>Appropriate interventions can be planned to ensure equal learning opportunities for all students.</w:t>
            </w:r>
          </w:p>
          <w:p>
            <w:pPr>
              <w:spacing w:after="60"/>
              <w:ind w:left="360" w:hanging="259"/>
              <w:jc w:val="both"/>
            </w:pPr>
            <w:r>
              <w:rPr>
                <w:b w:val="0"/>
              </w:rPr>
              <w:t xml:space="preserve">•  </w:t>
            </w:r>
            <w:r>
              <w:rPr>
                <w:b w:val="0"/>
              </w:rPr>
              <w:t>Future evaluations can compare progress against the present findings Recommendations.</w:t>
            </w:r>
          </w:p>
          <w:p>
            <w:pPr>
              <w:spacing w:after="60"/>
              <w:ind w:left="360" w:hanging="259"/>
              <w:jc w:val="both"/>
            </w:pPr>
            <w:r>
              <w:rPr>
                <w:b w:val="0"/>
              </w:rPr>
              <w:t xml:space="preserve">•  </w:t>
            </w:r>
            <w:r>
              <w:rPr>
                <w:b w:val="0"/>
              </w:rPr>
              <w:t>There is a need to continuously provide digital skills training to teachers.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Two DIET Ilkal studies document technology integration in Bagalkot district schools and its benefits for learning. The first used a comparative design across 36 government and aided schools in rural Bennur CRC (17 schools) and urban Bagalkot CRC (19 schools), with 401 students, about 100 teachers and community stakeholders. The second covered government, aided and unaided high schools in six blocks, collecting data from head teachers, teachers and students through Google Forms.</w:t>
            </w:r>
          </w:p>
          <w:p>
            <w:pPr>
              <w:spacing w:after="60"/>
              <w:jc w:val="both"/>
            </w:pPr>
            <w:r>
              <w:rPr>
                <w:b w:val="0"/>
              </w:rPr>
              <w:t>The findings show that technology is now widely available and valued. Digital devices were available in all high schools surveyed, most government teachers had received computer training, and in schools with Smart Boards, teachers of all subjects used them. Teachers reported that technology-based teaching increased children's interest, attention, understanding and retention. Teachers were enthusiastic about technology integration, students showed increased interest when it was used effectively, and technology use was 72.94 per cent in high schools.</w:t>
            </w:r>
          </w:p>
          <w:p>
            <w:pPr>
              <w:spacing w:after="60"/>
              <w:jc w:val="both"/>
            </w:pPr>
            <w:r>
              <w:rPr>
                <w:b w:val="0"/>
              </w:rPr>
              <w:t>The practice is sustainable where Smart Boards and devices are maintained and teachers are trained. It is replicable across districts. It is scalable by extending use from high schools to primary schools, where use was 27.06 per cent. It is monitorable through technology-use rates by school level, teacher training and student engagement. The studies identify needed supports: digital safety awareness (only 9.5 per cent of teachers showed maximum awareness), reliable rural power and internet, backup facilities and repair funds, timely curriculum-aligned content, and training for aided and unaided school teachers. They conclude that technology enhances teaching when implemented systematically with sustained professional development.</w:t>
            </w:r>
          </w:p>
        </w:tc>
      </w:tr>
    </w:tbl>
    <w:p>
      <w:pPr>
        <w:spacing w:after="120" w:before="160"/>
      </w:pPr>
      <w:r>
        <w:rPr>
          <w:b/>
          <w:i w:val="0"/>
          <w:sz w:val="24"/>
          <w:u w:val="none"/>
        </w:rPr>
        <w:t>References</w:t>
      </w:r>
    </w:p>
    <w:p>
      <w:pPr>
        <w:spacing w:after="60" w:before="0"/>
        <w:ind w:left="576" w:hanging="576"/>
        <w:jc w:val="both"/>
      </w:pPr>
      <w:r>
        <w:rPr>
          <w:b w:val="0"/>
          <w:i w:val="0"/>
          <w:u w:val="none"/>
        </w:rPr>
        <w:t>DIET Ilkal (Bagalkote) (2024-25). Effectiveness of Technology Integration in Teaching- Learning Process by Teachers in Government Higher Primary/High Schools (Grades 6-10) in Bagalkot District, Karnataka; DIET Ilkal (Bagalkote) (2025-26). Study on the availability and use of digital technologies in high schools in Bagalkote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76</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Ilkal (Bagalkote)</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Skill education (NSQF) and 21st-century skills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Ilkal (Bagalkote)'s study “Effectiveness of Skill-Based Learning and Innovative Teaching Practices in Government Secondary Schools in Karnataka” (2024-25) and DIET Ilkal (Bagalkote)'s study “A Study on the Effective Utilization of NSQF Laboratories and Skill Development in Selected Secondary Schools of Bagalkot District” (2025-26) and DIET Ilkal (Bagalkote)'s study “A Study on the Role of the National Skills Qualifications Framework (NSQF) in Enhancing Students’ Employability and Skill Development” (2025-26). Uneven resources and infrastructure; inadequate maintenance of NSQF labs; about sixty per cent of respondents note infrastructure, resource and training issues.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Policy support and resource strengthening; regular equipment maintenance; capacity building for skill teachers; industry–school partnerships; career guidance; monitoring.</w:t>
            </w:r>
          </w:p>
          <w:p>
            <w:pPr>
              <w:spacing w:after="60"/>
              <w:ind w:left="360" w:hanging="259"/>
              <w:jc w:val="both"/>
            </w:pPr>
            <w:r>
              <w:rPr>
                <w:b w:val="0"/>
              </w:rPr>
              <w:t xml:space="preserve">•  </w:t>
            </w:r>
            <w:r>
              <w:rPr>
                <w:b w:val="0"/>
              </w:rPr>
              <w:t>Effective integration supports broader educational goals of employability, lifelong learning, and socio-economic development.</w:t>
            </w:r>
          </w:p>
          <w:p>
            <w:pPr>
              <w:spacing w:after="60"/>
              <w:ind w:left="360" w:hanging="259"/>
              <w:jc w:val="both"/>
            </w:pPr>
            <w:r>
              <w:rPr>
                <w:b w:val="0"/>
              </w:rPr>
              <w:t xml:space="preserve">•  </w:t>
            </w:r>
            <w:r>
              <w:rPr>
                <w:b w:val="0"/>
              </w:rPr>
              <w:t>Institutionalize regular and contextualized professional development programs for teachers.</w:t>
            </w:r>
          </w:p>
          <w:p>
            <w:pPr>
              <w:spacing w:after="60"/>
              <w:ind w:left="360" w:hanging="259"/>
              <w:jc w:val="both"/>
            </w:pPr>
            <w:r>
              <w:rPr>
                <w:b w:val="0"/>
              </w:rPr>
              <w:t xml:space="preserve">•  </w:t>
            </w:r>
            <w:r>
              <w:rPr>
                <w:b w:val="0"/>
              </w:rPr>
              <w:t>Improved infrastructure, continuous teacher training, and adequate resource support can enhance the quality of vocational education and student learning outcomes Recommendations.</w:t>
            </w:r>
          </w:p>
          <w:p>
            <w:pPr>
              <w:spacing w:after="60"/>
              <w:ind w:left="360" w:hanging="259"/>
              <w:jc w:val="both"/>
            </w:pPr>
            <w:r>
              <w:rPr>
                <w:b w:val="0"/>
              </w:rPr>
              <w:t xml:space="preserve">•  </w:t>
            </w:r>
            <w:r>
              <w:rPr>
                <w:b w:val="0"/>
              </w:rPr>
              <w:t>Organize periodic capacity-building programmes for skill teachers.</w:t>
            </w:r>
          </w:p>
          <w:p>
            <w:pPr>
              <w:spacing w:after="60"/>
              <w:ind w:left="360" w:hanging="259"/>
              <w:jc w:val="both"/>
            </w:pPr>
            <w:r>
              <w:rPr>
                <w:b w:val="0"/>
              </w:rPr>
              <w:t xml:space="preserve">•  </w:t>
            </w:r>
            <w:r>
              <w:rPr>
                <w:b w:val="0"/>
              </w:rPr>
              <w:t>Strengthen industry-school partnerships for practical exposure.</w:t>
            </w:r>
          </w:p>
          <w:p>
            <w:pPr>
              <w:spacing w:after="60"/>
              <w:ind w:left="360" w:hanging="259"/>
              <w:jc w:val="both"/>
            </w:pPr>
            <w:r>
              <w:rPr>
                <w:b w:val="0"/>
              </w:rPr>
              <w:t xml:space="preserve">•  </w:t>
            </w:r>
            <w:r>
              <w:rPr>
                <w:b w:val="0"/>
              </w:rPr>
              <w:t>Ensure adequate funding and resource allocation.</w:t>
            </w:r>
          </w:p>
          <w:p>
            <w:pPr>
              <w:spacing w:after="60"/>
              <w:ind w:left="360" w:hanging="259"/>
              <w:jc w:val="both"/>
            </w:pPr>
            <w:r>
              <w:rPr>
                <w:b w:val="0"/>
              </w:rPr>
              <w:t xml:space="preserve">•  </w:t>
            </w:r>
            <w:r>
              <w:rPr>
                <w:b w:val="0"/>
              </w:rPr>
              <w:t>Establish effective monitoring and evaluation mechanisms.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Three DIET Ilkal studies document skill-based learning and the National Skills Qualifications Framework (NSQF) as effective practices for building students' practical and employability skills. One used mixed-methods action research across secondary schools in several districts; another surveyed 60 students, 14 skill teachers and 12 head teachers on NSQF laboratories with validated tools; the third used stratified and purposive sampling of about 150 respondents, comparing NSQF and non-NSQF students with t-tests.</w:t>
            </w:r>
          </w:p>
          <w:p>
            <w:pPr>
              <w:spacing w:after="60"/>
              <w:jc w:val="both"/>
            </w:pPr>
            <w:r>
              <w:rPr>
                <w:b w:val="0"/>
              </w:rPr>
              <w:t>The evidence is consistent and strong. Skill-based learning enhanced engagement, interest and practical competence, with statistically significant improvements in attendance and achievement in skills-oriented subjects, and teachers increasingly adopted project-based and collaborative activities. In NSQF laboratories, seventy-eight per cent of students reported improved practical and vocational skills, seventy-two per cent of teachers were satisfied with laboratory use and seventy per cent of students showed improved problem-solving and employability skills. NSQF students scored higher on the skill development scale (M ≈ 4.1) than non-NSQF students (M ≈ 3.2), a significant difference; 75–eighty-five per cent of students agreed NSQF improved their skills, about eighty per cent of teachers said it enhanced practical learning, and nearly seventy-five per cent of headmasters reported improved confidence, attendance and engagement.</w:t>
            </w:r>
          </w:p>
          <w:p>
            <w:pPr>
              <w:spacing w:after="60"/>
              <w:jc w:val="both"/>
            </w:pPr>
            <w:r>
              <w:rPr>
                <w:b w:val="0"/>
              </w:rPr>
              <w:t>The practice is sustainable where laboratories are maintained. It is replicable through the State NSQF programme. It is scalable with industry partnerships. It is monitorable through skill scales and comparisons with non-NSQF students. The studies recommend maintenance, teacher capacity building, industry–school partnerships, funding, career guidance and monitoring.</w:t>
            </w:r>
          </w:p>
        </w:tc>
      </w:tr>
    </w:tbl>
    <w:p>
      <w:pPr>
        <w:spacing w:after="120" w:before="160"/>
      </w:pPr>
      <w:r>
        <w:rPr>
          <w:b/>
          <w:i w:val="0"/>
          <w:sz w:val="24"/>
          <w:u w:val="none"/>
        </w:rPr>
        <w:t>References</w:t>
      </w:r>
    </w:p>
    <w:p>
      <w:pPr>
        <w:spacing w:after="60" w:before="0"/>
        <w:ind w:left="576" w:hanging="576"/>
        <w:jc w:val="both"/>
      </w:pPr>
      <w:r>
        <w:rPr>
          <w:b w:val="0"/>
          <w:i w:val="0"/>
          <w:u w:val="none"/>
        </w:rPr>
        <w:t>DIET Ilkal (Bagalkote) (2024-25). Effectiveness of Skill-Based Learning and Innovative Teaching Practices in Government Secondary Schools in Karnataka; DIET Ilkal (Bagalkote) (2025-26). A Study on the Effective Utilization of NSQF Laboratories and Skill Development in Selected Secondary Schools of Bagalkot District; DIET Ilkal (Bagalkote) (2025-26). A Study on the Role of the National Skills Qualifications Framework (NSQF) in Enhancing Students’ Employability and Skill Development.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77</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Ilkal (Bagalkote)</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Effect of in-service training on classroom practice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Ilkal (Bagalkote)'s study “A Study on IISC Effective Training Of High school Teachers In Science and Maths Of BAGALKOT District” (2025-26). Eighty-one per cent of teachers faced difficulty applying training due to lack of lab facilities and resources; ninety-four per cent of schools faced disruption when teachers were away for training.</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Continuous in-service training; adequate physical resources so laboratories are fully used.</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Ilkal's study on IISc training for high school science and mathematics teachers documents a high-impact State training programme. All high school mathematics and science teachers in Karnataka were assigned by seniority to a 10-day IISc programme at the training centre in Challakere, Chitradurga district. The study collected data from randomly selected high schools in all taluks of Bagalkot district using questionnaires for teachers, students and headmasters.</w:t>
            </w:r>
          </w:p>
          <w:p>
            <w:pPr>
              <w:spacing w:after="60"/>
              <w:jc w:val="both"/>
            </w:pPr>
            <w:r>
              <w:rPr>
                <w:b w:val="0"/>
              </w:rPr>
              <w:t>The results show substantial change in classroom practice. Ninety-six per cent of teachers reported changes in their teaching methods and techniques, and ninety per cent gained simple methods for solving difficult mathematics problems. All teachers benefited in equipping school laboratories. Seventy-five per cent made significant positive changes in daily teaching, and eighty-eight per cent completed the curriculum using the methods learned. Headmasters reported that seventy-five per cent of trained teachers used laboratories in daily teaching and that eighty-six per cent saw improved test results.</w:t>
            </w:r>
          </w:p>
          <w:p>
            <w:pPr>
              <w:spacing w:after="60"/>
              <w:jc w:val="both"/>
            </w:pPr>
            <w:r>
              <w:rPr>
                <w:b w:val="0"/>
              </w:rPr>
              <w:t>The practice is sustainable because residential, hands-on training produces lasting changes in teaching methods. It is replicable, it is already a statewide programme. It is scalable to more teachers and subjects. It is monitorable through classroom use of laboratories, curriculum completion and test results, as reported by headmasters. The study identifies constraints that limit full impact: Eighty-one per cent of teachers faced difficulties applying the training because of a lack of laboratory facilities, student apathy and limited resources, and students reported that seventy-five per cent of schools lacked equipment for experiments. It recommends continuous in-service training and adequate physical resources so that school laboratories are fully used, ensuring that the skills teachers gain at IISc can be applied every day.</w:t>
            </w:r>
          </w:p>
        </w:tc>
      </w:tr>
    </w:tbl>
    <w:p>
      <w:pPr>
        <w:spacing w:after="120" w:before="160"/>
      </w:pPr>
      <w:r>
        <w:rPr>
          <w:b/>
          <w:i w:val="0"/>
          <w:sz w:val="24"/>
          <w:u w:val="none"/>
        </w:rPr>
        <w:t>References</w:t>
      </w:r>
    </w:p>
    <w:p>
      <w:pPr>
        <w:spacing w:after="60" w:before="0"/>
        <w:ind w:left="576" w:hanging="576"/>
        <w:jc w:val="both"/>
      </w:pPr>
      <w:r>
        <w:rPr>
          <w:b w:val="0"/>
          <w:i w:val="0"/>
          <w:u w:val="none"/>
        </w:rPr>
        <w:t>DIET Ilkal (Bagalkote) (2025-26). A Study on IISC Effective Training Of High school Teachers In Science and Maths Of BAGALKOT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78</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Ilkal (Bagalkote)</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Functioning of SDMCs in school development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Ilkal (Bagalkote)'s study “A Qualitative study on community contribution” (2024-25). Limited communication and unclear guidelines hinder community participation.</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Institutionalise community engagement in school policy; train teachers and leaders in partnership building; transparent reporting of contributions; regular community meetings.</w:t>
            </w:r>
          </w:p>
          <w:p>
            <w:pPr>
              <w:spacing w:after="60"/>
              <w:ind w:left="360" w:hanging="259"/>
              <w:jc w:val="both"/>
            </w:pPr>
            <w:r>
              <w:rPr>
                <w:b w:val="0"/>
              </w:rPr>
              <w:t xml:space="preserve">•  </w:t>
            </w:r>
            <w:r>
              <w:rPr>
                <w:b w:val="0"/>
              </w:rPr>
              <w:t>Conduct a rapid assessment of community needs and interests.</w:t>
            </w:r>
          </w:p>
          <w:p>
            <w:pPr>
              <w:spacing w:after="60"/>
              <w:ind w:left="360" w:hanging="259"/>
              <w:jc w:val="both"/>
            </w:pPr>
            <w:r>
              <w:rPr>
                <w:b w:val="0"/>
              </w:rPr>
              <w:t xml:space="preserve">•  </w:t>
            </w:r>
            <w:r>
              <w:rPr>
                <w:b w:val="0"/>
              </w:rPr>
              <w:t>Organize a community meeting to discuss school priorities and potential support.</w:t>
            </w:r>
          </w:p>
          <w:p>
            <w:pPr>
              <w:spacing w:after="60"/>
              <w:ind w:left="360" w:hanging="259"/>
              <w:jc w:val="both"/>
            </w:pPr>
            <w:r>
              <w:rPr>
                <w:b w:val="0"/>
              </w:rPr>
              <w:t xml:space="preserve">•  </w:t>
            </w:r>
            <w:r>
              <w:rPr>
                <w:b w:val="0"/>
              </w:rPr>
              <w:t>Establish a community engagement task force for quick decision-making.</w:t>
            </w:r>
          </w:p>
          <w:p>
            <w:pPr>
              <w:spacing w:after="60"/>
              <w:ind w:left="360" w:hanging="259"/>
              <w:jc w:val="both"/>
            </w:pPr>
            <w:r>
              <w:rPr>
                <w:b w:val="0"/>
              </w:rPr>
              <w:t xml:space="preserve">•  </w:t>
            </w:r>
            <w:r>
              <w:rPr>
                <w:b w:val="0"/>
              </w:rPr>
              <w:t>Establish clear communication channels with the community through regular meetings and updates.</w:t>
            </w:r>
          </w:p>
          <w:p>
            <w:pPr>
              <w:spacing w:after="60"/>
              <w:ind w:left="360" w:hanging="259"/>
              <w:jc w:val="both"/>
            </w:pPr>
            <w:r>
              <w:rPr>
                <w:b w:val="0"/>
              </w:rPr>
              <w:t xml:space="preserve">•  </w:t>
            </w:r>
            <w:r>
              <w:rPr>
                <w:b w:val="0"/>
              </w:rPr>
              <w:t>Develop a structured engagement plan involving parents, alumni, and local organizations.</w:t>
            </w:r>
          </w:p>
          <w:p>
            <w:pPr>
              <w:spacing w:after="60"/>
              <w:ind w:left="360" w:hanging="259"/>
              <w:jc w:val="both"/>
            </w:pPr>
            <w:r>
              <w:rPr>
                <w:b w:val="0"/>
              </w:rPr>
              <w:t xml:space="preserve">•  </w:t>
            </w:r>
            <w:r>
              <w:rPr>
                <w:b w:val="0"/>
              </w:rPr>
              <w:t>Develop sustainable partnerships with local businesses, NGOs, and government agencies.</w:t>
            </w:r>
          </w:p>
          <w:p>
            <w:pPr>
              <w:spacing w:after="60"/>
              <w:ind w:left="360" w:hanging="259"/>
              <w:jc w:val="both"/>
            </w:pPr>
            <w:r>
              <w:rPr>
                <w:b w:val="0"/>
              </w:rPr>
              <w:t xml:space="preserve">•  </w:t>
            </w:r>
            <w:r>
              <w:rPr>
                <w:b w:val="0"/>
              </w:rPr>
              <w:t>Integrate community participation into school policies and frameworks.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Ilkal's qualitative study on community contributions to government primary schools documents a strong link between community engagement and school results. The study used a case study design with purposive and snowball sampling, in-depth interviews, classroom observation, document analysis and focus group discussions, analysed through rigorous thematic coding.</w:t>
            </w:r>
          </w:p>
          <w:p>
            <w:pPr>
              <w:spacing w:after="60"/>
              <w:jc w:val="both"/>
            </w:pPr>
            <w:r>
              <w:rPr>
                <w:b w:val="0"/>
              </w:rPr>
              <w:t>The findings are notable. Seventy-five per cent of schools reported receiving community contributions, most commonly financial support (forty per cent), followed by material donations (thirty per cent) and volunteer work (thirty per cent). Schools with active community engagement showed a fifteen per cent higher pass rate in board examinations than those without. Contributions were more common in rural areas (eighty-five per cent) than urban areas (sixty per cent), and community members expressed a sense of ownership and responsibility towards local schools.</w:t>
            </w:r>
          </w:p>
          <w:p>
            <w:pPr>
              <w:spacing w:after="60"/>
              <w:jc w:val="both"/>
            </w:pPr>
            <w:r>
              <w:rPr>
                <w:b w:val="0"/>
              </w:rPr>
              <w:t>The practice of community contribution is sustainable because it rests on local ownership, which persists across years. It is replicable in every village and town. It is scalable through structured engagement, which schools themselves sought. It is monitorable through records of contributions by type and transparent reporting of fund use, together with school results. Participants suggested regular community meetings and transparent fund utilisation. The study recommends institutionalising community engagement in school policy, training teachers and school leaders in partnership building, and mandating transparent reporting of contributions, steps that would turn the goodwill already evident, especially in rural areas, into sustained school–community partnerships that improve results.</w:t>
            </w:r>
          </w:p>
        </w:tc>
      </w:tr>
    </w:tbl>
    <w:p>
      <w:pPr>
        <w:spacing w:after="120" w:before="160"/>
      </w:pPr>
      <w:r>
        <w:rPr>
          <w:b/>
          <w:i w:val="0"/>
          <w:sz w:val="24"/>
          <w:u w:val="none"/>
        </w:rPr>
        <w:t>References</w:t>
      </w:r>
    </w:p>
    <w:p>
      <w:pPr>
        <w:spacing w:after="60" w:before="0"/>
        <w:ind w:left="576" w:hanging="576"/>
        <w:jc w:val="both"/>
      </w:pPr>
      <w:r>
        <w:rPr>
          <w:b w:val="0"/>
          <w:i w:val="0"/>
          <w:u w:val="none"/>
        </w:rPr>
        <w:t>DIET Ilkal (Bagalkote) (2024-25). A Qualitative study on community contribution.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79</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Ilkal (Bagalkote)</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Mid-day meals / PM POSHAN: effect on attendance, nutrition and learning</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Ilkal (Bagalkote)'s study “A study on the implementation of supplementary nutritional food under the midday meal scheme in selected government primary schools of Hunagunda and Ilakalla taluks” (2025-26). Kitchen staff incur costs for eggs, bananas, peeling and transport.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Continue supplementary food with SDMC cooperation; use findings for district and State planning and monitoring.</w:t>
            </w:r>
          </w:p>
          <w:p>
            <w:pPr>
              <w:spacing w:after="60"/>
              <w:ind w:left="360" w:hanging="259"/>
              <w:jc w:val="both"/>
            </w:pPr>
            <w:r>
              <w:rPr>
                <w:b w:val="0"/>
              </w:rPr>
              <w:t xml:space="preserve">•  </w:t>
            </w:r>
            <w:r>
              <w:rPr>
                <w:b w:val="0"/>
              </w:rPr>
              <w:t>Providing supplementary food with mid-day breakfast has been found to increase primary school enrollment and attendance and is an educational program.</w:t>
            </w:r>
          </w:p>
          <w:p>
            <w:pPr>
              <w:spacing w:after="60"/>
              <w:ind w:left="360" w:hanging="259"/>
              <w:jc w:val="both"/>
            </w:pPr>
            <w:r>
              <w:rPr>
                <w:b w:val="0"/>
              </w:rPr>
              <w:t xml:space="preserve">•  </w:t>
            </w:r>
            <w:r>
              <w:rPr>
                <w:b w:val="0"/>
              </w:rPr>
              <w:t>Many are of the opinion that this program is a good program as it provides good nutrition to school children in the state of Karnataka.</w:t>
            </w:r>
          </w:p>
          <w:p>
            <w:pPr>
              <w:spacing w:after="60"/>
              <w:ind w:left="360" w:hanging="259"/>
              <w:jc w:val="both"/>
            </w:pPr>
            <w:r>
              <w:rPr>
                <w:b w:val="0"/>
              </w:rPr>
              <w:t xml:space="preserve">•  </w:t>
            </w:r>
            <w:r>
              <w:rPr>
                <w:b w:val="0"/>
              </w:rPr>
              <w:t>Educational administrators can use the findings to proper use of mid meal use and prepare targeted improvement plans.</w:t>
            </w:r>
          </w:p>
          <w:p>
            <w:pPr>
              <w:spacing w:after="60"/>
              <w:ind w:left="360" w:hanging="259"/>
              <w:jc w:val="both"/>
            </w:pPr>
            <w:r>
              <w:rPr>
                <w:b w:val="0"/>
              </w:rPr>
              <w:t xml:space="preserve">•  </w:t>
            </w:r>
            <w:r>
              <w:rPr>
                <w:b w:val="0"/>
              </w:rPr>
              <w:t>Teacher training institutions such as District Institute of Education and Training (DIETs) can design need-based mid meal integration programs.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Ilkal's study on supplementary nutrition under the mid-day meal scheme in Hunagunda and Ilkal taluks documents a programme with wide-ranging benefits for children, families and the local economy. Along with the hot meal, schools provide eggs, bananas, ragi malt and milk. The researcher personally visited schools and collected information from headmasters, teachers, students and kitchen staff on distribution, storage, reception and effects.</w:t>
            </w:r>
          </w:p>
          <w:p>
            <w:pPr>
              <w:spacing w:after="60"/>
              <w:jc w:val="both"/>
            </w:pPr>
            <w:r>
              <w:rPr>
                <w:b w:val="0"/>
              </w:rPr>
              <w:t>The findings are positive across the board. Children's health status, growth and weight improved, supporting learning. Attendance in government and aided primary schools increased and dropout decreased. Parents showed greater interest in enrolling children in these schools. Beyond education, the scheme provided employment to some rural women and benefited poultry and banana farmers.</w:t>
            </w:r>
          </w:p>
          <w:p>
            <w:pPr>
              <w:spacing w:after="60"/>
              <w:jc w:val="both"/>
            </w:pPr>
            <w:r>
              <w:rPr>
                <w:b w:val="0"/>
              </w:rPr>
              <w:t>The practice is sustainable because it is a State-funded programme delivered with SDMC cooperation and local suppliers. It is replicable in every district. It is scalable with attention to the cost burden on kitchen staff. It is monitorable through attendance and dropout records, children's growth and weight, and enrolment trends. The study concludes that supplementary food under the scheme, implemented with SDMC cooperation, is a valuable educational programme, and that its findings can inform district- and State-level planning, monitoring and the design of need-based programmes by DIETs. Its documentation of benefits to rural women and farmers also shows how school nutrition contributes to the Viksit Karnataka objectives of human development and balanced regional development.</w:t>
            </w:r>
          </w:p>
        </w:tc>
      </w:tr>
    </w:tbl>
    <w:p>
      <w:pPr>
        <w:spacing w:after="120" w:before="160"/>
      </w:pPr>
      <w:r>
        <w:rPr>
          <w:b/>
          <w:i w:val="0"/>
          <w:sz w:val="24"/>
          <w:u w:val="none"/>
        </w:rPr>
        <w:t>References</w:t>
      </w:r>
    </w:p>
    <w:p>
      <w:pPr>
        <w:spacing w:after="60" w:before="0"/>
        <w:ind w:left="576" w:hanging="576"/>
        <w:jc w:val="both"/>
      </w:pPr>
      <w:r>
        <w:rPr>
          <w:b w:val="0"/>
          <w:i w:val="0"/>
          <w:u w:val="none"/>
        </w:rPr>
        <w:t>DIET Ilkal (Bagalkote) (2025-26). A study on the implementation of supplementary nutritional food under the midday meal scheme in selected government primary schools of Hunagunda and Ilakalla taluks.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80</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Ilkal (Bagalkote)</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Science laboratories, Atal Tinkering Labs and experiential science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Ilkal (Bagalkote)'s study “A Qualitative study on science lab in Govt.high schools” (2024-25) and DIET Ilkal (Bagalkote)'s study “A Study on the Status of Science Laboratories in Selected Government High Schools in Bagalkot District” (2024-25) and DIET Ilkal (Bagalkote)'s study “Study of Atal Tinkering Lab (ATL) Implementation and Utilization in Government Higher Primary/High Schools in Karnataka State” (2024-25) and DIET Ilkal (Bagalkote)'s study “Study on the status and implementation of Atal Tinkering Laboratories installed in government high schools in Bagalkot district” (2024-25). Sixty per cent of schools lack adequate lab equipment; only forty per cent keep experiment records; ATL portal unknown to many teachers; irregular training; ATL curriculum not uniformly available; ATL used only by science teachers.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Adequate equipment, direct funding and separate laboratory rooms; systematic ATL teacher training; timely grants; regular ATL timetables; idea boxes; integrate ATL with curriculum; mentors.</w:t>
            </w:r>
          </w:p>
          <w:p>
            <w:pPr>
              <w:spacing w:after="60"/>
              <w:ind w:left="360" w:hanging="259"/>
              <w:jc w:val="both"/>
            </w:pPr>
            <w:r>
              <w:rPr>
                <w:b w:val="0"/>
              </w:rPr>
              <w:t xml:space="preserve">•  </w:t>
            </w:r>
            <w:r>
              <w:rPr>
                <w:b w:val="0"/>
              </w:rPr>
              <w:t>Compared to government and aided schools, it is found that unaided schools have a higher record of expenditure on model making Teacher Professional Development Assistant.</w:t>
            </w:r>
          </w:p>
          <w:p>
            <w:pPr>
              <w:spacing w:after="60"/>
              <w:ind w:left="360" w:hanging="259"/>
              <w:jc w:val="both"/>
            </w:pPr>
            <w:r>
              <w:rPr>
                <w:b w:val="0"/>
              </w:rPr>
              <w:t xml:space="preserve">•  </w:t>
            </w:r>
            <w:r>
              <w:rPr>
                <w:b w:val="0"/>
              </w:rPr>
              <w:t>Guidance teachers have expressed the opinion that science teachers should also be given an opportunity to participate in state-level and national-level competitions along with children Recommendations.</w:t>
            </w:r>
          </w:p>
          <w:p>
            <w:pPr>
              <w:spacing w:after="60"/>
              <w:ind w:left="360" w:hanging="259"/>
              <w:jc w:val="both"/>
            </w:pPr>
            <w:r>
              <w:rPr>
                <w:b w:val="0"/>
              </w:rPr>
              <w:t xml:space="preserve">•  </w:t>
            </w:r>
            <w:r>
              <w:rPr>
                <w:b w:val="0"/>
              </w:rPr>
              <w:t>It develops the quality of exploration in children.</w:t>
            </w:r>
          </w:p>
          <w:p>
            <w:pPr>
              <w:spacing w:after="60"/>
              <w:ind w:left="360" w:hanging="259"/>
              <w:jc w:val="both"/>
            </w:pPr>
            <w:r>
              <w:rPr>
                <w:b w:val="0"/>
              </w:rPr>
              <w:t xml:space="preserve">•  </w:t>
            </w:r>
            <w:r>
              <w:rPr>
                <w:b w:val="0"/>
              </w:rPr>
              <w:t>It is helpful for the professional development of science teachers in government high schools.</w:t>
            </w:r>
          </w:p>
          <w:p>
            <w:pPr>
              <w:spacing w:after="60"/>
              <w:ind w:left="360" w:hanging="259"/>
              <w:jc w:val="both"/>
            </w:pPr>
            <w:r>
              <w:rPr>
                <w:b w:val="0"/>
              </w:rPr>
              <w:t xml:space="preserve">•  </w:t>
            </w:r>
            <w:r>
              <w:rPr>
                <w:b w:val="0"/>
              </w:rPr>
              <w:t>Offering regular training and support for teachers on effective lab instruction.</w:t>
            </w:r>
          </w:p>
          <w:p>
            <w:pPr>
              <w:spacing w:after="60"/>
              <w:ind w:left="360" w:hanging="259"/>
              <w:jc w:val="both"/>
            </w:pPr>
            <w:r>
              <w:rPr>
                <w:b w:val="0"/>
              </w:rPr>
              <w:t xml:space="preserve">•  </w:t>
            </w:r>
            <w:r>
              <w:rPr>
                <w:b w:val="0"/>
              </w:rPr>
              <w:t>Provide separate science laboratory rooms in all schools Release.</w:t>
            </w:r>
          </w:p>
          <w:p>
            <w:pPr>
              <w:spacing w:after="60"/>
              <w:ind w:left="360" w:hanging="259"/>
              <w:jc w:val="both"/>
            </w:pPr>
            <w:r>
              <w:rPr>
                <w:b w:val="0"/>
              </w:rPr>
              <w:t xml:space="preserve">•  </w:t>
            </w:r>
            <w:r>
              <w:rPr>
                <w:b w:val="0"/>
              </w:rPr>
              <w:t>ATLs have potential to significantly improve practical learning in STEM subjects.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Four DIET Ilkal studies document science laboratories and Atal Tinkering Labs (ATL) as practices that raise students' interest in science and innovation. The laboratory survey covered 30 government high schools, five from each of six taluks (Badami, Bagalkot, Bilagi, Hunagund, Jamakhandi and Mudhol). A qualitative study explored science teachers' experiences. The ATL studies covered 27 schools with ATLs (Bagalkot has 48 schools selected since 2016-17, each receiving grants of ₹20 lakhs) and gathered views of head teachers, students and mentor teachers.</w:t>
            </w:r>
          </w:p>
          <w:p>
            <w:pPr>
              <w:spacing w:after="60"/>
              <w:jc w:val="both"/>
            </w:pPr>
            <w:r>
              <w:rPr>
                <w:b w:val="0"/>
              </w:rPr>
              <w:t>The evidence is encouraging. All headmasters (100 per cent) considered laboratories helpful for learning, and 100 per cent of students reported increased interest in science because of laboratories. Science teachers were appointed in ninety per cent of schools, all schools maintained equipment registers, sixty per cent had separate laboratory rooms and sixty per cent of teachers used equipment. Laboratory work motivated children to take part in science activities and to continue in science, and government school children participated in science exhibitions more than those in aided and unaided schools. ATL increased students' desire to solve daily problems and make discoveries, supported model-making linked to lessons, and created interest in science as a future field; students showed high interest in robotics, coding and 3D printing where activities were regular.</w:t>
            </w:r>
          </w:p>
          <w:p>
            <w:pPr>
              <w:spacing w:after="60"/>
              <w:jc w:val="both"/>
            </w:pPr>
            <w:r>
              <w:rPr>
                <w:b w:val="0"/>
              </w:rPr>
              <w:t>These practices are sustainable with maintained equipment and trained teachers, replicable and scalable through State and national schemes, and monitorable through registers and experiment records. The studies recommend adequate equipment, direct funding, separate laboratory rooms, systematic ATL training, timely grants, ATL timetables, idea boxes, mentors and curriculum integration.</w:t>
            </w:r>
          </w:p>
        </w:tc>
      </w:tr>
    </w:tbl>
    <w:p>
      <w:pPr>
        <w:spacing w:after="120" w:before="160"/>
      </w:pPr>
      <w:r>
        <w:rPr>
          <w:b/>
          <w:i w:val="0"/>
          <w:sz w:val="24"/>
          <w:u w:val="none"/>
        </w:rPr>
        <w:t>References</w:t>
      </w:r>
    </w:p>
    <w:p>
      <w:pPr>
        <w:spacing w:after="60" w:before="0"/>
        <w:ind w:left="576" w:hanging="576"/>
        <w:jc w:val="both"/>
      </w:pPr>
      <w:r>
        <w:rPr>
          <w:b w:val="0"/>
          <w:i w:val="0"/>
          <w:u w:val="none"/>
        </w:rPr>
        <w:t>DIET Ilkal (Bagalkote) (2024-25). A Qualitative study on science lab in Govt.high schools; DIET Ilkal (Bagalkote) (2024-25). A Study on the Status of Science Laboratories in Selected Government High Schools in Bagalkot District; DIET Ilkal (Bagalkote) (2024-25). Study of Atal Tinkering Lab (ATL) Implementation and Utilization in Government Higher Primary/High Schools in Karnataka State; DIET Ilkal (Bagalkote) (2024-25). Study on the status and implementation of Atal Tinkering Laboratories installed in government high schools in Bagalkot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81</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Ilkal (Bagalkote)</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NMMS scholarship examination and outcomes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Ilkal (Bagalkote)'s study ““Analytical Study of the Results of the Participating Schools of NMMS 2024 Conducted in Bagalkot District”” (2024-25). Average NMMS pass percentage below thirty per cent; 30–forty per cent of schools with zero selection; government schools lower than aided; rural areas lower.</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Identify eligible students from Class 7; year-long MAT/SAT action plans; teacher training; common materials; mentoring low-performing schools; parental awareness; district monitoring.</w:t>
            </w:r>
          </w:p>
          <w:p>
            <w:pPr>
              <w:spacing w:after="60"/>
              <w:ind w:left="360" w:hanging="259"/>
              <w:jc w:val="both"/>
            </w:pPr>
            <w:r>
              <w:rPr>
                <w:b w:val="0"/>
              </w:rPr>
              <w:t xml:space="preserve">•  </w:t>
            </w:r>
            <w:r>
              <w:rPr>
                <w:b w:val="0"/>
              </w:rPr>
              <w:t>Student performance trends underline the need for diagnostic testing and remedial teaching based on Mental Ability Test (MAT) and Scholastic Aptitude Test (SAT) components.</w:t>
            </w:r>
          </w:p>
          <w:p>
            <w:pPr>
              <w:spacing w:after="60"/>
              <w:ind w:left="360" w:hanging="259"/>
              <w:jc w:val="both"/>
            </w:pPr>
            <w:r>
              <w:rPr>
                <w:b w:val="0"/>
              </w:rPr>
              <w:t xml:space="preserve">•  </w:t>
            </w:r>
            <w:r>
              <w:rPr>
                <w:b w:val="0"/>
              </w:rPr>
              <w:t>Schools should identify eligible and academically promising students from Class VII onwards to ensure sufficient preparation time for the NMMS examination Structured NMMS Preparation Plan.</w:t>
            </w:r>
          </w:p>
          <w:p>
            <w:pPr>
              <w:spacing w:after="60"/>
              <w:ind w:left="360" w:hanging="259"/>
              <w:jc w:val="both"/>
            </w:pPr>
            <w:r>
              <w:rPr>
                <w:b w:val="0"/>
              </w:rPr>
              <w:t xml:space="preserve">•  </w:t>
            </w:r>
            <w:r>
              <w:rPr>
                <w:b w:val="0"/>
              </w:rPr>
              <w:t>Every participating school should prepare a year-long NMMS action plan including weekly practice sessions for MAT and SAT components.</w:t>
            </w:r>
          </w:p>
          <w:p>
            <w:pPr>
              <w:spacing w:after="60"/>
              <w:ind w:left="360" w:hanging="259"/>
              <w:jc w:val="both"/>
            </w:pPr>
            <w:r>
              <w:rPr>
                <w:b w:val="0"/>
              </w:rPr>
              <w:t xml:space="preserve">•  </w:t>
            </w:r>
            <w:r>
              <w:rPr>
                <w:b w:val="0"/>
              </w:rPr>
              <w:t>Regular orientation and subject-specific training programmes should be organized for teachers handling NMMS preparation, focusing on question patterns and time management strategies.</w:t>
            </w:r>
          </w:p>
          <w:p>
            <w:pPr>
              <w:spacing w:after="60"/>
              <w:ind w:left="360" w:hanging="259"/>
              <w:jc w:val="both"/>
            </w:pPr>
            <w:r>
              <w:rPr>
                <w:b w:val="0"/>
              </w:rPr>
              <w:t xml:space="preserve">•  </w:t>
            </w:r>
            <w:r>
              <w:rPr>
                <w:b w:val="0"/>
              </w:rPr>
              <w:t>Schools with zero or low selections should receive academic mentoring, monitoring, and remedial support from block-level resource persons Regular Practice Tests and Feedback.</w:t>
            </w:r>
          </w:p>
          <w:p>
            <w:pPr>
              <w:spacing w:after="60"/>
              <w:ind w:left="360" w:hanging="259"/>
              <w:jc w:val="both"/>
            </w:pPr>
            <w:r>
              <w:rPr>
                <w:b w:val="0"/>
              </w:rPr>
              <w:t xml:space="preserve">•  </w:t>
            </w:r>
            <w:r>
              <w:rPr>
                <w:b w:val="0"/>
              </w:rPr>
              <w:t>Periodic mock tests and diagnostic assessments should be conducted to track student progress and provide timely feedback Strengthening School Leadership.</w:t>
            </w:r>
          </w:p>
          <w:p>
            <w:pPr>
              <w:spacing w:after="60"/>
              <w:ind w:left="360" w:hanging="259"/>
              <w:jc w:val="both"/>
            </w:pPr>
            <w:r>
              <w:rPr>
                <w:b w:val="0"/>
              </w:rPr>
              <w:t xml:space="preserve">•  </w:t>
            </w:r>
            <w:r>
              <w:rPr>
                <w:b w:val="0"/>
              </w:rPr>
              <w:t>Head teachers should play an active role in monitoring NMMS preparation, motivating teachers and students, and ensuring accountability Student Motivation and Guidance.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Ilkal's analytical study of NMMS 2024 results in Bagalkote district is a census-based practice that identifies what distinguishes successful schools. The study analysed results of all participating government and aided schools using official records, with percentages, averages and comparative analysis by school and management.</w:t>
            </w:r>
          </w:p>
          <w:p>
            <w:pPr>
              <w:spacing w:after="60"/>
              <w:jc w:val="both"/>
            </w:pPr>
            <w:r>
              <w:rPr>
                <w:b w:val="0"/>
              </w:rPr>
              <w:t>The most valuable finding is the identification of practices that work: schools conducting regular coaching and practice tests showed a pass percentage nearly double that of schools without structured preparation, and selection ratios were higher where teachers were trained and students were identified early. This gives every school a clear, evidence-based route to improvement. The study also mapped performance precisely, showing that government schools accounted for most participants and that rural and educationally disadvantaged areas recorded lower success.</w:t>
            </w:r>
          </w:p>
          <w:p>
            <w:pPr>
              <w:spacing w:after="60"/>
              <w:jc w:val="both"/>
            </w:pPr>
            <w:r>
              <w:rPr>
                <w:b w:val="0"/>
              </w:rPr>
              <w:t>The practice of structured NMMS preparation, early identification, regular coaching, practice tests and trained teachers, is sustainable because it uses school time and teachers already in place. It is replicable in every school. It is scalable through common study materials and district coordination. It is monitorable through annual school-wise selection data, as the census method used here demonstrates. With an average pass percentage below thirty per cent and 30–forty per cent of schools recording zero selection, there is significant scope for improvement. The study recommends identifying eligible students from Class VII, year-long school action plans for the Mental Ability Test and Scholastic Aptitude Test, teacher training, common study materials, mentoring of low-performing schools, parental awareness and district-level monitoring, a complete strategy built on what the best schools already do.</w:t>
            </w:r>
          </w:p>
        </w:tc>
      </w:tr>
    </w:tbl>
    <w:p>
      <w:pPr>
        <w:spacing w:after="120" w:before="160"/>
      </w:pPr>
      <w:r>
        <w:rPr>
          <w:b/>
          <w:i w:val="0"/>
          <w:sz w:val="24"/>
          <w:u w:val="none"/>
        </w:rPr>
        <w:t>References</w:t>
      </w:r>
    </w:p>
    <w:p>
      <w:pPr>
        <w:spacing w:after="60" w:before="0"/>
        <w:ind w:left="576" w:hanging="576"/>
        <w:jc w:val="both"/>
      </w:pPr>
      <w:r>
        <w:rPr>
          <w:b w:val="0"/>
          <w:i w:val="0"/>
          <w:u w:val="none"/>
        </w:rPr>
        <w:t>DIET Ilkal (Bagalkote) (2024-25). “Analytical Study of the Results of the Participating Schools of NMMS 2024 Conducted in Bagalkot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82</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Kalaburagi</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Readiness and effect of pre-primary (LKG/UKG, ECCE) education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Kalaburagi's study “A Comparative Study of the Educational Status of Students Who Have and Have Not Undergone Pre-Primary (ECCE) Education in Government Schools of Kalaburagi District” (2025-26). Students who did not undergo pre-primary education lag behind those who did.</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Continue and strengthen pre-primary/ECCE in Karnataka Public Schools.</w:t>
            </w:r>
          </w:p>
          <w:p>
            <w:pPr>
              <w:spacing w:after="60"/>
              <w:ind w:left="360" w:hanging="259"/>
              <w:jc w:val="both"/>
            </w:pPr>
            <w:r>
              <w:rPr>
                <w:b w:val="0"/>
              </w:rPr>
              <w:t xml:space="preserve">•  </w:t>
            </w:r>
            <w:r>
              <w:rPr>
                <w:b w:val="0"/>
              </w:rPr>
              <w:t>Sustain guest-teacher support and free basic facilities; closer coordination among parents, CRPs and partner organisations.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Kalaburagi's comparative study of students who did and did not undergo pre-primary (ECCE) education in Karnataka Public Schools provides district-wide evidence of the value of starting school early. The study covered Karnataka Public Schools across all taluks of the district. Data were collected through field visits and interviews with parents, students, teachers, CRPs and officials of partner organisations, and the educational status of the two groups of students was compared statistically.</w:t>
            </w:r>
          </w:p>
          <w:p>
            <w:pPr>
              <w:spacing w:after="60"/>
              <w:jc w:val="both"/>
            </w:pPr>
            <w:r>
              <w:rPr>
                <w:b w:val="0"/>
              </w:rPr>
              <w:t>The findings are encouraging. Students who joined Karnataka Public Schools at the pre-primary stage, admitted from 2019 onward and now in Class 4, showed better educational outcomes overall than comparable students who had not undergone pre-primary education. The study identified the factors behind this success: parental enthusiasm for English-medium instruction, drawn in part by the free facilities provided by the schools, and the dedicated effort of guest teachers appointed specifically for the Kalyana Karnataka region. As a result, parents' trust in enrolling their children through the government pre-primary route, in preference to nearby private schools, increased.</w:t>
            </w:r>
          </w:p>
          <w:p>
            <w:pPr>
              <w:spacing w:after="60"/>
              <w:jc w:val="both"/>
            </w:pPr>
            <w:r>
              <w:rPr>
                <w:b w:val="0"/>
              </w:rPr>
              <w:t>The practice of offering pre-primary education within Karnataka Public Schools is sustainable because it builds a continuous pathway from LKG onwards on the same campus, so that early gains carry into the primary years. It is replicable in other districts, especially where parents currently prefer private pre-primary schools. It is scalable by extending pre-primary sections to more KPS, supported by trained teachers. It is monitorable by tracking cohorts of pre-primary-track and general-track students through SATS and comparing their learning outcomes year by year, as this study did. The study recommends sustained guest-teacher support, continued free provision of basic facilities to attract and retain enrolment, and closer coordination among parents, CRPs and partner organisations to reinforce the gains observed among pre-primary-track students across the district.</w:t>
            </w:r>
          </w:p>
        </w:tc>
      </w:tr>
    </w:tbl>
    <w:p>
      <w:pPr>
        <w:spacing w:after="120" w:before="160"/>
      </w:pPr>
      <w:r>
        <w:rPr>
          <w:b/>
          <w:i w:val="0"/>
          <w:sz w:val="24"/>
          <w:u w:val="none"/>
        </w:rPr>
        <w:t>References</w:t>
      </w:r>
    </w:p>
    <w:p>
      <w:pPr>
        <w:spacing w:after="60" w:before="0"/>
        <w:ind w:left="576" w:hanging="576"/>
        <w:jc w:val="both"/>
      </w:pPr>
      <w:r>
        <w:rPr>
          <w:b w:val="0"/>
          <w:i w:val="0"/>
          <w:u w:val="none"/>
        </w:rPr>
        <w:t>DIET Kalaburagi (2025-26). A Comparative Study of the Educational Status of Students Who Have and Have Not Undergone Pre-Primary (ECCE) Education in Government Schools of Kalaburagi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83</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Kalaburagi</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Examination stress and mental health of secondary students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Kalaburagi's study “Study on Stress Coping Awareness Among 9th and 10th Standard Students in Kalaburagi District” (2024-25). 51.25 per cent of Class 9–10 students (41 of 80) reported stress, mainly academic pressure and exam anxiety; urban fifty-five per cent versus rural 47.5 per cent. 46.25 per cent feared low marks in difficult subjects; only twenty-five per cent understood structured coping techniques.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Integrate stress management into the secondary curriculum.</w:t>
            </w:r>
          </w:p>
          <w:p>
            <w:pPr>
              <w:spacing w:after="60"/>
              <w:ind w:left="360" w:hanging="259"/>
              <w:jc w:val="both"/>
            </w:pPr>
            <w:r>
              <w:rPr>
                <w:b w:val="0"/>
              </w:rPr>
              <w:t xml:space="preserve">•  </w:t>
            </w:r>
            <w:r>
              <w:rPr>
                <w:b w:val="0"/>
              </w:rPr>
              <w:t>Deploy trained counsellors at block and district levels; review examination-centric assessment.</w:t>
            </w:r>
          </w:p>
          <w:p>
            <w:pPr>
              <w:spacing w:after="60"/>
              <w:ind w:left="360" w:hanging="259"/>
              <w:jc w:val="both"/>
            </w:pPr>
            <w:r>
              <w:rPr>
                <w:b w:val="0"/>
              </w:rPr>
              <w:t xml:space="preserve">•  </w:t>
            </w:r>
            <w:r>
              <w:rPr>
                <w:b w:val="0"/>
              </w:rPr>
              <w:t>Curriculum Integration.</w:t>
            </w:r>
          </w:p>
          <w:p>
            <w:pPr>
              <w:spacing w:after="60"/>
              <w:ind w:left="360" w:hanging="259"/>
              <w:jc w:val="both"/>
            </w:pPr>
            <w:r>
              <w:rPr>
                <w:b w:val="0"/>
              </w:rPr>
              <w:t xml:space="preserve">•  </w:t>
            </w:r>
            <w:r>
              <w:rPr>
                <w:b w:val="0"/>
              </w:rPr>
              <w:t>Implement NEP 2020's recommendation for school counseling services systematically, starting with training and deployment of counselors at block and district levels in Kalyana Karnataka District Mental Health Systems.</w:t>
            </w:r>
          </w:p>
          <w:p>
            <w:pPr>
              <w:spacing w:after="60"/>
              <w:ind w:left="360" w:hanging="259"/>
              <w:jc w:val="both"/>
            </w:pPr>
            <w:r>
              <w:rPr>
                <w:b w:val="0"/>
              </w:rPr>
              <w:t xml:space="preserve">•  </w:t>
            </w:r>
            <w:r>
              <w:rPr>
                <w:b w:val="0"/>
              </w:rPr>
              <w:t>Establish referral mechanisms linking schools with district mental health services for students requiring specialized intervention.</w:t>
            </w:r>
          </w:p>
          <w:p>
            <w:pPr>
              <w:spacing w:after="60"/>
              <w:ind w:left="360" w:hanging="259"/>
              <w:jc w:val="both"/>
            </w:pPr>
            <w:r>
              <w:rPr>
                <w:b w:val="0"/>
              </w:rPr>
              <w:t xml:space="preserve">•  </w:t>
            </w:r>
            <w:r>
              <w:rPr>
                <w:b w:val="0"/>
              </w:rPr>
              <w:t>Reconsider assessment patterns to reduce examination- centric stress, implementing continuous and.</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Kalaburagi's study on stress-coping awareness among Class 9 and 10 students is a valuable practice in identifying adolescents' mental health needs systematically, particularly in the Kalyana Karnataka region. Using stratified random sampling, the study selected 10 schools from four taluks, Kalaburagi North, Kalaburagi South, Aland and Chittapur, and eight students from each school, giving 80 students balanced by location (40 urban, 40 rural) and gender (40 boys, 40 girls). A mixed-methods design combined a quantitative survey with in-depth qualitative interviews, and students' knowledge and use of counselling services were documented.</w:t>
            </w:r>
          </w:p>
          <w:p>
            <w:pPr>
              <w:spacing w:after="60"/>
              <w:jc w:val="both"/>
            </w:pPr>
            <w:r>
              <w:rPr>
                <w:b w:val="0"/>
              </w:rPr>
              <w:t>The study generated a clear profile of student stress. In all, 51.25 per cent of students (41 of 80) reported stress, mainly because of academic pressure and examination anxiety, with urban students (fifty-five per cent) reporting more stress than rural students (47.5 per cent). Increased studying was the main coping strategy for 86.25 per cent of stressed students. Importantly, sixty-five per cent identified peer support as effective, a strength that schools can build on, while only twenty-five per cent understood structured techniques such as relaxation, time management or mindfulness.</w:t>
            </w:r>
          </w:p>
          <w:p>
            <w:pPr>
              <w:spacing w:after="60"/>
              <w:jc w:val="both"/>
            </w:pPr>
            <w:r>
              <w:rPr>
                <w:b w:val="0"/>
              </w:rPr>
              <w:t>The practice of screening and profiling student stress is sustainable because it uses simple surveys and interviews that schools and DIETs can repeat each year. It is replicable in any district and can be adapted for different grades. It is scalable through BRC-level mental health counsellors and trained teachers, who can use the same tools across schools. It is monitorable through repeated measurement of the proportion of students reporting stress and their awareness of structured coping techniques. The study's recommendations, integrating stress management into the secondary curriculum, deploying trained counsellors at block and district levels, and reviewing examination-centric assessment, together with peer-support structures, offer a practical, evidence-based framework for student well-being.</w:t>
            </w:r>
          </w:p>
        </w:tc>
      </w:tr>
    </w:tbl>
    <w:p>
      <w:pPr>
        <w:spacing w:after="120" w:before="160"/>
      </w:pPr>
      <w:r>
        <w:rPr>
          <w:b/>
          <w:i w:val="0"/>
          <w:sz w:val="24"/>
          <w:u w:val="none"/>
        </w:rPr>
        <w:t>References</w:t>
      </w:r>
    </w:p>
    <w:p>
      <w:pPr>
        <w:spacing w:after="60" w:before="0"/>
        <w:ind w:left="576" w:hanging="576"/>
        <w:jc w:val="both"/>
      </w:pPr>
      <w:r>
        <w:rPr>
          <w:b w:val="0"/>
          <w:i w:val="0"/>
          <w:u w:val="none"/>
        </w:rPr>
        <w:t>DIET Kalaburagi (2024-25). Study on Stress Coping Awareness Among 9th and 10th Standard Students in Kalaburagi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84</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Kalaburagi</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Use of ICT labs, TALP and smart classes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Kalaburagi's study “A Study on the Use of Solar-Based Smart Classes Provided to Government High Schools of Kalaburagi District during the Academic Year 2024-25” (2025-26). Solar-based smart classes are installed in only a few schools; teachers need training and technical guidance.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Extend smart classes to all schools in the district; regular training and workshops for teachers.</w:t>
            </w:r>
          </w:p>
          <w:p>
            <w:pPr>
              <w:spacing w:after="60"/>
              <w:ind w:left="360" w:hanging="259"/>
              <w:jc w:val="both"/>
            </w:pPr>
            <w:r>
              <w:rPr>
                <w:b w:val="0"/>
              </w:rPr>
              <w:t xml:space="preserve">•  </w:t>
            </w:r>
            <w:r>
              <w:rPr>
                <w:b w:val="0"/>
              </w:rPr>
              <w:t>Regular inspection of solar panels, batteries and projectors; a technical support team per school; curriculum-aligned e-content in the local language.</w:t>
            </w:r>
          </w:p>
          <w:p>
            <w:pPr>
              <w:spacing w:after="60"/>
              <w:ind w:left="360" w:hanging="259"/>
              <w:jc w:val="both"/>
            </w:pPr>
            <w:r>
              <w:rPr>
                <w:b w:val="0"/>
              </w:rPr>
              <w:t xml:space="preserve">•  </w:t>
            </w:r>
            <w:r>
              <w:rPr>
                <w:b w:val="0"/>
              </w:rPr>
              <w:t>Teachers should be given regular training on the use of smart-class equipment.</w:t>
            </w:r>
          </w:p>
          <w:p>
            <w:pPr>
              <w:spacing w:after="60"/>
              <w:ind w:left="360" w:hanging="259"/>
              <w:jc w:val="both"/>
            </w:pPr>
            <w:r>
              <w:rPr>
                <w:b w:val="0"/>
              </w:rPr>
              <w:t xml:space="preserve">•  </w:t>
            </w:r>
            <w:r>
              <w:rPr>
                <w:b w:val="0"/>
              </w:rPr>
              <w:t>Workshops should be conducted on how to teach digital lessons attractively.</w:t>
            </w:r>
          </w:p>
          <w:p>
            <w:pPr>
              <w:spacing w:after="60"/>
              <w:ind w:left="360" w:hanging="259"/>
              <w:jc w:val="both"/>
            </w:pPr>
            <w:r>
              <w:rPr>
                <w:b w:val="0"/>
              </w:rPr>
              <w:t xml:space="preserve">•  </w:t>
            </w:r>
            <w:r>
              <w:rPr>
                <w:b w:val="0"/>
              </w:rPr>
              <w:t>Smart panels, batteries and projectors should be inspected regularly.</w:t>
            </w:r>
          </w:p>
          <w:p>
            <w:pPr>
              <w:spacing w:after="60"/>
              <w:ind w:left="360" w:hanging="259"/>
              <w:jc w:val="both"/>
            </w:pPr>
            <w:r>
              <w:rPr>
                <w:b w:val="0"/>
              </w:rPr>
              <w:t xml:space="preserve">•  </w:t>
            </w:r>
            <w:r>
              <w:rPr>
                <w:b w:val="0"/>
              </w:rPr>
              <w:t>Every school should have a dedicated technical support team.</w:t>
            </w:r>
          </w:p>
          <w:p>
            <w:pPr>
              <w:spacing w:after="60"/>
              <w:ind w:left="360" w:hanging="259"/>
              <w:jc w:val="both"/>
            </w:pPr>
            <w:r>
              <w:rPr>
                <w:b w:val="0"/>
              </w:rPr>
              <w:t xml:space="preserve">•  </w:t>
            </w:r>
            <w:r>
              <w:rPr>
                <w:b w:val="0"/>
              </w:rPr>
              <w:t>Teachers should proactively prepare lesson plans incorporating smart-class use.</w:t>
            </w:r>
          </w:p>
          <w:p>
            <w:pPr>
              <w:spacing w:after="60"/>
              <w:ind w:left="360" w:hanging="259"/>
              <w:jc w:val="both"/>
            </w:pPr>
            <w:r>
              <w:rPr>
                <w:b w:val="0"/>
              </w:rPr>
              <w:t xml:space="preserve">•  </w:t>
            </w:r>
            <w:r>
              <w:rPr>
                <w:b w:val="0"/>
              </w:rPr>
              <w:t>It should be determined which portions of the syllabus require digital tools.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Kalaburagi's study on solar-based smart classes documents an innovative practice that addresses one of the main barriers to digital learning in rural schools: unreliable electricity. In 2024-25, solar-based smart classrooms were provided to selected government high schools in the district. The study used a descriptive survey, administering questionnaires to headmasters, teachers and students in these schools and analysing the results through charts and graphs, to examine the level, regularity and effectiveness of smart class use.</w:t>
            </w:r>
          </w:p>
          <w:p>
            <w:pPr>
              <w:spacing w:after="60"/>
              <w:jc w:val="both"/>
            </w:pPr>
            <w:r>
              <w:rPr>
                <w:b w:val="0"/>
              </w:rPr>
              <w:t>The findings show clear benefits. Teaching through audio-visual media increased students' interest, attention and retention of lessons. Displaying subject content visually made it easier for students to understand, and the use of smart classes brought positive changes in students' examination results and academic achievement. The study also found that technology-based teaching increased students' attraction towards school and could lead to positive changes in attendance. It documented changes in teachers' pedagogical practices and students' learning styles, and it identified the training, workshops and technical guidance teachers need to use smart classes effectively.</w:t>
            </w:r>
          </w:p>
          <w:p>
            <w:pPr>
              <w:spacing w:after="60"/>
              <w:jc w:val="both"/>
            </w:pPr>
            <w:r>
              <w:rPr>
                <w:b w:val="0"/>
              </w:rPr>
              <w:t>The practice is sustainable because solar power reduces dependence on grid electricity and recurring power costs, keeping smart classes functional where power supply is irregular. It is replicable in other districts with similar electricity constraints. It is scalable: the study recommends that smart classes, currently installed in only a few rural and urban schools, be extended to all schools in the district. It is monitorable through regular inspection of solar panels, batteries and projectors, records of smart class use by subject, and comparison of results and attendance. The study's further recommendations, regular teacher training and workshops on attractive digital lessons, a dedicated technical support team for each school, curriculum-aligned e-content in the local language, and lesson plans that incorporate smart class use, would ensure that the investment translates into sustained learning gains.</w:t>
            </w:r>
          </w:p>
        </w:tc>
      </w:tr>
    </w:tbl>
    <w:p>
      <w:pPr>
        <w:spacing w:after="120" w:before="160"/>
      </w:pPr>
      <w:r>
        <w:rPr>
          <w:b/>
          <w:i w:val="0"/>
          <w:sz w:val="24"/>
          <w:u w:val="none"/>
        </w:rPr>
        <w:t>References</w:t>
      </w:r>
    </w:p>
    <w:p>
      <w:pPr>
        <w:spacing w:after="60" w:before="0"/>
        <w:ind w:left="576" w:hanging="576"/>
        <w:jc w:val="both"/>
      </w:pPr>
      <w:r>
        <w:rPr>
          <w:b w:val="0"/>
          <w:i w:val="0"/>
          <w:u w:val="none"/>
        </w:rPr>
        <w:t>DIET Kalaburagi (2025-26). A Study on the Use of Solar-Based Smart Classes Provided to Government High Schools of Kalaburagi District during the Academic Year 2024-25.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85</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Kalaburagi</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Science laboratories, Atal Tinkering Labs and experiential science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Kalaburagi's study “A Study on the Challenges Faced by Teachers in the Use of Atal Tinkering Labs in Kalaburagi District” (2025-26) and DIET Kalaburagi's study “A Study on the Effective Utilization of Science Laboratories Introduced in Government High Schools of Kalaburagi District during the Academic Year 2024- 25” (2025-26). Science labs (7 schools): inadequate electricity and chemicals, shortage of grants; safety measures only partly followed in 3 schools; only Classes 9–10 use labs, generally once a week. Rural participation in Atal Tinkering Labs is around forty per cent; ATL guide-teachers need technical mentoring and maintenance budgets.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Sanction laboratories to every school; trained laboratory attendants; timely grants for chemicals; refresher training; assured safety.</w:t>
            </w:r>
          </w:p>
          <w:p>
            <w:pPr>
              <w:spacing w:after="60"/>
              <w:ind w:left="360" w:hanging="259"/>
              <w:jc w:val="both"/>
            </w:pPr>
            <w:r>
              <w:rPr>
                <w:b w:val="0"/>
              </w:rPr>
              <w:t xml:space="preserve">•  </w:t>
            </w:r>
            <w:r>
              <w:rPr>
                <w:b w:val="0"/>
              </w:rPr>
              <w:t>Regular ATL refresher training and mentoring; links with local industries and colleges; planned maintenance budgets; curriculum-linked tinkering.</w:t>
            </w:r>
          </w:p>
          <w:p>
            <w:pPr>
              <w:spacing w:after="60"/>
              <w:ind w:left="360" w:hanging="259"/>
              <w:jc w:val="both"/>
            </w:pPr>
            <w:r>
              <w:rPr>
                <w:b w:val="0"/>
              </w:rPr>
              <w:t xml:space="preserve">•  </w:t>
            </w:r>
            <w:r>
              <w:rPr>
                <w:b w:val="0"/>
              </w:rPr>
              <w:t>Refresher training and technical mentoring should be organized regularly for ATL guide-teachers.</w:t>
            </w:r>
          </w:p>
          <w:p>
            <w:pPr>
              <w:spacing w:after="60"/>
              <w:ind w:left="360" w:hanging="259"/>
              <w:jc w:val="both"/>
            </w:pPr>
            <w:r>
              <w:rPr>
                <w:b w:val="0"/>
              </w:rPr>
              <w:t xml:space="preserve">•  </w:t>
            </w:r>
            <w:r>
              <w:rPr>
                <w:b w:val="0"/>
              </w:rPr>
              <w:t>Schools should be linked with local industries, colleges and mentors to sustain student projects beyond the classroom.</w:t>
            </w:r>
          </w:p>
          <w:p>
            <w:pPr>
              <w:spacing w:after="60"/>
              <w:ind w:left="360" w:hanging="259"/>
              <w:jc w:val="both"/>
            </w:pPr>
            <w:r>
              <w:rPr>
                <w:b w:val="0"/>
              </w:rPr>
              <w:t xml:space="preserve">•  </w:t>
            </w:r>
            <w:r>
              <w:rPr>
                <w:b w:val="0"/>
              </w:rPr>
              <w:t>Equipment maintenance schedules and spare-parts budgeting should be planned in advance at the district level.</w:t>
            </w:r>
          </w:p>
          <w:p>
            <w:pPr>
              <w:spacing w:after="60"/>
              <w:ind w:left="360" w:hanging="259"/>
              <w:jc w:val="both"/>
            </w:pPr>
            <w:r>
              <w:rPr>
                <w:b w:val="0"/>
              </w:rPr>
              <w:t xml:space="preserve">•  </w:t>
            </w:r>
            <w:r>
              <w:rPr>
                <w:b w:val="0"/>
              </w:rPr>
              <w:t>Student participation, especially from rural and girls' schools, should be actively encouraged through targeted outreach and showcase events.</w:t>
            </w:r>
          </w:p>
          <w:p>
            <w:pPr>
              <w:spacing w:after="60"/>
              <w:ind w:left="360" w:hanging="259"/>
              <w:jc w:val="both"/>
            </w:pPr>
            <w:r>
              <w:rPr>
                <w:b w:val="0"/>
              </w:rPr>
              <w:t xml:space="preserve">•  </w:t>
            </w:r>
            <w:r>
              <w:rPr>
                <w:b w:val="0"/>
              </w:rPr>
              <w:t>ATL activities should be linked to the curriculum so that tinkering-based learning is not seen as an extracurricular add- on but as integral to science and mathematics teaching.</w:t>
            </w:r>
          </w:p>
          <w:p>
            <w:pPr>
              <w:spacing w:after="60"/>
              <w:ind w:left="360" w:hanging="259"/>
              <w:jc w:val="both"/>
            </w:pPr>
            <w:r>
              <w:rPr>
                <w:b w:val="0"/>
              </w:rPr>
              <w:t xml:space="preserve">•  </w:t>
            </w:r>
            <w:r>
              <w:rPr>
                <w:b w:val="0"/>
              </w:rPr>
              <w:t>Science laboratories should be sanctioned to every school, not just one per taluk, to give all students equal opportunity.</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Two DIET Kalaburagi studies document practices that bring hands-on science and innovation into government schools: science laboratories introduced in government high schools in 2024-25, and Atal Tinkering Labs (ATL). The laboratory study covered all seven high schools that received labs, across six taluks, with seven headmasters, 10 science teachers and 123 students, using questionnaires, an online Google Form survey and interviews. It also examined the effectiveness of the Prayogadarshi handbook. The ATL study covered students of Classes 6 to 12 and guide-teachers in ATL-equipped schools, using questionnaires, interviews and observation.</w:t>
            </w:r>
          </w:p>
          <w:p>
            <w:pPr>
              <w:spacing w:after="60"/>
              <w:jc w:val="both"/>
            </w:pPr>
            <w:r>
              <w:rPr>
                <w:b w:val="0"/>
              </w:rPr>
              <w:t>The benefits are well evidenced. All seven schools had separate laboratory rooms. Among students, 88.6 per cent reported improvement in marks, 91.9 per cent an increased questioning attitude and 91.1 per cent that learning had become easier. In ATL schools, about eighty per cent of students gained basic knowledge of electronics; schools with active labs showed increased representation in State-level science competitions; and equipment use was adequate. Students showed reduced reliance on rote learning, rural students became familiar with robotics and AI-based technologies, students took greater interest in local issues such as agriculture and waste management, and ATL exposure built entrepreneurial skills.</w:t>
            </w:r>
          </w:p>
          <w:p>
            <w:pPr>
              <w:spacing w:after="60"/>
              <w:jc w:val="both"/>
            </w:pPr>
            <w:r>
              <w:rPr>
                <w:b w:val="0"/>
              </w:rPr>
              <w:t>Both practices are sustainable when supported by trained teachers, handbooks such as Prayogadarshi and planned maintenance budgets. They are replicable in any district with labs or ATLs. They are scalable: the lab study recommends sanctioning laboratories to every school, and the ATL study recommends targeted outreach to rural and girls' schools. They are monitorable through lab-use registers, student outcomes, safety compliance and competition participation. Recommended supports, trained laboratory attendants, timely grants for chemicals, refresher training, links with local industries and colleges, and curriculum-integrated tinkering, would consolidate these gains.</w:t>
            </w:r>
          </w:p>
        </w:tc>
      </w:tr>
    </w:tbl>
    <w:p>
      <w:pPr>
        <w:spacing w:after="120" w:before="160"/>
      </w:pPr>
      <w:r>
        <w:rPr>
          <w:b/>
          <w:i w:val="0"/>
          <w:sz w:val="24"/>
          <w:u w:val="none"/>
        </w:rPr>
        <w:t>References</w:t>
      </w:r>
    </w:p>
    <w:p>
      <w:pPr>
        <w:spacing w:after="60" w:before="0"/>
        <w:ind w:left="576" w:hanging="576"/>
        <w:jc w:val="both"/>
      </w:pPr>
      <w:r>
        <w:rPr>
          <w:b w:val="0"/>
          <w:i w:val="0"/>
          <w:u w:val="none"/>
        </w:rPr>
        <w:t>DIET Kalaburagi (2025-26). A Study on the Challenges Faced by Teachers in the Use of Atal Tinkering Labs in Kalaburagi District; DIET Kalaburagi (2025-26). A Study on the Effective Utilization of Science Laboratories Introduced in Government High Schools of Kalaburagi District during the Academic Year 2024- 25.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86</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B N Pushpa</w:t>
            </w:r>
          </w:p>
        </w:tc>
      </w:tr>
      <w:tr>
        <w:tc>
          <w:tcPr>
            <w:tcW w:type="dxa" w:w="3312"/>
            <w:shd w:val="clear" w:color="auto" w:fill="F2F2F2"/>
          </w:tcPr>
          <w:p>
            <w:pPr>
              <w:spacing w:after="0"/>
            </w:pPr>
            <w:r/>
            <w:r>
              <w:rPr>
                <w:b/>
              </w:rPr>
              <w:t>Designation</w:t>
            </w:r>
          </w:p>
        </w:tc>
        <w:tc>
          <w:tcPr>
            <w:tcW w:type="dxa" w:w="5760"/>
          </w:tcPr>
          <w:p>
            <w:pPr>
              <w:spacing w:after="0"/>
            </w:pPr>
            <w:r/>
            <w:r>
              <w:t>Senior 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Kodagu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Effect of Sethubandha/FLN programmes on closing FLN and learning-outcome gaps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Kodagu's study “A Study on the Effective Implementation of the Foundational Literacy and Numeracy Program for 5th-Grade Students in Selected Government Primary Schools of Kodagu District” (2024-25). Teachers and schools face challenges in implementing FLN activities for Class 5; learning gaps need early identification.</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Integrate FLN activities into regular teaching with differentiated strategies; competency-based assessment.</w:t>
            </w:r>
          </w:p>
          <w:p>
            <w:pPr>
              <w:spacing w:after="60"/>
              <w:ind w:left="360" w:hanging="259"/>
              <w:jc w:val="both"/>
            </w:pPr>
            <w:r>
              <w:rPr>
                <w:b w:val="0"/>
              </w:rPr>
              <w:t xml:space="preserve">•  </w:t>
            </w:r>
            <w:r>
              <w:rPr>
                <w:b w:val="0"/>
              </w:rPr>
              <w:t>Teaching-learning and digital materials; teacher capacity building; academic monitoring; remedial teaching; parental and community participation.</w:t>
            </w:r>
          </w:p>
          <w:p>
            <w:pPr>
              <w:spacing w:after="60"/>
              <w:ind w:left="360" w:hanging="259"/>
              <w:jc w:val="both"/>
            </w:pPr>
            <w:r>
              <w:rPr>
                <w:b w:val="0"/>
              </w:rPr>
              <w:t xml:space="preserve">•  </w:t>
            </w:r>
            <w:r>
              <w:rPr>
                <w:b w:val="0"/>
              </w:rPr>
              <w:t>FLN activities should be integrated into classroom teaching rather than treated as separate activities, with teachers adopting child-centred, activity-based, experiential, and differentiated teaching strategies to address variations in students' learning levels.</w:t>
            </w:r>
          </w:p>
          <w:p>
            <w:pPr>
              <w:spacing w:after="60"/>
              <w:ind w:left="360" w:hanging="259"/>
              <w:jc w:val="both"/>
            </w:pPr>
            <w:r>
              <w:rPr>
                <w:b w:val="0"/>
              </w:rPr>
              <w:t xml:space="preserve">•  </w:t>
            </w:r>
            <w:r>
              <w:rPr>
                <w:b w:val="0"/>
              </w:rPr>
              <w:t>Regular competency-based assessment should be strengthened to identify learning gaps and provide remedial support, and the effective use of teaching-learning materials and digital resources can enhance student engagement and learning outcomes.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Kodagu's study on the implementation of the Foundational Literacy and Numeracy (FLN) programme for Class 5 students documents a practice of activity-based, assessment-led teaching that improved children's basic skills. The study covered Class 5 students directly involved in the programme, their teachers and concerned parents, selected through purposive sampling. A learning assessment and semi-structured interviews were used, and the data were analysed rigorously using pre-test/post-test comparison, mean gain scores, percentage gain, standard deviation, a paired-sample t-test, correlation analysis and thematic analysis.</w:t>
            </w:r>
          </w:p>
          <w:p>
            <w:pPr>
              <w:spacing w:after="60"/>
              <w:jc w:val="both"/>
            </w:pPr>
            <w:r>
              <w:rPr>
                <w:b w:val="0"/>
              </w:rPr>
              <w:t>The study found improvement in reading comprehension, writing skills, number sense, basic arithmetic operations and problem-solving abilities. These gains were associated with activity-based, child-centred and experiential teaching strategies. Continuous assessment proved important for identifying learning gaps early and for providing targeted remedial support. Teachers and appropriate learning resources were central to giving individual attention and to effective implementation.</w:t>
            </w:r>
          </w:p>
          <w:p>
            <w:pPr>
              <w:spacing w:after="60"/>
              <w:jc w:val="both"/>
            </w:pPr>
            <w:r>
              <w:rPr>
                <w:b w:val="0"/>
              </w:rPr>
              <w:t>The practice combines three elements that reinforce one another: activity-based teaching, continuous assessment to identify gaps early, and targeted remedial support. It is sustainable because these elements can be built into regular classroom routines rather than run as separate projects. It is replicable in any primary school and builds on the State's existing FLN framework. It is scalable through DIET and CRP training on activity-based FLN pedagogy and the use of assessment data. It is monitorable through regular pre- and post-assessments and SATS entries, and the statistical methods used in this study offer a model for measuring gains. The study recommends integrating FLN activities into regular teaching with differentiated strategies, supported by competency-based assessment, effective use of teaching-learning and digital materials, teacher capacity building, academic monitoring, remedial teaching and stronger parental and community participation. These recommendations provide a complete framework for sustaining FLN beyond the foundational years.</w:t>
            </w:r>
          </w:p>
        </w:tc>
      </w:tr>
    </w:tbl>
    <w:p>
      <w:pPr>
        <w:spacing w:after="120" w:before="160"/>
      </w:pPr>
      <w:r>
        <w:rPr>
          <w:b/>
          <w:i w:val="0"/>
          <w:sz w:val="24"/>
          <w:u w:val="none"/>
        </w:rPr>
        <w:t>References</w:t>
      </w:r>
    </w:p>
    <w:p>
      <w:pPr>
        <w:spacing w:after="60" w:before="0"/>
        <w:ind w:left="576" w:hanging="576"/>
        <w:jc w:val="both"/>
      </w:pPr>
      <w:r>
        <w:rPr>
          <w:b w:val="0"/>
          <w:i w:val="0"/>
          <w:u w:val="none"/>
        </w:rPr>
        <w:t>DIET Kodagu (2024-25). A Study on the Effective Implementation of the Foundational Literacy and Numeracy Program for 5th-Grade Students in Selected Government Primary Schools of Kodagu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87</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Hemanth Raj</w:t>
            </w:r>
          </w:p>
        </w:tc>
      </w:tr>
      <w:tr>
        <w:tc>
          <w:tcPr>
            <w:tcW w:type="dxa" w:w="3312"/>
            <w:shd w:val="clear" w:color="auto" w:fill="F2F2F2"/>
          </w:tcPr>
          <w:p>
            <w:pPr>
              <w:spacing w:after="0"/>
            </w:pPr>
            <w:r/>
            <w:r>
              <w:rPr>
                <w:b/>
              </w:rPr>
              <w:t>Designation</w:t>
            </w:r>
          </w:p>
        </w:tc>
        <w:tc>
          <w:tcPr>
            <w:tcW w:type="dxa" w:w="5760"/>
          </w:tcPr>
          <w:p>
            <w:pPr>
              <w:spacing w:after="0"/>
            </w:pPr>
            <w:r/>
            <w:r>
              <w:t>Senior 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Kodagu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Factors behind SSLC results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Kodagu's study “A Comparative Study of the SSLC Results of Hostel Students and Students Studying from Home in Kodagu District” (2025-26). SSLC pass percentage, grades and subject-wise performance differ between hostel students and students studying from home (15 schools, 15 hostels).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Hostels to improve supervised study hours, study resources and academic monitoring.</w:t>
            </w:r>
          </w:p>
          <w:p>
            <w:pPr>
              <w:spacing w:after="60"/>
              <w:ind w:left="360" w:hanging="259"/>
              <w:jc w:val="both"/>
            </w:pPr>
            <w:r>
              <w:rPr>
                <w:b w:val="0"/>
              </w:rPr>
              <w:t xml:space="preserve">•  </w:t>
            </w:r>
            <w:r>
              <w:rPr>
                <w:b w:val="0"/>
              </w:rPr>
              <w:t>Encourage parents of day-scholars to monitor study habits, attendance, homework and exam preparation; schools to give additional support to students who need it.</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Kodagu's comparative study of the SSLC results of hostel students and students studying from home is a useful practice in identifying which groups of students need targeted academic support before the board examination. The study covered fifteen schools and fifteen hostels in the district. Data were collected from school headmasters, hostel wardens, students and parents through questionnaires, and the researchers visited both the schools and the hostels. The study compared the two groups' overall SSLC performance, their subject-wise achievement, and their pass percentages and grades.</w:t>
            </w:r>
          </w:p>
          <w:p>
            <w:pPr>
              <w:spacing w:after="60"/>
              <w:jc w:val="both"/>
            </w:pPr>
            <w:r>
              <w:rPr>
                <w:b w:val="0"/>
              </w:rPr>
              <w:t>The study found a difference in the overall SSLC achievement of hostel students and students studying from home. Pass percentages and grade distributions varied between the two groups, and differences were also observed in subject-wise performance. Rather than treating all SSLC candidates alike, this approach shows that the place where a student studies, a hostel or home, shapes the support he or she needs.</w:t>
            </w:r>
          </w:p>
          <w:p>
            <w:pPr>
              <w:spacing w:after="60"/>
              <w:jc w:val="both"/>
            </w:pPr>
            <w:r>
              <w:rPr>
                <w:b w:val="0"/>
              </w:rPr>
              <w:t>The practice of comparing results across student groups is sustainable because it uses examination results and records that schools and hostels already hold, and can be repeated after every SSLC examination. It is replicable in any district with hostels run by different departments. It is scalable by including all hostels and feeder schools in a district-level analysis each year. It is monitorable through year-on-year comparison of pass percentages, grades and subject-wise results for the two groups. The study draws practical lessons from the comparison: schools can provide additional academic support to students who need it; hostels can improve supervised study hours, study resources and academic monitoring; and parents of students studying from home can be encouraged to monitor study habits, attendance, homework and examination preparation. Coordination between schools and hostel wardens, as practised in this study, is central to acting on these lessons.</w:t>
            </w:r>
          </w:p>
        </w:tc>
      </w:tr>
    </w:tbl>
    <w:p>
      <w:pPr>
        <w:spacing w:after="120" w:before="160"/>
      </w:pPr>
      <w:r>
        <w:rPr>
          <w:b/>
          <w:i w:val="0"/>
          <w:sz w:val="24"/>
          <w:u w:val="none"/>
        </w:rPr>
        <w:t>References</w:t>
      </w:r>
    </w:p>
    <w:p>
      <w:pPr>
        <w:spacing w:after="60" w:before="0"/>
        <w:ind w:left="576" w:hanging="576"/>
        <w:jc w:val="both"/>
      </w:pPr>
      <w:r>
        <w:rPr>
          <w:b w:val="0"/>
          <w:i w:val="0"/>
          <w:u w:val="none"/>
        </w:rPr>
        <w:t>DIET Kodagu (2025-26). A Comparative Study of the SSLC Results of Hostel Students and Students Studying from Home in Kodagu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88</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Nalinakshi K S</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Kodagu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Students' mobile, internet and social media use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Kodagu's study “A Study on the Uses, Impacts, and Challenges of Internet and Social Media Usage Among Students of Selected Government Senior Primary and High Schools in Kodagu District” (2025-26). Eighty per cent of headmasters observed students using internet and social media, mainly for entertainment (sixty-two per cent); forty-two per cent noted declining concentration and interest. Among 270 students, twenty-five per cent used the internet 2–3 hours and seven per cent over 4 hours daily; all 270 asked for guidance at school.</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Structured guidance at school; teacher–parent collaboration; awareness programmes on safe and balanced use.</w:t>
            </w:r>
          </w:p>
          <w:p>
            <w:pPr>
              <w:spacing w:after="60"/>
              <w:ind w:left="360" w:hanging="259"/>
              <w:jc w:val="both"/>
            </w:pPr>
            <w:r>
              <w:rPr>
                <w:b w:val="0"/>
              </w:rPr>
              <w:t xml:space="preserve">•  </w:t>
            </w:r>
            <w:r>
              <w:rPr>
                <w:b w:val="0"/>
              </w:rPr>
              <w:t>There is a need for structured guidance at school and home on safe and balanced use of the internet and social media, and for closer collaboration between teachers and parents in monitoring students' usage.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Kodagu's study on internet and social media use among students in higher primary and high schools provides a model for gathering evidence from all stakeholders before designing digital well-being measures. A total of 45 schools were randomly selected from the three taluks of the district. Separate questionnaires were administered to headmasters, assistant teachers, students and parents, supplemented by school visits, interviews and focus group discussions. This gave a complete picture of how students use the internet, its educational benefits and risks, and the guidance provided by teachers and parents.</w:t>
            </w:r>
          </w:p>
          <w:p>
            <w:pPr>
              <w:spacing w:after="60"/>
              <w:jc w:val="both"/>
            </w:pPr>
            <w:r>
              <w:rPr>
                <w:b w:val="0"/>
              </w:rPr>
              <w:t>The study produced precise data. Among the 45 headmasters, eighty per cent had observed students using the internet and social media, mainly for entertainment (sixty-two per cent), with eighteen per cent noting use for homework and twenty per cent for project work. Among the 270 students, twenty-eight per cent used the internet for less than an hour a day, forty per cent for one to two hours, twenty-five per cent for two to three hours and seven per cent for more than four hours. A key strength emerged: Ninety-three per cent of the 270 parents reported monitoring their children's mobile use more closely, and all 270 students said they needed guidance at school, showing readiness on both sides for structured support.</w:t>
            </w:r>
          </w:p>
          <w:p>
            <w:pPr>
              <w:spacing w:after="60"/>
              <w:jc w:val="both"/>
            </w:pPr>
            <w:r>
              <w:rPr>
                <w:b w:val="0"/>
              </w:rPr>
              <w:t>The practice of a four-stakeholder survey is sustainable and inexpensive, as it uses questionnaires that can be repeated annually. It is replicable in every district and directly supports campaigns such as Mobile Bidi-Pustaka Hidi. It is scalable through schools and BRCs. It is monitorable by tracking changes in daily usage, purposes of use and parental monitoring over time. The study recommends structured guidance at school, teacher–parent collaboration and awareness programmes on safe and balanced use, building on parents' existing willingness to monitor and students' expressed need for guidance.</w:t>
            </w:r>
          </w:p>
        </w:tc>
      </w:tr>
    </w:tbl>
    <w:p>
      <w:pPr>
        <w:spacing w:after="120" w:before="160"/>
      </w:pPr>
      <w:r>
        <w:rPr>
          <w:b/>
          <w:i w:val="0"/>
          <w:sz w:val="24"/>
          <w:u w:val="none"/>
        </w:rPr>
        <w:t>References</w:t>
      </w:r>
    </w:p>
    <w:p>
      <w:pPr>
        <w:spacing w:after="60" w:before="0"/>
        <w:ind w:left="576" w:hanging="576"/>
        <w:jc w:val="both"/>
      </w:pPr>
      <w:r>
        <w:rPr>
          <w:b w:val="0"/>
          <w:i w:val="0"/>
          <w:u w:val="none"/>
        </w:rPr>
        <w:t>DIET Kodagu (2025-26). A Study on the Uses, Impacts, and Challenges of Internet and Social Media Usage Among Students of Selected Government Senior Primary and High Schools in Kodagu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89</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Vijay V</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Kodagu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Use of ICT labs, TALP and smart classes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Kodagu's study “A Study on the Implementation of the Technology-Based Learning Program (TALP) in Selected Government High Schools of Kodagu District” (2024-25). Only 43.5 per cent of TALP schools had all infrastructure (except stable internet); 51.25 per cent of teachers faced problems such as lack of training and technical support.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Stable connectivity; periodic training in digital resource creation; a uniform class-wise computer learning manual.</w:t>
            </w:r>
          </w:p>
          <w:p>
            <w:pPr>
              <w:spacing w:after="60"/>
              <w:ind w:left="360" w:hanging="259"/>
              <w:jc w:val="both"/>
            </w:pPr>
            <w:r>
              <w:rPr>
                <w:b w:val="0"/>
              </w:rPr>
              <w:t xml:space="preserve">•  </w:t>
            </w:r>
            <w:r>
              <w:rPr>
                <w:b w:val="0"/>
              </w:rPr>
              <w:t>Stable internet connectivity and regular power supply, alongside computer equipment, are important factors for establishing good technological facilities and require departmental action.</w:t>
            </w:r>
          </w:p>
          <w:p>
            <w:pPr>
              <w:spacing w:after="60"/>
              <w:ind w:left="360" w:hanging="259"/>
              <w:jc w:val="both"/>
            </w:pPr>
            <w:r>
              <w:rPr>
                <w:b w:val="0"/>
              </w:rPr>
              <w:t xml:space="preserve">•  </w:t>
            </w:r>
            <w:r>
              <w:rPr>
                <w:b w:val="0"/>
              </w:rPr>
              <w:t>Extensive and periodic training should be given to teachers and headmasters on creating and using digital resources, scheduled at the start of the academic year, and implementing officers should receive comprehensive technical training.</w:t>
            </w:r>
          </w:p>
          <w:p>
            <w:pPr>
              <w:spacing w:after="60"/>
              <w:ind w:left="360" w:hanging="259"/>
              <w:jc w:val="both"/>
            </w:pPr>
            <w:r>
              <w:rPr>
                <w:b w:val="0"/>
              </w:rPr>
              <w:t xml:space="preserve">•  </w:t>
            </w:r>
            <w:r>
              <w:rPr>
                <w:b w:val="0"/>
              </w:rPr>
              <w:t>Schools should prioritise developing twenty-first century digital skills among students, and a uniform, comprehensive, class-wise computer learning manual should be prepared and distributed for primary and secondary schools, along with digital resources suited to children with special needs and slow learners.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Kodagu's study of the Technology Assisted Learning Programme (TALP) documents how a district has integrated computer-based learning into government high schools over several years. Kodagu has 47 government high schools; 27 implemented TALP in 2016-17 with computer laboratories and dedicated training, later expanding to 38 schools. The study covered sixty per cent of TALP schools, eight from each taluk, 24 schools in all, and involved ten students from Classes 8 and 9, two permanent teachers each for language and core subjects, and the headmaster in each school. Data were collected through school visits, Google Forms questionnaires, classroom observations and focus group discussions.</w:t>
            </w:r>
          </w:p>
          <w:p>
            <w:pPr>
              <w:spacing w:after="60"/>
              <w:jc w:val="both"/>
            </w:pPr>
            <w:r>
              <w:rPr>
                <w:b w:val="0"/>
              </w:rPr>
              <w:t>The findings show that TALP has become part of regular schooling. Computer classes featured in the timetable in ninety-six per cent of schools, and 69.6 per cent of schools had all digital devices in good working condition. In addition, 68.75 per cent of teachers could set up technical equipment themselves. In 82.6 per cent of schools, more than half of students found technology-based learning more interesting. Classroom observation showed that forty-three per cent of teachers used projectors and computers, twenty-nine per cent smart boards, and 85.7 per cent included e-resources in their lesson plans.</w:t>
            </w:r>
          </w:p>
          <w:p>
            <w:pPr>
              <w:spacing w:after="60"/>
              <w:jc w:val="both"/>
            </w:pPr>
            <w:r>
              <w:rPr>
                <w:b w:val="0"/>
              </w:rPr>
              <w:t>The practice is sustainable because computer classes are built into the timetable and teachers have acquired hands-on skills, so use does not depend on external support. It is replicable in other districts with TALP schools. It is scalable to the remaining government high schools in the district. It is monitorable through indicators such as timetabled computer periods, device functionality, teacher use of e-resources in lesson plans and student interest. The study's recommendations, stable internet connectivity, periodic training in digital resource creation and a uniform class-wise computer learning manual, would further strengthen the programme.</w:t>
            </w:r>
          </w:p>
        </w:tc>
      </w:tr>
    </w:tbl>
    <w:p>
      <w:pPr>
        <w:spacing w:after="120" w:before="160"/>
      </w:pPr>
      <w:r>
        <w:rPr>
          <w:b/>
          <w:i w:val="0"/>
          <w:sz w:val="24"/>
          <w:u w:val="none"/>
        </w:rPr>
        <w:t>References</w:t>
      </w:r>
    </w:p>
    <w:p>
      <w:pPr>
        <w:spacing w:after="60" w:before="0"/>
        <w:ind w:left="576" w:hanging="576"/>
        <w:jc w:val="both"/>
      </w:pPr>
      <w:r>
        <w:rPr>
          <w:b w:val="0"/>
          <w:i w:val="0"/>
          <w:u w:val="none"/>
        </w:rPr>
        <w:t>DIET Kodagu (2024-25). A Study on the Implementation of the Technology-Based Learning Program (TALP) in Selected Government High Schools of Kodagu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90</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Vijay V</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Kodagu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Skill education (NSQF) and 21st-century skills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Kodagu's study “A Study on the Awareness and Application of 21st-Century Skills in Selected Secondary Schools of Kodagu District” (2025-26). Most schools lack career guidance action plans; few schools engage in Olympiads or field trips; student awareness of 21st-century skills is average.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Teacher training; annual action plans; experiential learning; expanded NSQF courses; digital infrastructure; parental involvement.</w:t>
            </w:r>
          </w:p>
          <w:p>
            <w:pPr>
              <w:spacing w:after="60"/>
              <w:ind w:left="360" w:hanging="259"/>
              <w:jc w:val="both"/>
            </w:pPr>
            <w:r>
              <w:rPr>
                <w:b w:val="0"/>
              </w:rPr>
              <w:t xml:space="preserve">•  </w:t>
            </w:r>
            <w:r>
              <w:rPr>
                <w:b w:val="0"/>
              </w:rPr>
              <w:t>Teachers require comprehensive training on 21st-century skills and strategies to effectively integrate them into teaching, and schools can expect successful implementation if they map school activities against the skills students can acquire through them.</w:t>
            </w:r>
          </w:p>
          <w:p>
            <w:pPr>
              <w:spacing w:after="60"/>
              <w:ind w:left="360" w:hanging="259"/>
              <w:jc w:val="both"/>
            </w:pPr>
            <w:r>
              <w:rPr>
                <w:b w:val="0"/>
              </w:rPr>
              <w:t xml:space="preserve">•  </w:t>
            </w:r>
            <w:r>
              <w:rPr>
                <w:b w:val="0"/>
              </w:rPr>
              <w:t>An annual action plan for all school activities should be formulated and executed on schedule, with a balance maintained between curricular, co-curricular, and extra- curricular activities and greater emphasis on experiential learning.</w:t>
            </w:r>
          </w:p>
          <w:p>
            <w:pPr>
              <w:spacing w:after="60"/>
              <w:ind w:left="360" w:hanging="259"/>
              <w:jc w:val="both"/>
            </w:pPr>
            <w:r>
              <w:rPr>
                <w:b w:val="0"/>
              </w:rPr>
              <w:t xml:space="preserve">•  </w:t>
            </w:r>
            <w:r>
              <w:rPr>
                <w:b w:val="0"/>
              </w:rPr>
              <w:t>Multiple NSQF courses can be introduced in other schools based on priority, and all schools require the necessary tools and infrastructure, with periodic maintenance, to foster digital skills among students.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Kodagu's study on awareness and application of 21st-century skills in secondary schools is the first of its kind in Karnataka or Kodagu district, and it identifies school practices that build these skills. The study drew a random sample of 36 schools, 12 from each taluk, with equal shares of government, aided and unaided schools, forty-four per cent urban and fifty-six per cent rural. In each school, the headmaster, subject teachers and 12 students (four each from Classes 8, 9 and 10) participated. Data were collected through school visits, orientation sessions and Google Forms, using five questionnaires for students, teachers, headmasters, field inspectors and NSQF teachers.</w:t>
            </w:r>
          </w:p>
          <w:p>
            <w:pPr>
              <w:spacing w:after="60"/>
              <w:jc w:val="both"/>
            </w:pPr>
            <w:r>
              <w:rPr>
                <w:b w:val="0"/>
              </w:rPr>
              <w:t>The study highlighted several practices that are already working. Participation in Pratibha Karanji was excellent, showing that schools actively provide platforms for students' talents. Student cabinet activities developed leadership skills. NSQF activities had a positive impact on students' skills. Many headmasters and teachers were also aware of 21st-century skills, providing a foundation for more systematic implementation. These activities build on departmental strategies such as TALP, smart boards, laptops, projectors and digital portals like DIKSHA.</w:t>
            </w:r>
          </w:p>
          <w:p>
            <w:pPr>
              <w:spacing w:after="60"/>
              <w:jc w:val="both"/>
            </w:pPr>
            <w:r>
              <w:rPr>
                <w:b w:val="0"/>
              </w:rPr>
              <w:t>These practices are sustainable because they are part of existing school calendars and programmes rather than one-off events. They are replicable in other districts, where the same mix of cultural competitions, student leadership and NSQF courses is available. They are scalable through annual school action plans that deliberately link activities to specific 21st-century skills. They are monitorable through participation records in Pratibha Karanji, Olympiads and field trips, student cabinet functioning, and NSQF enrolment and outcomes. The study recommends teacher training, annual action plans, experiential learning, expanded NSQF courses, digital infrastructure and parental involvement, along with career guidance action plans, which most schools currently lack, to turn awareness into consistent application.</w:t>
            </w:r>
          </w:p>
        </w:tc>
      </w:tr>
    </w:tbl>
    <w:p>
      <w:pPr>
        <w:spacing w:after="120" w:before="160"/>
      </w:pPr>
      <w:r>
        <w:rPr>
          <w:b/>
          <w:i w:val="0"/>
          <w:sz w:val="24"/>
          <w:u w:val="none"/>
        </w:rPr>
        <w:t>References</w:t>
      </w:r>
    </w:p>
    <w:p>
      <w:pPr>
        <w:spacing w:after="60" w:before="0"/>
        <w:ind w:left="576" w:hanging="576"/>
        <w:jc w:val="both"/>
      </w:pPr>
      <w:r>
        <w:rPr>
          <w:b w:val="0"/>
          <w:i w:val="0"/>
          <w:u w:val="none"/>
        </w:rPr>
        <w:t>DIET Kodagu (2025-26). A Study on the Awareness and Application of 21st-Century Skills in Selected Secondary Schools of Kodagu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91</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Gayathri P P</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Kodagu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Functioning of SDMCs in school development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Kodagu's study “Role of the School Development and Monitoring Committee (SDMC) in the Academic and All-Round Progress of Selected Government Primary and High Schools in Kodagu District” (2024-25). SDMC effectiveness depends on regular meetings, member training and community participation.</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Regular SDMC meetings; training for members; greater community participation.</w:t>
            </w:r>
          </w:p>
          <w:p>
            <w:pPr>
              <w:spacing w:after="60"/>
              <w:ind w:left="360" w:hanging="259"/>
              <w:jc w:val="both"/>
            </w:pPr>
            <w:r>
              <w:rPr>
                <w:b w:val="0"/>
              </w:rPr>
              <w:t xml:space="preserve">•  </w:t>
            </w:r>
            <w:r>
              <w:rPr>
                <w:b w:val="0"/>
              </w:rPr>
              <w:t>Active participation of the SDMC gives great impetus to the academic and physical development of the school, helping to monitor students' learning progress, attendance, and academic achievement and take necessary measures.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Kodagu's study on the role of School Development and Monitoring Committees (SDMCs) in the academic and all-round progress of government primary and high schools documents community participation as a working best practice. The study covered selected schools using purposive sampling and collected data through separate questionnaires for head teachers, teachers, students and SDMC members, also drawing on the views of parents.</w:t>
            </w:r>
          </w:p>
          <w:p>
            <w:pPr>
              <w:spacing w:after="60"/>
              <w:jc w:val="both"/>
            </w:pPr>
            <w:r>
              <w:rPr>
                <w:b w:val="0"/>
              </w:rPr>
              <w:t>The study found that the role of the SDMC is significant in school development. SDMCs contribute to basic facilities such as drinking water, toilets, electricity, classrooms and the school environment, and to increasing student attendance and retention. They cooperate with teachers and school administration in improving students' academic progress and quality of learning, help increase community involvement in school activities, and play a supervisory role in the proper use of government grants and other resources. SDMCs also encourage activities related to students' social, cultural, physical and moral development.</w:t>
            </w:r>
          </w:p>
          <w:p>
            <w:pPr>
              <w:spacing w:after="60"/>
              <w:jc w:val="both"/>
            </w:pPr>
            <w:r>
              <w:rPr>
                <w:b w:val="0"/>
              </w:rPr>
              <w:t>The SDMC model is sustainable because it is a statutory body in every government school, so it does not depend on project funding. It is replicable and already present statewide; the Kodagu evidence shows what active committees can achieve. It is scalable by strengthening the functioning of existing SDMCs through training. It is monitorable through records of SDMC meetings, decisions, grant use, and changes in attendance, retention and facilities. The study highlights that active SDMC participation gives impetus to the academic and physical development of the school, helps monitor students' learning progress and attendance, increases parental participation, strengthens the relationship between the school and the local community, and functions as an effective platform for students' all-round development. It recommends regular SDMC meetings, training for members and greater community participation to make school development more effective.</w:t>
            </w:r>
          </w:p>
        </w:tc>
      </w:tr>
    </w:tbl>
    <w:p>
      <w:pPr>
        <w:spacing w:after="120" w:before="160"/>
      </w:pPr>
      <w:r>
        <w:rPr>
          <w:b/>
          <w:i w:val="0"/>
          <w:sz w:val="24"/>
          <w:u w:val="none"/>
        </w:rPr>
        <w:t>References</w:t>
      </w:r>
    </w:p>
    <w:p>
      <w:pPr>
        <w:spacing w:after="60" w:before="0"/>
        <w:ind w:left="576" w:hanging="576"/>
        <w:jc w:val="both"/>
      </w:pPr>
      <w:r>
        <w:rPr>
          <w:b w:val="0"/>
          <w:i w:val="0"/>
          <w:u w:val="none"/>
        </w:rPr>
        <w:t>DIET Kodagu (2024-25). Role of the School Development and Monitoring Committee (SDMC) in the Academic and All-Round Progress of Selected Government Primary and High Schools in Kodagu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92</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Kodagu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Mid-day meals / PM POSHAN: effect on attendance, nutrition and learning</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Kodagu's study “Study on the Implementation of the Poshan Abhiyan Program to Address Malnutrition Among Students of Government Schools in Kodagu District” (2024-25). Nine per cent of headmasters reported underweight children, eleven per cent below-norm height and eleven per cent low haemoglobin; seventy-seven per cent said a higher budget is required.</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External management of the mid-day meal scheme; parental and community participation.</w:t>
            </w:r>
          </w:p>
          <w:p>
            <w:pPr>
              <w:spacing w:after="60"/>
              <w:ind w:left="360" w:hanging="259"/>
              <w:jc w:val="both"/>
            </w:pPr>
            <w:r>
              <w:rPr>
                <w:b w:val="0"/>
              </w:rPr>
              <w:t xml:space="preserve">•  </w:t>
            </w:r>
            <w:r>
              <w:rPr>
                <w:b w:val="0"/>
              </w:rPr>
              <w:t>Health check-ups at least twice a year; school gardens; hygiene training for cooks.</w:t>
            </w:r>
          </w:p>
          <w:p>
            <w:pPr>
              <w:spacing w:after="60"/>
              <w:ind w:left="360" w:hanging="259"/>
              <w:jc w:val="both"/>
            </w:pPr>
            <w:r>
              <w:rPr>
                <w:b w:val="0"/>
              </w:rPr>
              <w:t xml:space="preserve">•  </w:t>
            </w:r>
            <w:r>
              <w:rPr>
                <w:b w:val="0"/>
              </w:rPr>
              <w:t>Programmes such as the Poshan Abhiyan, Ksheera Bhagya, and egg-distribution schemes are reducing malnutrition and anaemia among students and should be supported by closer collaboration between the Education Department and other organisations.</w:t>
            </w:r>
          </w:p>
          <w:p>
            <w:pPr>
              <w:spacing w:after="60"/>
              <w:ind w:left="360" w:hanging="259"/>
              <w:jc w:val="both"/>
            </w:pPr>
            <w:r>
              <w:rPr>
                <w:b w:val="0"/>
              </w:rPr>
              <w:t xml:space="preserve">•  </w:t>
            </w:r>
            <w:r>
              <w:rPr>
                <w:b w:val="0"/>
              </w:rPr>
              <w:t>It also notes connectivity and infrastructure challenges specific to the hilly terrain of Kodagu district, and the need for hygiene training for cooking staff.</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Kodagu's study on the implementation of the Poshan Abhiyan programme in government schools provides comprehensive evidence of how school nutrition supports children's health and learning. The study used a survey with school visits, questionnaires, observation and focus group discussions across 45 randomly selected urban and rural government schools, 15 from each of the three taluks, with 45 headmasters, 135 assistant teachers and 270 students.</w:t>
            </w:r>
          </w:p>
          <w:p>
            <w:pPr>
              <w:spacing w:after="60"/>
              <w:jc w:val="both"/>
            </w:pPr>
            <w:r>
              <w:rPr>
                <w:b w:val="0"/>
              </w:rPr>
              <w:t>The programme is well established and valued. No headmaster reported a decline in attendance. Eighty-six per cent of teachers reported positive changes in learning outcomes, and all 135 teachers affirmed the programme's necessity. Among the 270 students, 228 ate breakfast daily, and 198 (seventy-three per cent) liked the milk and eggs provided. The study also showed the value of school-level health information: headmasters reported that nine per cent of children weighed less than the age-appropriate standard, eleven per cent had below-norm height and eleven per cent had low haemoglobin levels, giving a basis for targeted follow-up.</w:t>
            </w:r>
          </w:p>
          <w:p>
            <w:pPr>
              <w:spacing w:after="60"/>
              <w:jc w:val="both"/>
            </w:pPr>
            <w:r>
              <w:rPr>
                <w:b w:val="0"/>
              </w:rPr>
              <w:t>The practice is sustainable because it is anchored in a national scheme with assured funding and established kitchens and staff in schools. It is replicable in every district. It is scalable by strengthening quality standards, as forty per cent of headmasters expressed a need for better quality and seventy-seven per cent stated that a higher budget was required. It is monitorable through attendance records, health indicators such as weight, height and haemoglobin, and teachers' reports on learning. The study recommends external management of the mid-day meal scheme (as fifty-nine per cent of headmasters felt external organisations should handle maintenance and supervision), greater parental and community participation, health check-ups at least twice a year, school gardens and hygiene training for cooking staff, measures that would build on the programme's strong base.</w:t>
            </w:r>
          </w:p>
        </w:tc>
      </w:tr>
    </w:tbl>
    <w:p>
      <w:pPr>
        <w:spacing w:after="120" w:before="160"/>
      </w:pPr>
      <w:r>
        <w:rPr>
          <w:b/>
          <w:i w:val="0"/>
          <w:sz w:val="24"/>
          <w:u w:val="none"/>
        </w:rPr>
        <w:t>References</w:t>
      </w:r>
    </w:p>
    <w:p>
      <w:pPr>
        <w:spacing w:after="60" w:before="0"/>
        <w:ind w:left="576" w:hanging="576"/>
        <w:jc w:val="both"/>
      </w:pPr>
      <w:r>
        <w:rPr>
          <w:b w:val="0"/>
          <w:i w:val="0"/>
          <w:u w:val="none"/>
        </w:rPr>
        <w:t>DIET Kodagu (2024-25). Study on the Implementation of the Poshan Abhiyan Program to Address Malnutrition Among Students of Government Schools in Kodagu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93</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Geetha M A</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Kodagu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Subject pedagogy and teaching-learning materials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Kodagu's study “Effective Use of Teaching-Learning Materials in Government Primary and High Schools of Kodagu District” (2024-25). TLM effectiveness requires sustained funding for maintenance, upgrades and replacement beyond initial procurement.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Continued investment in traditional and technology-enabled resources; administrative training for headmasters.</w:t>
            </w:r>
          </w:p>
          <w:p>
            <w:pPr>
              <w:spacing w:after="60"/>
              <w:ind w:left="360" w:hanging="259"/>
              <w:jc w:val="both"/>
            </w:pPr>
            <w:r>
              <w:rPr>
                <w:b w:val="0"/>
              </w:rPr>
              <w:t xml:space="preserve">•  </w:t>
            </w:r>
            <w:r>
              <w:rPr>
                <w:b w:val="0"/>
              </w:rPr>
              <w:t>Second, the critical role of headmaster leadership in TLM implementation necessitates administrative training reforms.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Kodagu's study on the effective use of teaching-learning materials (TLM) in government primary and high schools documents a strong model of headmaster-led pedagogical support. Higher primary and high schools in three taluks were selected randomly, giving equal priority to urban and rural areas, and data were collected through questionnaires for head teachers, assistant teachers and students, with 135 teacher respondents.</w:t>
            </w:r>
          </w:p>
          <w:p>
            <w:pPr>
              <w:spacing w:after="60"/>
              <w:jc w:val="both"/>
            </w:pPr>
            <w:r>
              <w:rPr>
                <w:b w:val="0"/>
              </w:rPr>
              <w:t>The study found substantial TLM use across schools, driven by headmaster leadership. Ninety-four per cent of headmasters systematically monitored TLM use through weekly classroom observations, eighty-one per cent used projectors for multimedia instruction and eighty-nine per cent maintained comprehensive SMART CLASS documentation. Among teachers, eighty-two per cent (110 of 135) received headmaster guidance in preparing TLM, ninety-four per cent reported observable positive changes in student learning from TLM use, and eighty-five per cent used SMART CLASS technology twice a week for subject teaching. Teacher-created materials complemented department-supplied resources, fostering ownership and contextual relevance.</w:t>
            </w:r>
          </w:p>
          <w:p>
            <w:pPr>
              <w:spacing w:after="60"/>
              <w:jc w:val="both"/>
            </w:pPr>
            <w:r>
              <w:rPr>
                <w:b w:val="0"/>
              </w:rPr>
              <w:t>The practice is sustainable because it rests on routine school processes, weekly observation and guidance by the headmaster, rather than one-time inputs, and because teachers create their own materials. It is replicable in any district, since headmasters everywhere can adopt weekly TLM monitoring and guidance. It is scalable through headmaster leadership training conducted by DIETs. It is monitorable through simple indicators: the frequency of headmaster observations, the proportion of teachers using TLM and SMART CLASS, and documentation of classroom technology use. The study draws two policy implications: the proven effectiveness of TLM justifies continued investment in both traditional and technology-enabled resources, with sustained budgets for maintenance, upgrades and replacement beyond initial procurement; and the critical role of headmaster leadership calls for administrative training reforms that equip heads to lead pedagogical improvement.</w:t>
            </w:r>
          </w:p>
        </w:tc>
      </w:tr>
    </w:tbl>
    <w:p>
      <w:pPr>
        <w:spacing w:after="120" w:before="160"/>
      </w:pPr>
      <w:r>
        <w:rPr>
          <w:b/>
          <w:i w:val="0"/>
          <w:sz w:val="24"/>
          <w:u w:val="none"/>
        </w:rPr>
        <w:t>References</w:t>
      </w:r>
    </w:p>
    <w:p>
      <w:pPr>
        <w:spacing w:after="60" w:before="0"/>
        <w:ind w:left="576" w:hanging="576"/>
        <w:jc w:val="both"/>
      </w:pPr>
      <w:r>
        <w:rPr>
          <w:b w:val="0"/>
          <w:i w:val="0"/>
          <w:u w:val="none"/>
        </w:rPr>
        <w:t>DIET Kodagu (2024-25). Effective Use of Teaching-Learning Materials in Government Primary and High Schools of Kodagu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94</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Koppal</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Readiness and effect of pre-primary (LKG/UKG, ECCE) education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Koppal's study “A Study on the Implementation of the ECCE (Akshara Avishkar) Project in Koppal District in the Year 2024-25” (2024-25). Understanding and application of ECCE principles vary across schools; considerable disparities in infrastructure and materials.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Dedicated ECCE teacher positions; standardised implementation with local flexibility; training in age-appropriate, child-centred pedagogy.</w:t>
            </w:r>
          </w:p>
          <w:p>
            <w:pPr>
              <w:spacing w:after="60"/>
              <w:ind w:left="360" w:hanging="259"/>
              <w:jc w:val="both"/>
            </w:pPr>
            <w:r>
              <w:rPr>
                <w:b w:val="0"/>
              </w:rPr>
              <w:t xml:space="preserve">•  </w:t>
            </w:r>
            <w:r>
              <w:rPr>
                <w:b w:val="0"/>
              </w:rPr>
              <w:t>It demonstrates the feasibility of implementing quality ECCE programs in government schools while highlighting the critical importance of sustained support systems.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Koppal's study of the Akshara Avishkar project documents a regional initiative in early childhood care and education (ECCE) that has strengthened pre-primary classes in government schools. The project, initiated by the Kalyana Karnataka Region Development Board (KKRDB), seeks to provide quality pre-primary education in LKG and UKG classes, in line with the emphasis on foundational learning and equitable access. The study covered all four taluks of the district, Gangavati, Koppal, Kustagi and Yalaburga, and gathered data from 10 LKG teachers, 10 UKG teachers and 10 head teachers through structured questionnaires adapted from standardised ECCE frameworks, classroom observation checklists and semi-structured interviews.</w:t>
            </w:r>
          </w:p>
          <w:p>
            <w:pPr>
              <w:spacing w:after="60"/>
              <w:jc w:val="both"/>
            </w:pPr>
            <w:r>
              <w:rPr>
                <w:b w:val="0"/>
              </w:rPr>
              <w:t>The study found that teachers showed positive attitudes towards ECCE principles, and that the KKRDB initiative provided initial momentum and resources for pre-primary classes. A clear success factor was active interaction between parents and teachers, which was associated with better implementation. The study also compared Karnataka Public Schools with other types of pre-primary classes, giving a basis for learning from stronger sites.</w:t>
            </w:r>
          </w:p>
          <w:p>
            <w:pPr>
              <w:spacing w:after="60"/>
              <w:jc w:val="both"/>
            </w:pPr>
            <w:r>
              <w:rPr>
                <w:b w:val="0"/>
              </w:rPr>
              <w:t>The practice is sustainable because it is anchored in a regional development board that can continue to channel resources, and in teachers who are already positive about ECCE principles. It is replicable in other districts, particularly in the Kalyana Karnataka region, by combining dedicated funding with parent–teacher engagement. It is scalable if, as the study recommends, dedicated ECCE teacher positions are created and implementation is standardised across institutions while allowing flexibility for local adaptation. It is monitorable through classroom observation checklists for learning corners, developmentally appropriate routines and materials, and through records of parent–teacher interaction. Training in age-appropriate, child-centred pedagogy, identified by the study as a priority, would consolidate these gains and ensure that the project's early momentum translates into consistent quality across all pre-primary classes.</w:t>
            </w:r>
          </w:p>
        </w:tc>
      </w:tr>
    </w:tbl>
    <w:p>
      <w:pPr>
        <w:spacing w:after="120" w:before="160"/>
      </w:pPr>
      <w:r>
        <w:rPr>
          <w:b/>
          <w:i w:val="0"/>
          <w:sz w:val="24"/>
          <w:u w:val="none"/>
        </w:rPr>
        <w:t>References</w:t>
      </w:r>
    </w:p>
    <w:p>
      <w:pPr>
        <w:spacing w:after="60" w:before="0"/>
        <w:ind w:left="576" w:hanging="576"/>
        <w:jc w:val="both"/>
      </w:pPr>
      <w:r>
        <w:rPr>
          <w:b w:val="0"/>
          <w:i w:val="0"/>
          <w:u w:val="none"/>
        </w:rPr>
        <w:t>DIET Koppal (2024-25). A Study on the Implementation of the ECCE (Akshara Avishkar) Project in Koppal District in the Year 2024-25.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95</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Koppal</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Inclusive education for children with special needs (CWSN)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Koppal's study “A Study on the Effectiveness of General Education for Special Needs Students in Koppala District 2024-25” (2024-25). 8 of 40 schools had untrained teachers handling inclusive classrooms; the general curriculum was followed without modification; specialised materials were limited. Parental engagement was weaker in rural schools.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Match enrolment mandates with comprehensive support systems and dedicated budgets.</w:t>
            </w:r>
          </w:p>
          <w:p>
            <w:pPr>
              <w:spacing w:after="60"/>
              <w:ind w:left="360" w:hanging="259"/>
              <w:jc w:val="both"/>
            </w:pPr>
            <w:r>
              <w:rPr>
                <w:b w:val="0"/>
              </w:rPr>
              <w:t xml:space="preserve">•  </w:t>
            </w:r>
            <w:r>
              <w:rPr>
                <w:b w:val="0"/>
              </w:rPr>
              <w:t>Make inclusive education competencies mandatory in teacher education.</w:t>
            </w:r>
          </w:p>
          <w:p>
            <w:pPr>
              <w:spacing w:after="60"/>
              <w:ind w:left="360" w:hanging="259"/>
              <w:jc w:val="both"/>
            </w:pPr>
            <w:r>
              <w:rPr>
                <w:b w:val="0"/>
              </w:rPr>
              <w:t xml:space="preserve">•  </w:t>
            </w:r>
            <w:r>
              <w:rPr>
                <w:b w:val="0"/>
              </w:rPr>
              <w:t>It demonstrates that legislative mandates requiring enrollment must be accompanied by comprehensive support systems for meaningful inclusion.</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Koppal's study on general education for children with special needs offers a comprehensive picture of inclusive education in primary schools and highlights practices that can be built upon. The study used a mixed-methods descriptive design combining survey, observation and case studies. It covered 40 schools, 10 each in Gangavati, Koppal, Kustagi and Yalaburga taluks, with 1,944 enrolled children with disabilities. Data came from teacher and head teacher questionnaires, classroom observation, school records and interviews with teachers, parents and students.</w:t>
            </w:r>
          </w:p>
          <w:p>
            <w:pPr>
              <w:spacing w:after="60"/>
              <w:jc w:val="both"/>
            </w:pPr>
            <w:r>
              <w:rPr>
                <w:b w:val="0"/>
              </w:rPr>
              <w:t>Two practices stand out. First, the district has achieved wide enrolment of children with disabilities in mainstream schools, as mandated by the Rights of Persons with Disabilities Act 2016. The study documented the profile of these children by category: intellectual disabilities (424 students), speech and language difficulties (376), visual impairments (226) and hearing impairments (175). Such category-wise and taluk-wise mapping is itself a valuable planning tool. Second, teachers in 32 of the 40 schools had received special training for inclusive classrooms, showing substantial training coverage. Parental engagement was also found to be stronger in urban schools, indicating what is possible when families are involved.</w:t>
            </w:r>
          </w:p>
          <w:p>
            <w:pPr>
              <w:spacing w:after="60"/>
              <w:jc w:val="both"/>
            </w:pPr>
            <w:r>
              <w:rPr>
                <w:b w:val="0"/>
              </w:rPr>
              <w:t>These practices are sustainable because enrolment data and trained teachers are already part of the system. They are replicable in other districts, where similar category-wise mapping can guide the allocation of resource teachers and materials. They are scalable through DIET-led training to cover the remaining schools with untrained teachers. They are monitorable through enrolment and attendance records by disability category, the proportion of trained teachers, and the availability of specialised materials and individualised education plans. The study's recommendation that enrolment mandates be matched by support systems, dedicated budgets and mandatory inclusive education competencies in teacher education provides a clear path to deepen these gains.</w:t>
            </w:r>
          </w:p>
        </w:tc>
      </w:tr>
    </w:tbl>
    <w:p>
      <w:pPr>
        <w:spacing w:after="120" w:before="160"/>
      </w:pPr>
      <w:r>
        <w:rPr>
          <w:b/>
          <w:i w:val="0"/>
          <w:sz w:val="24"/>
          <w:u w:val="none"/>
        </w:rPr>
        <w:t>References</w:t>
      </w:r>
    </w:p>
    <w:p>
      <w:pPr>
        <w:spacing w:after="60" w:before="0"/>
        <w:ind w:left="576" w:hanging="576"/>
        <w:jc w:val="both"/>
      </w:pPr>
      <w:r>
        <w:rPr>
          <w:b w:val="0"/>
          <w:i w:val="0"/>
          <w:u w:val="none"/>
        </w:rPr>
        <w:t>DIET Koppal (2024-25). A Study on the Effectiveness of General Education for Special Needs Students in Koppala District 2024-25.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96</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Koppal</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Subject pedagogy and teaching-learning materials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Koppal's study “Study on the Use of Teaching Aids and Their Importance for Geography Teaching in High Schools of Koppala District” (2024-25). Globes, overhead projectors and geography labs are limited; rural schools less equipped; teachers lack training in technology-based aids; maps and charts underused due to exam pressure.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Discipline-specific resource allocation; treat geography as a laboratory subject.</w:t>
            </w:r>
          </w:p>
          <w:p>
            <w:pPr>
              <w:spacing w:after="60"/>
              <w:ind w:left="360" w:hanging="259"/>
              <w:jc w:val="both"/>
            </w:pPr>
            <w:r>
              <w:rPr>
                <w:b w:val="0"/>
              </w:rPr>
              <w:t xml:space="preserve">•  </w:t>
            </w:r>
            <w:r>
              <w:rPr>
                <w:b w:val="0"/>
              </w:rPr>
              <w:t>Include teaching-aid competency in teacher recruitment and evaluation; invest in digital infrastructure.</w:t>
            </w:r>
          </w:p>
          <w:p>
            <w:pPr>
              <w:spacing w:after="60"/>
              <w:ind w:left="360" w:hanging="259"/>
              <w:jc w:val="both"/>
            </w:pPr>
            <w:r>
              <w:rPr>
                <w:b w:val="0"/>
              </w:rPr>
              <w:t xml:space="preserve">•  </w:t>
            </w:r>
            <w:r>
              <w:rPr>
                <w:b w:val="0"/>
              </w:rPr>
              <w:t>It demonstrates the need for discipline-specific resource allocation beyond generic classroom infrastructure.</w:t>
            </w:r>
          </w:p>
          <w:p>
            <w:pPr>
              <w:spacing w:after="60"/>
              <w:ind w:left="360" w:hanging="259"/>
              <w:jc w:val="both"/>
            </w:pPr>
            <w:r>
              <w:rPr>
                <w:b w:val="0"/>
              </w:rPr>
              <w:t xml:space="preserve">•  </w:t>
            </w:r>
            <w:r>
              <w:rPr>
                <w:b w:val="0"/>
              </w:rPr>
              <w:t>Policy attention is required for establishing geography as a laboratory-based subject similar to science, with dedicated spaces and materials for practical geographical exploration.</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Koppal's study on teaching aids in geography provides evidence for a practice that makes an often memorisation-heavy subject more meaningful: systematic use of visual and interactive aids. The study was conducted in high schools of Koppala district using a mixed-methods descriptive survey, with structured questionnaires for geography teachers, classroom observation protocols, and interviews with teachers and students. It identified available aids, assessed how often and how well they were used, examined teachers' competence with traditional aids (maps, globes and charts) and modern technology (YouTube, overhead projectors and television), and documented practices that could be scaled.</w:t>
            </w:r>
          </w:p>
          <w:p>
            <w:pPr>
              <w:spacing w:after="60"/>
              <w:jc w:val="both"/>
            </w:pPr>
            <w:r>
              <w:rPr>
                <w:b w:val="0"/>
              </w:rPr>
              <w:t>The findings point clearly to what works. Students strongly preferred visual and interactive materials over textbook-based instruction. Maps and atlases were the most commonly available aids, which means the basic resources for visual geography teaching already exist in most schools. Teachers were enthusiastic about using teaching aids, even though they reported a need for more training, particularly in technology-based resources.</w:t>
            </w:r>
          </w:p>
          <w:p>
            <w:pPr>
              <w:spacing w:after="60"/>
              <w:jc w:val="both"/>
            </w:pPr>
            <w:r>
              <w:rPr>
                <w:b w:val="0"/>
              </w:rPr>
              <w:t>The practice of teaching geography through maps, atlases, charts and digital resources is sustainable because many of these materials are already in schools and can be used repeatedly over many years. It is replicable in any high school and does not require specialised infrastructure to begin. It is scalable through DIET subject-specific training that builds teachers' confidence with both traditional and technology-based aids. It is monitorable through classroom observation of how often aids are used, together with student engagement and learning in geography. The study recommends treating geography as a laboratory-based subject, allocating discipline-specific resources, including teaching-aid competency in teacher recruitment and evaluation, and investing in digital infrastructure. Together these steps would turn the aids now often stored away into everyday tools of spatial learning.</w:t>
            </w:r>
          </w:p>
        </w:tc>
      </w:tr>
    </w:tbl>
    <w:p>
      <w:pPr>
        <w:spacing w:after="120" w:before="160"/>
      </w:pPr>
      <w:r>
        <w:rPr>
          <w:b/>
          <w:i w:val="0"/>
          <w:sz w:val="24"/>
          <w:u w:val="none"/>
        </w:rPr>
        <w:t>References</w:t>
      </w:r>
    </w:p>
    <w:p>
      <w:pPr>
        <w:spacing w:after="60" w:before="0"/>
        <w:ind w:left="576" w:hanging="576"/>
        <w:jc w:val="both"/>
      </w:pPr>
      <w:r>
        <w:rPr>
          <w:b w:val="0"/>
          <w:i w:val="0"/>
          <w:u w:val="none"/>
        </w:rPr>
        <w:t>DIET Koppal (2024-25). Study on the Use of Teaching Aids and Their Importance for Geography Teaching in High Schools of Koppala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97</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Kumta (Uttara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Effect of Sethubandha/FLN programmes on closing FLN and learning-outcome gaps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Kumta (Uttara Kannada)'s study “A Study on Actions Taken to Solve the Lack of FLN Among Students of 6th Standard of Government Higher Primary Schools in Uttara Kannada District” (2024-25) and DIET Kumta (Uttara Kannada)'s study “A Study on the Effectiveness of FLN Activities Organised for Class 5th Students of Government Primary Schools in Uttara Kannada District” (2025-26). Class 6: only twenty-four per cent read fluently with comprehension, twenty-seven per cent struggle significantly, six per cent barely recognise letters; twenty-nine per cent struggle to write basic sentences; gaps in arithmetic and place value.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FLN screening and immediate remediation in Grades 1–3; class-level tracking; remedial pedagogy and differentiated instruction training; mentoring; activity-based strategies; FLN resource centres; digital and game-based resources.</w:t>
            </w:r>
          </w:p>
          <w:p>
            <w:pPr>
              <w:spacing w:after="60"/>
              <w:ind w:left="360" w:hanging="259"/>
              <w:jc w:val="both"/>
            </w:pPr>
            <w:r>
              <w:rPr>
                <w:b w:val="0"/>
              </w:rPr>
              <w:t xml:space="preserve">•  </w:t>
            </w:r>
            <w:r>
              <w:rPr>
                <w:b w:val="0"/>
              </w:rPr>
              <w:t>Develop class-level tracking systems ensuring no child progresses without foundational competencies.</w:t>
            </w:r>
          </w:p>
          <w:p>
            <w:pPr>
              <w:spacing w:after="60"/>
              <w:ind w:left="360" w:hanging="259"/>
              <w:jc w:val="both"/>
            </w:pPr>
            <w:r>
              <w:rPr>
                <w:b w:val="0"/>
              </w:rPr>
              <w:t xml:space="preserve">•  </w:t>
            </w:r>
            <w:r>
              <w:rPr>
                <w:b w:val="0"/>
              </w:rPr>
              <w:t>Provide comprehensive training in FLN assessment, remedial pedagogy, differentiated instruction, and use of appropriate teaching-learning materials.</w:t>
            </w:r>
          </w:p>
          <w:p>
            <w:pPr>
              <w:spacing w:after="60"/>
              <w:ind w:left="360" w:hanging="259"/>
              <w:jc w:val="both"/>
            </w:pPr>
            <w:r>
              <w:rPr>
                <w:b w:val="0"/>
              </w:rPr>
              <w:t xml:space="preserve">•  </w:t>
            </w:r>
            <w:r>
              <w:rPr>
                <w:b w:val="0"/>
              </w:rPr>
              <w:t>Establish mentoring systems and professional learning communities for ongoing support.</w:t>
            </w:r>
          </w:p>
          <w:p>
            <w:pPr>
              <w:spacing w:after="60"/>
              <w:ind w:left="360" w:hanging="259"/>
              <w:jc w:val="both"/>
            </w:pPr>
            <w:r>
              <w:rPr>
                <w:b w:val="0"/>
              </w:rPr>
              <w:t xml:space="preserve">•  </w:t>
            </w:r>
            <w:r>
              <w:rPr>
                <w:b w:val="0"/>
              </w:rPr>
              <w:t>Develop and distribute gradeappropriate FLN materials, activity kits, reading resources, and assessment tools.</w:t>
            </w:r>
          </w:p>
          <w:p>
            <w:pPr>
              <w:spacing w:after="60"/>
              <w:ind w:left="360" w:hanging="259"/>
              <w:jc w:val="both"/>
            </w:pPr>
            <w:r>
              <w:rPr>
                <w:b w:val="0"/>
              </w:rPr>
              <w:t xml:space="preserve">•  </w:t>
            </w:r>
            <w:r>
              <w:rPr>
                <w:b w:val="0"/>
              </w:rPr>
              <w:t>Conduct regular competency assessments.</w:t>
            </w:r>
          </w:p>
          <w:p>
            <w:pPr>
              <w:spacing w:after="60"/>
              <w:ind w:left="360" w:hanging="259"/>
              <w:jc w:val="both"/>
            </w:pPr>
            <w:r>
              <w:rPr>
                <w:b w:val="0"/>
              </w:rPr>
              <w:t xml:space="preserve">•  </w:t>
            </w:r>
            <w:r>
              <w:rPr>
                <w:b w:val="0"/>
              </w:rPr>
              <w:t>Strengthen FLN implementation in allSchools.</w:t>
            </w:r>
          </w:p>
          <w:p>
            <w:pPr>
              <w:spacing w:after="60"/>
              <w:ind w:left="360" w:hanging="259"/>
              <w:jc w:val="both"/>
            </w:pPr>
            <w:r>
              <w:rPr>
                <w:b w:val="0"/>
              </w:rPr>
              <w:t xml:space="preserve">•  </w:t>
            </w:r>
            <w:r>
              <w:rPr>
                <w:b w:val="0"/>
              </w:rPr>
              <w:t>Conduct regular monitoring Active participation of students should be encouraged through quizzes, interactive apps, and games-based learning in smart classrooms.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Two DIET Kumta studies document FLN practices in Uttara Kannada, a district of diverse coastal, rural, forest and hilly regions. The first assessed Class 6 FLN competencies in 25 higher primary schools across Bhatkal, Honnavar, Kumta and Ankola, with 25 headmasters, 75 teachers, 200 students and 50 parents, and analysed the remedial actions taken by schools. The second examined FLN activities for Class 5 in 25 schools, with questionnaires for Kannada and Mathematics teachers and 250 students, comparing achievement before and after implementation.</w:t>
            </w:r>
          </w:p>
          <w:p>
            <w:pPr>
              <w:spacing w:after="60"/>
              <w:jc w:val="both"/>
            </w:pPr>
            <w:r>
              <w:rPr>
                <w:b w:val="0"/>
              </w:rPr>
              <w:t>The Class 5 study found that FLN activities, activity-based learning, storytelling, songs, games, conversations and mathematical activities, improved both literacy and numeracy achievement, and teachers had a positive attitude towards them. The Class 6 study is itself a valuable practice: precise assessment showing that twenty-four per cent of students read fluently with comprehension and forty-three per cent adequately, and that seventy-one per cent could write sentences (with errors), gives schools an exact picture of who needs what support.</w:t>
            </w:r>
          </w:p>
          <w:p>
            <w:pPr>
              <w:spacing w:after="60"/>
              <w:jc w:val="both"/>
            </w:pPr>
            <w:r>
              <w:rPr>
                <w:b w:val="0"/>
              </w:rPr>
              <w:t>The practice of activity-based FLN combined with precise competency assessment is sustainable because it uses enjoyable, low-cost activities and simple tests. It is replicable in every district. It is scalable through FLN resource centres and teacher training. It is monitorable through before-and-after competency assessments and class-level tracking. The studies recommend systematic FLN screening and immediate remediation in Grades 1–3, class-level tracking of competencies, teacher training in remedial pedagogy and differentiated instruction, mentoring, grade-appropriate materials, wider use of activity-based strategies, strengthened FLN resource centres, regular assessment and monitoring, and digital and game-based resources.</w:t>
            </w:r>
          </w:p>
        </w:tc>
      </w:tr>
    </w:tbl>
    <w:p>
      <w:pPr>
        <w:spacing w:after="120" w:before="160"/>
      </w:pPr>
      <w:r>
        <w:rPr>
          <w:b/>
          <w:i w:val="0"/>
          <w:sz w:val="24"/>
          <w:u w:val="none"/>
        </w:rPr>
        <w:t>References</w:t>
      </w:r>
    </w:p>
    <w:p>
      <w:pPr>
        <w:spacing w:after="60" w:before="0"/>
        <w:ind w:left="576" w:hanging="576"/>
        <w:jc w:val="both"/>
      </w:pPr>
      <w:r>
        <w:rPr>
          <w:b w:val="0"/>
          <w:i w:val="0"/>
          <w:u w:val="none"/>
        </w:rPr>
        <w:t>DIET Kumta (Uttara Kannada) (2024-25). A Study on Actions Taken to Solve the Lack of FLN Among Students of 6th Standard of Government Higher Primary Schools in Uttara Kannada District; DIET Kumta (Uttara Kannada) (2025-26). A Study on the Effectiveness of FLN Activities Organised for Class 5th Students of Government Primary Schools in Uttara Kannada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98</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Kumta (Uttara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Teachers' English proficiency and English-medium classroom practice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Kumta (Uttara Kannada)'s study “The Impact of English Language Teacher Professional Development on Students’ English Language Learning in Government Primary Schools of Uttara Kannada District” (2025-26). Rural schools lag behind urban and semi-urban schools; lack of technological resources and English environment in rural areas.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Continuous, classroom-based professional development; adequate language resources for rural schools.</w:t>
            </w:r>
          </w:p>
          <w:p>
            <w:pPr>
              <w:spacing w:after="60"/>
              <w:ind w:left="360" w:hanging="259"/>
              <w:jc w:val="both"/>
            </w:pPr>
            <w:r>
              <w:rPr>
                <w:b w:val="0"/>
              </w:rPr>
              <w:t xml:space="preserve">•  </w:t>
            </w:r>
            <w:r>
              <w:rPr>
                <w:b w:val="0"/>
              </w:rPr>
              <w:t>Continuous professional development programmes should be organized for English teachers.</w:t>
            </w:r>
          </w:p>
          <w:p>
            <w:pPr>
              <w:spacing w:after="60"/>
              <w:ind w:left="360" w:hanging="259"/>
              <w:jc w:val="both"/>
            </w:pPr>
            <w:r>
              <w:rPr>
                <w:b w:val="0"/>
              </w:rPr>
              <w:t xml:space="preserve">•  </w:t>
            </w:r>
            <w:r>
              <w:rPr>
                <w:b w:val="0"/>
              </w:rPr>
              <w:t>Activity-based English teaching should be encouraged.</w:t>
            </w:r>
          </w:p>
          <w:p>
            <w:pPr>
              <w:spacing w:after="60"/>
              <w:ind w:left="360" w:hanging="259"/>
              <w:jc w:val="both"/>
            </w:pPr>
            <w:r>
              <w:rPr>
                <w:b w:val="0"/>
              </w:rPr>
              <w:t xml:space="preserve">•  </w:t>
            </w:r>
            <w:r>
              <w:rPr>
                <w:b w:val="0"/>
              </w:rPr>
              <w:t>Greater use of technology in classrooms should be promoted.</w:t>
            </w:r>
          </w:p>
          <w:p>
            <w:pPr>
              <w:spacing w:after="60"/>
              <w:ind w:left="360" w:hanging="259"/>
              <w:jc w:val="both"/>
            </w:pPr>
            <w:r>
              <w:rPr>
                <w:b w:val="0"/>
              </w:rPr>
              <w:t xml:space="preserve">•  </w:t>
            </w:r>
            <w:r>
              <w:rPr>
                <w:b w:val="0"/>
              </w:rPr>
              <w:t>Context-based learning materials should be developed.</w:t>
            </w:r>
          </w:p>
          <w:p>
            <w:pPr>
              <w:spacing w:after="60"/>
              <w:ind w:left="360" w:hanging="259"/>
              <w:jc w:val="both"/>
            </w:pPr>
            <w:r>
              <w:rPr>
                <w:b w:val="0"/>
              </w:rPr>
              <w:t xml:space="preserve">•  </w:t>
            </w:r>
            <w:r>
              <w:rPr>
                <w:b w:val="0"/>
              </w:rPr>
              <w:t>Interactive and communicative teaching strategies should be included.</w:t>
            </w:r>
          </w:p>
          <w:p>
            <w:pPr>
              <w:spacing w:after="60"/>
              <w:ind w:left="360" w:hanging="259"/>
              <w:jc w:val="both"/>
            </w:pPr>
            <w:r>
              <w:rPr>
                <w:b w:val="0"/>
              </w:rPr>
              <w:t xml:space="preserve">•  </w:t>
            </w:r>
            <w:r>
              <w:rPr>
                <w:b w:val="0"/>
              </w:rPr>
              <w:t>More classroom-based practical training should be conducted.</w:t>
            </w:r>
          </w:p>
          <w:p>
            <w:pPr>
              <w:spacing w:after="60"/>
              <w:ind w:left="360" w:hanging="259"/>
              <w:jc w:val="both"/>
            </w:pPr>
            <w:r>
              <w:rPr>
                <w:b w:val="0"/>
              </w:rPr>
              <w:t xml:space="preserve">•  </w:t>
            </w:r>
            <w:r>
              <w:rPr>
                <w:b w:val="0"/>
              </w:rPr>
              <w:t>Online training opportunities should be provided regularly.</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Kumta's study on English teacher professional development documents its positive impact on students' English learning in government primary schools (Classes 1–5). The study used a mixed-method design with 250 students (129 boys and 121 girls) from 25 purposively selected schools, 20 rural and five semi-urban or urban, along with their teachers and head teachers. Data came from teacher questionnaires, interviews, classroom observation and achievement tests.</w:t>
            </w:r>
          </w:p>
          <w:p>
            <w:pPr>
              <w:spacing w:after="60"/>
              <w:jc w:val="both"/>
            </w:pPr>
            <w:r>
              <w:rPr>
                <w:b w:val="0"/>
              </w:rPr>
              <w:t>The findings show clear benefits. Professional development improved teachers' classroom teaching skills, increased student participation and improved students' reading, writing and speaking. Seventy-eight per cent of teachers reported that the training programmes were effective, seventy-two per cent of students showed increased interest in learning English, and activity-based teaching was observed in sixty-eight per cent of schools. By combining teacher reports with classroom observation and student achievement tests, the study links training directly to classroom practice and learning.</w:t>
            </w:r>
          </w:p>
          <w:p>
            <w:pPr>
              <w:spacing w:after="60"/>
              <w:jc w:val="both"/>
            </w:pPr>
            <w:r>
              <w:rPr>
                <w:b w:val="0"/>
              </w:rPr>
              <w:t>The practice is sustainable because it builds teachers' long-term capacity to teach English through activity-based methods. It is replicable across all primary schools. It is scalable through DIET-led programmes, with particular attention to rural schools. It is monitorable through classroom observation of activity-based teaching and student achievement in reading, writing and speaking. The study found that urban and semi-urban schools showed better outcomes than rural schools, where lack of technological resources and an English environment were challenges. It recommends continuous, classroom-based professional development and adequate language learning resources for rural schools, so that the benefits of training reach all children equally.</w:t>
            </w:r>
          </w:p>
        </w:tc>
      </w:tr>
    </w:tbl>
    <w:p>
      <w:pPr>
        <w:spacing w:after="120" w:before="160"/>
      </w:pPr>
      <w:r>
        <w:rPr>
          <w:b/>
          <w:i w:val="0"/>
          <w:sz w:val="24"/>
          <w:u w:val="none"/>
        </w:rPr>
        <w:t>References</w:t>
      </w:r>
    </w:p>
    <w:p>
      <w:pPr>
        <w:spacing w:after="60" w:before="0"/>
        <w:ind w:left="576" w:hanging="576"/>
        <w:jc w:val="both"/>
      </w:pPr>
      <w:r>
        <w:rPr>
          <w:b w:val="0"/>
          <w:i w:val="0"/>
          <w:u w:val="none"/>
        </w:rPr>
        <w:t>DIET Kumta (Uttara Kannada) (2025-26). The Impact of English Language Teacher Professional Development on Students’ English Language Learning in Government Primary Schools of Uttara Kannada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99</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Kumta (Uttara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Vidya Pravesha and Class 1 school readiness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Kumta (Uttara Kannada)'s study “A study of the impact of Anganwadi Education on the implementation of Vidyapravesh Programme for students of first standard in Uttara Kannada District” (2025-26). Need for stronger coordination between Anganwadi centres and primary schools.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Regular joint meetings between Anganwadis and schools; continuous school readiness programmes; teacher training; parent awareness; continuous assessment of readiness.</w:t>
            </w:r>
          </w:p>
          <w:p>
            <w:pPr>
              <w:spacing w:after="60"/>
              <w:ind w:left="360" w:hanging="259"/>
              <w:jc w:val="both"/>
            </w:pPr>
            <w:r>
              <w:rPr>
                <w:b w:val="0"/>
              </w:rPr>
              <w:t xml:space="preserve">•  </w:t>
            </w:r>
            <w:r>
              <w:rPr>
                <w:b w:val="0"/>
              </w:rPr>
              <w:t>Coordination between Anganwadi centres and primary schools should be strengthened.</w:t>
            </w:r>
          </w:p>
          <w:p>
            <w:pPr>
              <w:spacing w:after="60"/>
              <w:ind w:left="360" w:hanging="259"/>
              <w:jc w:val="both"/>
            </w:pPr>
            <w:r>
              <w:rPr>
                <w:b w:val="0"/>
              </w:rPr>
              <w:t xml:space="preserve">•  </w:t>
            </w:r>
            <w:r>
              <w:rPr>
                <w:b w:val="0"/>
              </w:rPr>
              <w:t>School readiness programmes should be implemented continuously.</w:t>
            </w:r>
          </w:p>
          <w:p>
            <w:pPr>
              <w:spacing w:after="60"/>
              <w:ind w:left="360" w:hanging="259"/>
              <w:jc w:val="both"/>
            </w:pPr>
            <w:r>
              <w:rPr>
                <w:b w:val="0"/>
              </w:rPr>
              <w:t xml:space="preserve">•  </w:t>
            </w:r>
            <w:r>
              <w:rPr>
                <w:b w:val="0"/>
              </w:rPr>
              <w:t>Comprehensive training should be provided to teachers.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Kumta's study on the impact of Anganwadi education on the Vidya Pravesh programme documents the value of early childhood education for school readiness in Class 1. Vidya Pravesh, introduced in line with NEP 2020, enhances school readiness through play-based, activity-based and experiential learning. The study drew a sample from five taluks, Karwar, Ankola, Kumta, Honnavar and Bhatkal, comprising 50 Anganwadi teachers, 50 Vidya Pravesh teachers and 372 students. Tools included teacher questionnaires, student observation schedules, interviews and document analysis, examining language, numeracy, social adjustment, self-management and classroom participation.</w:t>
            </w:r>
          </w:p>
          <w:p>
            <w:pPr>
              <w:spacing w:after="60"/>
              <w:jc w:val="both"/>
            </w:pPr>
            <w:r>
              <w:rPr>
                <w:b w:val="0"/>
              </w:rPr>
              <w:t>The findings are encouraging. A majority of the 372 students achieved satisfactory levels of school readiness. About eighty-five per cent of teachers agreed that Anganwadi education positively supported Vidya Pravesh, and around eighty per cent of students showed improvement in language and numeracy activities. Students also showed greater self-confidence, social adjustment, positive attitudes towards school and classroom participation, and greater parental involvement was observed.</w:t>
            </w:r>
          </w:p>
          <w:p>
            <w:pPr>
              <w:spacing w:after="60"/>
              <w:jc w:val="both"/>
            </w:pPr>
            <w:r>
              <w:rPr>
                <w:b w:val="0"/>
              </w:rPr>
              <w:t>The practice of linking Anganwadi pre-school education with Vidya Pravesh is sustainable because it builds on two existing programmes of the Women and Child Development and School Education departments. It is replicable statewide. It is scalable through joint planning between the two departments. It is monitorable through school-readiness observation across the five dimensions used in this study. The study recommends stronger coordination and regular joint meetings between Anganwadi centres and primary schools, continuous school readiness programmes, teacher training, parent awareness programmes and continuous assessment of school readiness, a model of inter-departmental convergence for early learning.</w:t>
            </w:r>
          </w:p>
        </w:tc>
      </w:tr>
    </w:tbl>
    <w:p>
      <w:pPr>
        <w:spacing w:after="120" w:before="160"/>
      </w:pPr>
      <w:r>
        <w:rPr>
          <w:b/>
          <w:i w:val="0"/>
          <w:sz w:val="24"/>
          <w:u w:val="none"/>
        </w:rPr>
        <w:t>References</w:t>
      </w:r>
    </w:p>
    <w:p>
      <w:pPr>
        <w:spacing w:after="60" w:before="0"/>
        <w:ind w:left="576" w:hanging="576"/>
        <w:jc w:val="both"/>
      </w:pPr>
      <w:r>
        <w:rPr>
          <w:b w:val="0"/>
          <w:i w:val="0"/>
          <w:u w:val="none"/>
        </w:rPr>
        <w:t>DIET Kumta (Uttara Kannada) (2025-26). A study of the impact of Anganwadi Education on the implementation of Vidyapravesh Programme for students of first standard in Uttara Kannada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100</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Kumta (Uttara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Sambhrama Shanivara (bag-less day)</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Kumta (Uttara Kannada)'s study “A Study on the Implementation of Celebration of Sambhrama Saturday Programme in Government Primary Schools of Uttara Kannada District” (2024-25). Only 63–sixty-seven per cent of headmasters and teachers clearly understand objectives; fifty-one per cent cite documentation burden; forty per cent of schools report resource shortages; fifty per cent coordination challenges.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Implementation support; systematic resource allocation; teacher capacity building; stronger school–community partnerships; reduced documentation.</w:t>
            </w:r>
          </w:p>
          <w:p>
            <w:pPr>
              <w:spacing w:after="60"/>
              <w:ind w:left="360" w:hanging="259"/>
              <w:jc w:val="both"/>
            </w:pPr>
            <w:r>
              <w:rPr>
                <w:b w:val="0"/>
              </w:rPr>
              <w:t xml:space="preserve">•  </w:t>
            </w:r>
            <w:r>
              <w:rPr>
                <w:b w:val="0"/>
              </w:rPr>
              <w:t>Need for sustained professional development to equip teachers with skills for facilitating experiential learning activities.</w:t>
            </w:r>
          </w:p>
          <w:p>
            <w:pPr>
              <w:spacing w:after="60"/>
              <w:ind w:left="360" w:hanging="259"/>
              <w:jc w:val="both"/>
            </w:pPr>
            <w:r>
              <w:rPr>
                <w:b w:val="0"/>
              </w:rPr>
              <w:t xml:space="preserve">•  </w:t>
            </w:r>
            <w:r>
              <w:rPr>
                <w:b w:val="0"/>
              </w:rPr>
              <w:t>Potential to strengthen school-community partnerships through parental involvement and local resource person engagement.</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Kumta's study on the Sambhrama Saturday (Celebration Saturday) programme in government primary schools documents a statewide initiative that replaces Saturday classroom teaching on 10 designated Saturdays with co-curricular and experiential activities for children aged 6–14, sports, yoga, cultural programmes, art and craft, storytelling and educational games. The study used a descriptive mixed-methods survey with stratified random sampling of 20 schools from five taluks.</w:t>
            </w:r>
          </w:p>
          <w:p>
            <w:pPr>
              <w:spacing w:after="60"/>
              <w:jc w:val="both"/>
            </w:pPr>
            <w:r>
              <w:rPr>
                <w:b w:val="0"/>
              </w:rPr>
              <w:t>The findings show good reach and student response. Ninety per cent of stakeholders acknowledged receiving programme information, and 63–sixty-seven per cent of headmasters and teachers showed clear understanding of the objectives. Administrative officers showed 69–seventy-three per cent clarity about coordination responsibilities. Active and enthusiastic participation was reported by 66.36 per cent of students, and sports was mentioned by sixty per cent as a popular activity.</w:t>
            </w:r>
          </w:p>
          <w:p>
            <w:pPr>
              <w:spacing w:after="60"/>
              <w:jc w:val="both"/>
            </w:pPr>
            <w:r>
              <w:rPr>
                <w:b w:val="0"/>
              </w:rPr>
              <w:t>The programme is sustainable because it is embedded in the school calendar through departmental instruction. It is replicable in every school. It is scalable through implementation support and capacity building. It is monitorable through awareness, participation and coordination indicators, as measured here across headmasters, teachers, students and officers. The study identified gaps between policy design and ground-level execution, resource shortages in forty per cent of schools, time management difficulties for 35–forty per cent of teachers, documentation burden reported by fifty-one per cent of respondents and coordination challenges in fifty per cent of schools. It recommends implementation support, systematic resource allocation, teacher capacity building and stronger school–community partnerships, which would allow more students to participate as enthusiastically as the two-thirds already doing so.</w:t>
            </w:r>
          </w:p>
        </w:tc>
      </w:tr>
    </w:tbl>
    <w:p>
      <w:pPr>
        <w:spacing w:after="120" w:before="160"/>
      </w:pPr>
      <w:r>
        <w:rPr>
          <w:b/>
          <w:i w:val="0"/>
          <w:sz w:val="24"/>
          <w:u w:val="none"/>
        </w:rPr>
        <w:t>References</w:t>
      </w:r>
    </w:p>
    <w:p>
      <w:pPr>
        <w:spacing w:after="60" w:before="0"/>
        <w:ind w:left="576" w:hanging="576"/>
        <w:jc w:val="both"/>
      </w:pPr>
      <w:r>
        <w:rPr>
          <w:b w:val="0"/>
          <w:i w:val="0"/>
          <w:u w:val="none"/>
        </w:rPr>
        <w:t>DIET Kumta (Uttara Kannada) (2024-25). A Study on the Implementation of Celebration of Sambhrama Saturday Programme in Government Primary Schools of Uttara Kannada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101</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Kumta (Uttara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Value education and life skills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Kumta (Uttara Kannada)'s study “A Study on the Present Status of Value Education Teaching in Government Higher Primary Schools of Uttar Kannada District” (2025-26) and DIET Kumta (Uttara Kannada)'s study “A Study on the Status of Implementation of Sachetana Programme Morning Assembly Activities in Primary Schools of Uttara Kannada District” (2025-26). No teachers exclusively designated for value education; time constraints, workload, large classes and lack of training; time constraints for Sachetana assemblies.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Dedicated timetable period for value education; teacher training; activity-based methods; school–home–community collaboration; continuous assessment through behaviour observation; orientation and documentation for Sachetana.</w:t>
            </w:r>
          </w:p>
          <w:p>
            <w:pPr>
              <w:spacing w:after="60"/>
              <w:ind w:left="360" w:hanging="259"/>
              <w:jc w:val="both"/>
            </w:pPr>
            <w:r>
              <w:rPr>
                <w:b w:val="0"/>
              </w:rPr>
              <w:t xml:space="preserve">•  </w:t>
            </w:r>
            <w:r>
              <w:rPr>
                <w:b w:val="0"/>
              </w:rPr>
              <w:t>A separate and regular period should be included in the school timetable for value education.</w:t>
            </w:r>
          </w:p>
          <w:p>
            <w:pPr>
              <w:spacing w:after="60"/>
              <w:ind w:left="360" w:hanging="259"/>
              <w:jc w:val="both"/>
            </w:pPr>
            <w:r>
              <w:rPr>
                <w:b w:val="0"/>
              </w:rPr>
              <w:t xml:space="preserve">•  </w:t>
            </w:r>
            <w:r>
              <w:rPr>
                <w:b w:val="0"/>
              </w:rPr>
              <w:t>Regular training programmes, workshops, and orientation programmes should be organized to enhance teachers’ knowledge, skills, and competencies in teaching value education effectively.</w:t>
            </w:r>
          </w:p>
          <w:p>
            <w:pPr>
              <w:spacing w:after="60"/>
              <w:ind w:left="360" w:hanging="259"/>
              <w:jc w:val="both"/>
            </w:pPr>
            <w:r>
              <w:rPr>
                <w:b w:val="0"/>
              </w:rPr>
              <w:t xml:space="preserve">•  </w:t>
            </w:r>
            <w:r>
              <w:rPr>
                <w:b w:val="0"/>
              </w:rPr>
              <w:t>Value education should be taught through activity-based methods such as storytelling, drama, role play, group discussions, sharing of life experiences, and the use of audio-visual aids to make learning meaningful and engaging.</w:t>
            </w:r>
          </w:p>
          <w:p>
            <w:pPr>
              <w:spacing w:after="60"/>
              <w:ind w:left="360" w:hanging="259"/>
              <w:jc w:val="both"/>
            </w:pPr>
            <w:r>
              <w:rPr>
                <w:b w:val="0"/>
              </w:rPr>
              <w:t xml:space="preserve">•  </w:t>
            </w:r>
            <w:r>
              <w:rPr>
                <w:b w:val="0"/>
              </w:rPr>
              <w:t>Integration of Values into the Curriculum Value education should be integrated across all subjects so that values are embedded naturally within the curriculum and learning experiences.</w:t>
            </w:r>
          </w:p>
          <w:p>
            <w:pPr>
              <w:spacing w:after="60"/>
              <w:ind w:left="360" w:hanging="259"/>
              <w:jc w:val="both"/>
            </w:pPr>
            <w:r>
              <w:rPr>
                <w:b w:val="0"/>
              </w:rPr>
              <w:t xml:space="preserve">•  </w:t>
            </w:r>
            <w:r>
              <w:rPr>
                <w:b w:val="0"/>
              </w:rPr>
              <w:t>Strengthening School–Home Collaboration Schools should strengthen cooperation with parents through parent meetings, interactions, and awareness programmes to ensure consistent value reinforcement at home and school.</w:t>
            </w:r>
          </w:p>
          <w:p>
            <w:pPr>
              <w:spacing w:after="60"/>
              <w:ind w:left="360" w:hanging="259"/>
              <w:jc w:val="both"/>
            </w:pPr>
            <w:r>
              <w:rPr>
                <w:b w:val="0"/>
              </w:rPr>
              <w:t xml:space="preserve">•  </w:t>
            </w:r>
            <w:r>
              <w:rPr>
                <w:b w:val="0"/>
              </w:rPr>
              <w:t>Involvement of SDMC and the Local Community Members of the School Development and Monitoring Committee (SDMC) and other community resource persons should be actively involved in value education programmes and activities.</w:t>
            </w:r>
          </w:p>
          <w:p>
            <w:pPr>
              <w:spacing w:after="60"/>
              <w:ind w:left="360" w:hanging="259"/>
              <w:jc w:val="both"/>
            </w:pPr>
            <w:r>
              <w:rPr>
                <w:b w:val="0"/>
              </w:rPr>
              <w:t xml:space="preserve">•  </w:t>
            </w:r>
            <w:r>
              <w:rPr>
                <w:b w:val="0"/>
              </w:rPr>
              <w:t>Students should be given opportunities to participate in service activities, community-oriented programmes, and real-life experiences that promote the practice of values in everyday life.</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Two DIET Kumta studies document value education and the Sachetana morning assembly programme as practices that build students' character, confidence and leadership. The value education study covered 25 schools across five taluks (12 urban, 13 rural), with validated questionnaires for teachers, students and parents and focus group discussions. The Sachetana study, on a school improvement initiative of Samagra Shikshana Karnataka with Mantra4Change, covered 25 head teachers, 25 teachers, 250 students, 25 parents and 10 CRPs/BRC officials, with questionnaires and observation of assemblies.</w:t>
            </w:r>
          </w:p>
          <w:p>
            <w:pPr>
              <w:spacing w:after="60"/>
              <w:jc w:val="both"/>
            </w:pPr>
            <w:r>
              <w:rPr>
                <w:b w:val="0"/>
              </w:rPr>
              <w:t>Value education was being imparted, mostly integrated into other subjects and activities. Teachers recognised its importance and used storytelling, examples, prayer assemblies and co-curricular activities. Students reported positive effects on behaviour, discipline and peer relationships, and parents and SDMC members strongly supported value education. In the Sachetana study, most schools conducted activities regularly during morning assemblies, with satisfactory participation and active teacher support; head teachers planned and monitored, CRPs guided, and parents were positive. Students showed improved confidence, communication and leadership, and assemblies became more activity-based and student-centred.</w:t>
            </w:r>
          </w:p>
          <w:p>
            <w:pPr>
              <w:spacing w:after="60"/>
              <w:jc w:val="both"/>
            </w:pPr>
            <w:r>
              <w:rPr>
                <w:b w:val="0"/>
              </w:rPr>
              <w:t>These practices are sustainable because they use existing assemblies and lessons. They are replicable statewide, Sachetana is an SSK programme. They are scalable through teacher orientation and documentation of innovative practices. They are monitorable through observation of assemblies and student behaviour. The studies recommend a dedicated timetable period for value education, regular training, activity-based methods, school–home–community collaboration, continuous assessment through observation of behaviour, documentation of innovative assembly practices, parental participation and stronger CRP and BRC monitoring.</w:t>
            </w:r>
          </w:p>
        </w:tc>
      </w:tr>
    </w:tbl>
    <w:p>
      <w:pPr>
        <w:spacing w:after="120" w:before="160"/>
      </w:pPr>
      <w:r>
        <w:rPr>
          <w:b/>
          <w:i w:val="0"/>
          <w:sz w:val="24"/>
          <w:u w:val="none"/>
        </w:rPr>
        <w:t>References</w:t>
      </w:r>
    </w:p>
    <w:p>
      <w:pPr>
        <w:spacing w:after="60" w:before="0"/>
        <w:ind w:left="576" w:hanging="576"/>
        <w:jc w:val="both"/>
      </w:pPr>
      <w:r>
        <w:rPr>
          <w:b w:val="0"/>
          <w:i w:val="0"/>
          <w:u w:val="none"/>
        </w:rPr>
        <w:t>DIET Kumta (Uttara Kannada) (2025-26). A Study on the Present Status of Value Education Teaching in Government Higher Primary Schools of Uttar Kannada District; DIET Kumta (Uttara Kannada) (2025-26). A Study on the Status of Implementation of Sachetana Programme Morning Assembly Activities in Primary Schools of Uttara Kannada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102</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Kumta (Uttara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Use of ICT labs, TALP and smart classes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Kumta (Uttara Kannada)'s study “A study on the effective use of SMART classrooms in the classroom process of Social Science subject in government high schools of Uttara Kannada district” (2025-26). Six per cent of stakeholders uncooperative in smart classroom use; teachers need training to use tools effectively in Social Science.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Train Social Science teachers; incorporate pictures, video clips, maps and presentations; quizzes, interactive apps and game-based learning; digital assessment.</w:t>
            </w:r>
          </w:p>
          <w:p>
            <w:pPr>
              <w:spacing w:after="60"/>
              <w:ind w:left="360" w:hanging="259"/>
              <w:jc w:val="both"/>
            </w:pPr>
            <w:r>
              <w:rPr>
                <w:b w:val="0"/>
              </w:rPr>
              <w:t xml:space="preserve">•  </w:t>
            </w:r>
            <w:r>
              <w:rPr>
                <w:b w:val="0"/>
              </w:rPr>
              <w:t>Social science teachers should be trained to use smart classroom tools effectively in relation to research topics, so that lessons become lively, engaging and student-centered.</w:t>
            </w:r>
          </w:p>
          <w:p>
            <w:pPr>
              <w:spacing w:after="60"/>
              <w:ind w:left="360" w:hanging="259"/>
              <w:jc w:val="both"/>
            </w:pPr>
            <w:r>
              <w:rPr>
                <w:b w:val="0"/>
              </w:rPr>
              <w:t xml:space="preserve">•  </w:t>
            </w:r>
            <w:r>
              <w:rPr>
                <w:b w:val="0"/>
              </w:rPr>
              <w:t>Active participation of students should be encouraged through quizzes, interactive apps, and games-based learning in smart classrooms.</w:t>
            </w:r>
          </w:p>
          <w:p>
            <w:pPr>
              <w:spacing w:after="60"/>
              <w:ind w:left="360" w:hanging="259"/>
              <w:jc w:val="both"/>
            </w:pPr>
            <w:r>
              <w:rPr>
                <w:b w:val="0"/>
              </w:rPr>
              <w:t xml:space="preserve">•  </w:t>
            </w:r>
            <w:r>
              <w:rPr>
                <w:b w:val="0"/>
              </w:rPr>
              <w:t>Technologies should also be used in the evaluation of student learning through digital methods like online quizzes, feedback systems, and assessments.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Kumta's study on smart classrooms in Social Science teaching in government high schools documents cooperative use of the digital resources the government supplies. Computers, projectors, laptops and e-content are provided to government high schools and teachers are periodically trained; the study asked how well these are used in Social Science (Classes 8–10). It selected 15 high schools and collected data from head teachers, Social Science teachers, two co-teachers per school, students and taluk-level STF members through questionnaires, interviews, observation and document verification.</w:t>
            </w:r>
          </w:p>
          <w:p>
            <w:pPr>
              <w:spacing w:after="60"/>
              <w:jc w:val="both"/>
            </w:pPr>
            <w:r>
              <w:rPr>
                <w:b w:val="0"/>
              </w:rPr>
              <w:t>The findings show broad cooperation. Fifty-one per cent of stakeholders showed strong cooperation in using smart classrooms for curricular and co-curricular activities, twenty-three per cent agreed and twenty per cent agreed to some extent, ninety-four per cent overall showing some level of cooperation. The involvement of head teachers, co-teachers and Social Science teachers together reflects shared responsibility for managing the smart classroom.</w:t>
            </w:r>
          </w:p>
          <w:p>
            <w:pPr>
              <w:spacing w:after="60"/>
              <w:jc w:val="both"/>
            </w:pPr>
            <w:r>
              <w:rPr>
                <w:b w:val="0"/>
              </w:rPr>
              <w:t>The practice of collaborative smart classroom management is sustainable because it shares responsibility among staff and uses equipment already supplied. It is replicable in all high schools with smart classrooms. It is scalable through subject-specific training for Social Science teachers. It is monitorable through records of smart classroom use for curricular and co-curricular activities and observation of lessons. The study recommends training Social Science teachers to use smart classroom tools effectively; incorporating pictures, video clips, maps and digital presentations into lesson plans; encouraging participation through quizzes, interactive apps and game-based learning; and using online quizzes and feedback systems for assessment, steps that would make Social Science lessons more visual and interactive.</w:t>
            </w:r>
          </w:p>
        </w:tc>
      </w:tr>
    </w:tbl>
    <w:p>
      <w:pPr>
        <w:spacing w:after="120" w:before="160"/>
      </w:pPr>
      <w:r>
        <w:rPr>
          <w:b/>
          <w:i w:val="0"/>
          <w:sz w:val="24"/>
          <w:u w:val="none"/>
        </w:rPr>
        <w:t>References</w:t>
      </w:r>
    </w:p>
    <w:p>
      <w:pPr>
        <w:spacing w:after="60" w:before="0"/>
        <w:ind w:left="576" w:hanging="576"/>
        <w:jc w:val="both"/>
      </w:pPr>
      <w:r>
        <w:rPr>
          <w:b w:val="0"/>
          <w:i w:val="0"/>
          <w:u w:val="none"/>
        </w:rPr>
        <w:t>DIET Kumta (Uttara Kannada) (2025-26). A study on the effective use of SMART classrooms in the classroom process of Social Science subject in government high schools of Uttara Kannada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103</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Kumta (Uttara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Skill education (NSQF) and 21st-century skills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Kumta (Uttara Kannada)'s study “A Study on the Implementation Status of the NSQF Program in Government High Schools of Uttara Kannada District” (2024-25). Modest NSQF enrolment; rural constraints in infrastructure, maintenance and consumables; lack of sector-specific infrastructure; shortage of qualified vocational instructors.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Policies on infrastructure norms, instructor recruitment and training, industry partnerships and funding; student awareness and counselling.</w:t>
            </w:r>
          </w:p>
          <w:p>
            <w:pPr>
              <w:spacing w:after="60"/>
              <w:ind w:left="360" w:hanging="259"/>
              <w:jc w:val="both"/>
            </w:pPr>
            <w:r>
              <w:rPr>
                <w:b w:val="0"/>
              </w:rPr>
              <w:t xml:space="preserve">•  </w:t>
            </w:r>
            <w:r>
              <w:rPr>
                <w:b w:val="0"/>
              </w:rPr>
              <w:t>State-level policies must recognize vocational education as integral component of secondary education rather than supplementary offering.</w:t>
            </w:r>
          </w:p>
          <w:p>
            <w:pPr>
              <w:spacing w:after="60"/>
              <w:ind w:left="360" w:hanging="259"/>
              <w:jc w:val="both"/>
            </w:pPr>
            <w:r>
              <w:rPr>
                <w:b w:val="0"/>
              </w:rPr>
              <w:t xml:space="preserve">•  </w:t>
            </w:r>
            <w:r>
              <w:rPr>
                <w:b w:val="0"/>
              </w:rPr>
              <w:t>Policy frameworks should ensure equity in access across socioeconomic groups, establish clear pathways for both employment and higher education, and create enabling environments for industry engagement in skills development.</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Kumta's study on NSQF implementation in government high schools of Uttara Kannada documents vocational education as an alternative pathway to livelihood security for government school students. NSQF integrates vocational training with the academic curriculum, enabling students in Grades 9–12 to gain industry-recognised skill certifications. The study used a descriptive mixed-methods survey, purposively selecting implementing schools across taluks to represent diverse courses, implementation durations and urban, rural and coastal contexts.</w:t>
            </w:r>
          </w:p>
          <w:p>
            <w:pPr>
              <w:spacing w:after="60"/>
              <w:jc w:val="both"/>
            </w:pPr>
            <w:r>
              <w:rPr>
                <w:b w:val="0"/>
              </w:rPr>
              <w:t>The study found NSQF programmes operational in select schools, with course offerings concentrated in information technology, retail and agriculture, sectors relevant to the district's economy. Urban schools generally had better facilities, showing what well-supported implementation looks like. By examining infrastructure, courses, enrolment, instructor qualifications, teaching methods, assessment and industry linkages together, the study provides a complete implementation review.</w:t>
            </w:r>
          </w:p>
          <w:p>
            <w:pPr>
              <w:spacing w:after="60"/>
              <w:jc w:val="both"/>
            </w:pPr>
            <w:r>
              <w:rPr>
                <w:b w:val="0"/>
              </w:rPr>
              <w:t>NSQF is sustainable as a national framework with dedicated funding. It is replicable across all government high schools. It is scalable with attention to rural infrastructure and qualified instructors. It is monitorable through enrolment, completion, certification and infrastructure indicators. The study identifies what is needed to realise NSQF's potential: enrolment remained modest, pointing to the need for student awareness and counselling; rural schools faced constraints in infrastructure, maintenance and consumables; many schools lacked sector-specific infrastructure; and qualified vocational instructors were a critical gap. It calls for policies on infrastructure norms, instructor recruitment and training, industry partnerships and adequate funding, measures that would extend the benefits of skill education to more students, in line with the Viksit Karnataka objective of employment and skills.</w:t>
            </w:r>
          </w:p>
        </w:tc>
      </w:tr>
    </w:tbl>
    <w:p>
      <w:pPr>
        <w:spacing w:after="120" w:before="160"/>
      </w:pPr>
      <w:r>
        <w:rPr>
          <w:b/>
          <w:i w:val="0"/>
          <w:sz w:val="24"/>
          <w:u w:val="none"/>
        </w:rPr>
        <w:t>References</w:t>
      </w:r>
    </w:p>
    <w:p>
      <w:pPr>
        <w:spacing w:after="60" w:before="0"/>
        <w:ind w:left="576" w:hanging="576"/>
        <w:jc w:val="both"/>
      </w:pPr>
      <w:r>
        <w:rPr>
          <w:b w:val="0"/>
          <w:i w:val="0"/>
          <w:u w:val="none"/>
        </w:rPr>
        <w:t>DIET Kumta (Uttara Kannada) (2024-25). A Study on the Implementation Status of the NSQF Program in Government High Schools of Uttara Kannada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104</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Kumta (Uttara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Teachers' creation and use of digital resources (e-content)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Kumta (Uttara Kannada)'s study “A Study on the Use and Effectiveness of QR Codes in Textbooks by Students, Teachers, and Parents in Government High Schools of Uttara Kannada District” (2024-25). Access to QR content varies; many rural students share family smartphones, limiting independent access.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Ensure equitable access, teacher preparedness, content quality and sustainable support for digital textbook resources.</w:t>
            </w:r>
          </w:p>
          <w:p>
            <w:pPr>
              <w:spacing w:after="60"/>
              <w:ind w:left="360" w:hanging="259"/>
              <w:jc w:val="both"/>
            </w:pPr>
            <w:r>
              <w:rPr>
                <w:b w:val="0"/>
              </w:rPr>
              <w:t xml:space="preserve">•  </w:t>
            </w:r>
            <w:r>
              <w:rPr>
                <w:b w:val="0"/>
              </w:rPr>
              <w:t>Policies must acknowledge and address the digital divide, preventing technology initiatives from inadvertently widening educational inequalities.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Kumta's study on QR codes in textbooks ('Energized Textbooks') documents how digital content linked to printed books is enriching learning in government high schools. QR codes give students instant access to videos, animations, interactive exercises and supplementary materials, in line with NEP 2020. The study used a mixed-methods descriptive survey of purposively selected high schools across taluks in rural and urban contexts, covering students, teachers and parents.</w:t>
            </w:r>
          </w:p>
          <w:p>
            <w:pPr>
              <w:spacing w:after="60"/>
              <w:jc w:val="both"/>
            </w:pPr>
            <w:r>
              <w:rPr>
                <w:b w:val="0"/>
              </w:rPr>
              <w:t>The findings show strong awareness and clear learning benefits. Awareness of QR codes was generally high among teachers and students. Usage was higher in Science and Mathematics, and video content was the most popular. Teachers used the resources mainly for concept explanation and demonstration. Students who regularly accessed the resources reported better understanding of complex concepts through visual demonstrations and animations, and teachers observed increased engagement when multimedia was incorporated into lessons.</w:t>
            </w:r>
          </w:p>
          <w:p>
            <w:pPr>
              <w:spacing w:after="60"/>
              <w:jc w:val="both"/>
            </w:pPr>
            <w:r>
              <w:rPr>
                <w:b w:val="0"/>
              </w:rPr>
              <w:t>The practice is sustainable because QR codes are printed in textbooks and content can be updated centrally without reprinting. It is replicable statewide, as all government textbooks carry QR codes. It is scalable through teacher integration of QR content in lessons and school-level access points for students without smartphones. It is monitorable through usage surveys by subject, location and access mode. The study found that smartphone availability was a critical factor: urban students had higher access, while many rural students shared family phones. It concludes that digital learning policies must go beyond technology provision to ensure equitable access, teacher preparedness, content quality and sustainable support, so that initiatives such as QR-linked textbooks do not widen inequalities but extend their benefits to all students.</w:t>
            </w:r>
          </w:p>
        </w:tc>
      </w:tr>
    </w:tbl>
    <w:p>
      <w:pPr>
        <w:spacing w:after="120" w:before="160"/>
      </w:pPr>
      <w:r>
        <w:rPr>
          <w:b/>
          <w:i w:val="0"/>
          <w:sz w:val="24"/>
          <w:u w:val="none"/>
        </w:rPr>
        <w:t>References</w:t>
      </w:r>
    </w:p>
    <w:p>
      <w:pPr>
        <w:spacing w:after="60" w:before="0"/>
        <w:ind w:left="576" w:hanging="576"/>
        <w:jc w:val="both"/>
      </w:pPr>
      <w:r>
        <w:rPr>
          <w:b w:val="0"/>
          <w:i w:val="0"/>
          <w:u w:val="none"/>
        </w:rPr>
        <w:t>DIET Kumta (Uttara Kannada) (2024-25). A Study on the Use and Effectiveness of QR Codes in Textbooks by Students, Teachers, and Parents in Government High Schools of Uttara Kannada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105</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Kumta (Uttara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Inclusive education for children with special needs (CWSN)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Kumta (Uttara Kannada)'s study “A study of the functioning and effectiveness of Special Readiness centers established for children with special needs in Uttara Kannada district” (2025-26) and DIET Kumta (Uttara Kannada)'s study “An Analytical Study of Educational Changes among Students with Special Needs through Inclusive Education in Uttara Kannada District” (2025-26). Attendance at Special Readiness Centres below expectations; facilities fully available only in some; limited resources and support services; teachers seek training.</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Continuous staff training; parent awareness and home visits; supervision; transport; midday meals for distant children; better honoraria; assistive devices; individualised support; monitoring by BIERTs, CRPs and BRCs.</w:t>
            </w:r>
          </w:p>
          <w:p>
            <w:pPr>
              <w:spacing w:after="60"/>
              <w:ind w:left="360" w:hanging="259"/>
              <w:jc w:val="both"/>
            </w:pPr>
            <w:r>
              <w:rPr>
                <w:b w:val="0"/>
              </w:rPr>
              <w:t xml:space="preserve">•  </w:t>
            </w:r>
            <w:r>
              <w:rPr>
                <w:b w:val="0"/>
              </w:rPr>
              <w:t>To improve the effectiveness of Anganwadi centres, it is necessary to provide continuous training and capacity-building programmes for the staff.</w:t>
            </w:r>
          </w:p>
          <w:p>
            <w:pPr>
              <w:spacing w:after="60"/>
              <w:ind w:left="360" w:hanging="259"/>
              <w:jc w:val="both"/>
            </w:pPr>
            <w:r>
              <w:rPr>
                <w:b w:val="0"/>
              </w:rPr>
              <w:t xml:space="preserve">•  </w:t>
            </w:r>
            <w:r>
              <w:rPr>
                <w:b w:val="0"/>
              </w:rPr>
              <w:t>To improve regular attendance of children, awareness should be created among parents and appropriate motivational measures should be undertaken.</w:t>
            </w:r>
          </w:p>
          <w:p>
            <w:pPr>
              <w:spacing w:after="60"/>
              <w:ind w:left="360" w:hanging="259"/>
              <w:jc w:val="both"/>
            </w:pPr>
            <w:r>
              <w:rPr>
                <w:b w:val="0"/>
              </w:rPr>
              <w:t xml:space="preserve">•  </w:t>
            </w:r>
            <w:r>
              <w:rPr>
                <w:b w:val="0"/>
              </w:rPr>
              <w:t>Programmes should be designed to strengthen parent participation and enhance school–home coordination.</w:t>
            </w:r>
          </w:p>
          <w:p>
            <w:pPr>
              <w:spacing w:after="60"/>
              <w:ind w:left="360" w:hanging="259"/>
              <w:jc w:val="both"/>
            </w:pPr>
            <w:r>
              <w:rPr>
                <w:b w:val="0"/>
              </w:rPr>
              <w:t xml:space="preserve">•  </w:t>
            </w:r>
            <w:r>
              <w:rPr>
                <w:b w:val="0"/>
              </w:rPr>
              <w:t>It is essential to establish good communication and a cooperative environment among staff, parents, and supervisory institutions.</w:t>
            </w:r>
          </w:p>
          <w:p>
            <w:pPr>
              <w:spacing w:after="60"/>
              <w:ind w:left="360" w:hanging="259"/>
              <w:jc w:val="both"/>
            </w:pPr>
            <w:r>
              <w:rPr>
                <w:b w:val="0"/>
              </w:rPr>
              <w:t xml:space="preserve">•  </w:t>
            </w:r>
            <w:r>
              <w:rPr>
                <w:b w:val="0"/>
              </w:rPr>
              <w:t>To improve the quality of Anganwadi centres, special attention should be given to staff training, increasing children's attendance, active participation of parents, and effective supervision by B.I.E.R.T.</w:t>
            </w:r>
          </w:p>
          <w:p>
            <w:pPr>
              <w:spacing w:after="60"/>
              <w:ind w:left="360" w:hanging="259"/>
              <w:jc w:val="both"/>
            </w:pPr>
            <w:r>
              <w:rPr>
                <w:b w:val="0"/>
              </w:rPr>
              <w:t xml:space="preserve">•  </w:t>
            </w:r>
            <w:r>
              <w:rPr>
                <w:b w:val="0"/>
              </w:rPr>
              <w:t>Continuous training programmes should be organized to strengthen the capacities of staff, suitable measures should be taken to improve regular attendance of children, active parental participation should be encouraged, and the supervision and guidance provided by B.I.E.R.T. should be strengthened.</w:t>
            </w:r>
          </w:p>
          <w:p>
            <w:pPr>
              <w:spacing w:after="60"/>
              <w:ind w:left="360" w:hanging="259"/>
              <w:jc w:val="both"/>
            </w:pPr>
            <w:r>
              <w:rPr>
                <w:b w:val="0"/>
              </w:rPr>
              <w:t xml:space="preserve">•  </w:t>
            </w:r>
            <w:r>
              <w:rPr>
                <w:b w:val="0"/>
              </w:rPr>
              <w:t>Through the coordinated implementation of these measures, the efficiency and effectiveness of Anganwadi centres can be significantly improved.</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Two DIET Kumta studies document inclusive education and Special Readiness Centres as practices that are bringing children with special needs into mainstream learning. The readiness centre study covered five taluks with five centres, 12 B.I.E.R.T. teachers, five therapists, five ayahs and 64 parents; of 1,141 children with special needs in the district, 95 were centre beneficiaries. The inclusive education study covered 75 schools with 75 students with special needs, 75 teachers, 75 parents and five BIERTs.</w:t>
            </w:r>
          </w:p>
          <w:p>
            <w:pPr>
              <w:spacing w:after="60"/>
              <w:jc w:val="both"/>
            </w:pPr>
            <w:r>
              <w:rPr>
                <w:b w:val="0"/>
              </w:rPr>
              <w:t>The evidence is positive. In readiness centres, therapy and training facilities were available, staff were trained and disability-based activities were conducted. Parents rated staff cooperation with therapists (97.5 per cent), regular daily functioning (ninety-five per cent), therapists' dedication (ninety per cent), mutual respect (eighty-five per cent) and increased trust (72.5 per cent) as very good. Inclusive education contributed to better academic participation and gradual improvement in achievement, greater involvement in activities, peer acceptance, reduced isolation and increased confidence and motivation; a majority of students showed improved attendance, and enrolment, retention and parental participation improved.</w:t>
            </w:r>
          </w:p>
          <w:p>
            <w:pPr>
              <w:spacing w:after="60"/>
              <w:jc w:val="both"/>
            </w:pPr>
            <w:r>
              <w:rPr>
                <w:b w:val="0"/>
              </w:rPr>
              <w:t>These practices are sustainable within the Samagra Shiksha framework. They are replicable statewide. They are scalable through staff training and parent outreach. They are monitorable through attendance, child-wise progress and parent feedback. The studies identify enabling factors, teacher encouragement, individualised attention, peer support, family involvement and accessible resources, and recommend continuous staff training, parent awareness and home visits, stronger supervision, transport, midday meals for distant children, better honoraria, assistive devices and documentation of successful practices.</w:t>
            </w:r>
          </w:p>
        </w:tc>
      </w:tr>
    </w:tbl>
    <w:p>
      <w:pPr>
        <w:spacing w:after="120" w:before="160"/>
      </w:pPr>
      <w:r>
        <w:rPr>
          <w:b/>
          <w:i w:val="0"/>
          <w:sz w:val="24"/>
          <w:u w:val="none"/>
        </w:rPr>
        <w:t>References</w:t>
      </w:r>
    </w:p>
    <w:p>
      <w:pPr>
        <w:spacing w:after="60" w:before="0"/>
        <w:ind w:left="576" w:hanging="576"/>
        <w:jc w:val="both"/>
      </w:pPr>
      <w:r>
        <w:rPr>
          <w:b w:val="0"/>
          <w:i w:val="0"/>
          <w:u w:val="none"/>
        </w:rPr>
        <w:t>DIET Kumta (Uttara Kannada) (2025-26). A study of the functioning and effectiveness of Special Readiness centers established for children with special needs in Uttara Kannada district; DIET Kumta (Uttara Kannada) (2025-26). An Analytical Study of Educational Changes among Students with Special Needs through Inclusive Education in Uttara Kannada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106</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Kumta (Uttara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Physical education, sports and fitness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Kumta (Uttara Kannada)'s study “A Study on the Status of Physical Education Teaching in Government Primary Schools of Uttara Kannada District” (2024-25). Significant shortage of trained PE teachers; gaps in playgrounds, sports equipment and indoor facilities; limited professional development.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Dedicated budgets; teacher recruitment; mandated minimum standards for playgrounds, facilities and teaching resources.</w:t>
            </w:r>
          </w:p>
          <w:p>
            <w:pPr>
              <w:spacing w:after="60"/>
              <w:ind w:left="360" w:hanging="259"/>
              <w:jc w:val="both"/>
            </w:pPr>
            <w:r>
              <w:rPr>
                <w:b w:val="0"/>
              </w:rPr>
              <w:t xml:space="preserve">•  </w:t>
            </w:r>
            <w:r>
              <w:rPr>
                <w:b w:val="0"/>
              </w:rPr>
              <w:t>Policy interventions should address systemic issues including teacher recruitment, training infrastructure, equipment standards, and curriculum implementation frameworks.</w:t>
            </w:r>
          </w:p>
          <w:p>
            <w:pPr>
              <w:spacing w:after="60"/>
              <w:ind w:left="360" w:hanging="259"/>
              <w:jc w:val="both"/>
            </w:pPr>
            <w:r>
              <w:rPr>
                <w:b w:val="0"/>
              </w:rPr>
              <w:t xml:space="preserve">•  </w:t>
            </w:r>
            <w:r>
              <w:rPr>
                <w:b w:val="0"/>
              </w:rPr>
              <w:t>State-level policies should mandate minimum standards for playgrounds, sports facilities, and teaching resources in all government primary schools.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Kumta's study on physical education in government primary schools documents the benefits of quality physical education and what is needed to extend it. State-level data indicate approximately 2,120 physical education teacher posts in government primary schools. The study used a descriptive mixed-methods survey in primary schools across taluks, with physical education teachers, subject teachers, headmasters, Block Education Officers and students.</w:t>
            </w:r>
          </w:p>
          <w:p>
            <w:pPr>
              <w:spacing w:after="60"/>
              <w:jc w:val="both"/>
            </w:pPr>
            <w:r>
              <w:rPr>
                <w:b w:val="0"/>
              </w:rPr>
              <w:t>The study's most important finding for policy is positive: students showed enthusiasm when adequate facilities and quality instruction were provided, and regular participation contributed to improved fitness and better school attendance. Physical education thus supports not only health but also the education system's core goal of keeping children in school. The study's comprehensive coverage of teacher availability, infrastructure, equipment, curriculum, instruction and participation provides a full picture of physical education provision.</w:t>
            </w:r>
          </w:p>
          <w:p>
            <w:pPr>
              <w:spacing w:after="60"/>
              <w:jc w:val="both"/>
            </w:pPr>
            <w:r>
              <w:rPr>
                <w:b w:val="0"/>
              </w:rPr>
              <w:t>The practice of regular, well-taught physical education is sustainable where trained teachers and basic facilities are in place. It is replicable in every primary school. It is scalable through recruitment of PE teachers and training of general teachers. It is monitorable through participation records, fitness measures and attendance. The study identified the conditions limiting wider benefit, a significant shortage of trained physical education teachers, with many schools relying on general teachers; variation in training and limited professional development; and gaps in playgrounds, equipment and indoor facilities. It concludes that physical education requires significant strengthening through dedicated budgets, teacher recruitment and mandated minimum standards for playgrounds, facilities and teaching resources, in line with NEP 2020's vision of holistic education.</w:t>
            </w:r>
          </w:p>
        </w:tc>
      </w:tr>
    </w:tbl>
    <w:p>
      <w:pPr>
        <w:spacing w:after="120" w:before="160"/>
      </w:pPr>
      <w:r>
        <w:rPr>
          <w:b/>
          <w:i w:val="0"/>
          <w:sz w:val="24"/>
          <w:u w:val="none"/>
        </w:rPr>
        <w:t>References</w:t>
      </w:r>
    </w:p>
    <w:p>
      <w:pPr>
        <w:spacing w:after="60" w:before="0"/>
        <w:ind w:left="576" w:hanging="576"/>
        <w:jc w:val="both"/>
      </w:pPr>
      <w:r>
        <w:rPr>
          <w:b w:val="0"/>
          <w:i w:val="0"/>
          <w:u w:val="none"/>
        </w:rPr>
        <w:t>DIET Kumta (Uttara Kannada) (2024-25). A Study on the Status of Physical Education Teaching in Government Primary Schools of Uttara Kannada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107</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Kumta (Uttara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Science laboratories, Atal Tinkering Labs and experiential science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Kumta (Uttara Kannada)'s study “A study on the use of newly established science laboratory learning equipment and its impact on the quality of science learning in Government High Schools of Uttara Kannada Educational District in the year 2024-25” (2025-26). Twenty-nine per cent of schools lack displayed safety instruction boards; fourteen per cent show only partial improvement.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Dedicated laboratory timetable; at least one experiment per chapter; regular teacher training; improved utilities; experiment-based assessment.</w:t>
            </w:r>
          </w:p>
          <w:p>
            <w:pPr>
              <w:spacing w:after="60"/>
              <w:ind w:left="360" w:hanging="259"/>
              <w:jc w:val="both"/>
            </w:pPr>
            <w:r>
              <w:rPr>
                <w:b w:val="0"/>
              </w:rPr>
              <w:t xml:space="preserve">•  </w:t>
            </w:r>
            <w:r>
              <w:rPr>
                <w:b w:val="0"/>
              </w:rPr>
              <w:t>Science lessons should be structured around practical, activity-based learning, with at least one experiment per chapter, textbooks integrated with lab manuals and a dedicated laboratory timetable.</w:t>
            </w:r>
          </w:p>
          <w:p>
            <w:pPr>
              <w:spacing w:after="60"/>
              <w:ind w:left="360" w:hanging="259"/>
              <w:jc w:val="both"/>
            </w:pPr>
            <w:r>
              <w:rPr>
                <w:b w:val="0"/>
              </w:rPr>
              <w:t xml:space="preserve">•  </w:t>
            </w:r>
            <w:r>
              <w:rPr>
                <w:b w:val="0"/>
              </w:rPr>
              <w:t>Experiments based on Uttara Kannada's local ecosystem should be included.</w:t>
            </w:r>
          </w:p>
          <w:p>
            <w:pPr>
              <w:spacing w:after="60"/>
              <w:ind w:left="360" w:hanging="259"/>
              <w:jc w:val="both"/>
            </w:pPr>
            <w:r>
              <w:rPr>
                <w:b w:val="0"/>
              </w:rPr>
              <w:t xml:space="preserve">•  </w:t>
            </w:r>
            <w:r>
              <w:rPr>
                <w:b w:val="0"/>
              </w:rPr>
              <w:t>Regular teacher training and taluk-level science workshops on laboratory use.</w:t>
            </w:r>
          </w:p>
          <w:p>
            <w:pPr>
              <w:spacing w:after="60"/>
              <w:ind w:left="360" w:hanging="259"/>
              <w:jc w:val="both"/>
            </w:pPr>
            <w:r>
              <w:rPr>
                <w:b w:val="0"/>
              </w:rPr>
              <w:t xml:space="preserve">•  </w:t>
            </w:r>
            <w:r>
              <w:rPr>
                <w:b w:val="0"/>
              </w:rPr>
              <w:t>Teaching should follow an Explain–Demonstrate– Experiment–Reflect model with teachers as facilitators.</w:t>
            </w:r>
          </w:p>
          <w:p>
            <w:pPr>
              <w:spacing w:after="60"/>
              <w:ind w:left="360" w:hanging="259"/>
              <w:jc w:val="both"/>
            </w:pPr>
            <w:r>
              <w:rPr>
                <w:b w:val="0"/>
              </w:rPr>
              <w:t xml:space="preserve">•  </w:t>
            </w:r>
            <w:r>
              <w:rPr>
                <w:b w:val="0"/>
              </w:rPr>
              <w:t>Laboratories should have lab sinks, gas/Bunsen burner set- ups, continuous water supply and a dedicated maintenance budget.</w:t>
            </w:r>
          </w:p>
          <w:p>
            <w:pPr>
              <w:spacing w:after="60"/>
              <w:ind w:left="360" w:hanging="259"/>
              <w:jc w:val="both"/>
            </w:pPr>
            <w:r>
              <w:rPr>
                <w:b w:val="0"/>
              </w:rPr>
              <w:t xml:space="preserve">•  </w:t>
            </w:r>
            <w:r>
              <w:rPr>
                <w:b w:val="0"/>
              </w:rPr>
              <w:t>Safety rules should be strictly enforced and safety training conducted.</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Kumta's study on newly established science laboratories in government high schools of the Uttara Kannada educational district documents an exemplary model of laboratory use. In 2024-25, the State established new laboratories equipped with tools, models and chemicals for Physics, Chemistry and Biology in selected high schools. The study conducted an eight-month evaluation survey of seven schools, using questionnaires, interviews with headmasters, laboratory in-charge teachers and students, group discussions and observation checklists, assessing equipment against curriculum learning outcomes for Classes 8–10.</w:t>
            </w:r>
          </w:p>
          <w:p>
            <w:pPr>
              <w:spacing w:after="60"/>
              <w:jc w:val="both"/>
            </w:pPr>
            <w:r>
              <w:rPr>
                <w:b w:val="0"/>
              </w:rPr>
              <w:t>The results show outstanding practice. All schools (100 per cent) maintained laboratory usage registers and stock books, conducted weekly practical lessons, followed safety protocols and allowed students to perform experiments independently. Seventy-one per cent reported adequate laboratory space. In eighty-six per cent of schools, laboratory use clearly improved students' practical learning abilities and significantly enhanced their interest in science, and equipment was fully accessible to all students in eighty-six per cent. Headmasters reported that the laboratories fostered scientific temper, creativity and experimental skills.</w:t>
            </w:r>
          </w:p>
          <w:p>
            <w:pPr>
              <w:spacing w:after="60"/>
              <w:jc w:val="both"/>
            </w:pPr>
            <w:r>
              <w:rPr>
                <w:b w:val="0"/>
              </w:rPr>
              <w:t>The practice is sustainable because registers, weekly practicals and safety protocols are institutional routines. It is replicable in all schools receiving new laboratories. It is scalable as the State extends laboratories to more schools. It is monitorable through usage registers, stock books and student practical skills, the very records these schools maintain. The study recommends a dedicated laboratory timetable, at least one experiment per chapter, regular teacher training, improved laboratory utilities and experiment-based assessment. These Uttara Kannada schools offer a model of how new laboratories should be run.</w:t>
            </w:r>
          </w:p>
        </w:tc>
      </w:tr>
    </w:tbl>
    <w:p>
      <w:pPr>
        <w:spacing w:after="120" w:before="160"/>
      </w:pPr>
      <w:r>
        <w:rPr>
          <w:b/>
          <w:i w:val="0"/>
          <w:sz w:val="24"/>
          <w:u w:val="none"/>
        </w:rPr>
        <w:t>References</w:t>
      </w:r>
    </w:p>
    <w:p>
      <w:pPr>
        <w:spacing w:after="60" w:before="0"/>
        <w:ind w:left="576" w:hanging="576"/>
        <w:jc w:val="both"/>
      </w:pPr>
      <w:r>
        <w:rPr>
          <w:b w:val="0"/>
          <w:i w:val="0"/>
          <w:u w:val="none"/>
        </w:rPr>
        <w:t>DIET Kumta (Uttara Kannada) (2025-26). A study on the use of newly established science laboratory learning equipment and its impact on the quality of science learning in Government High Schools of Uttara Kannada Educational District in the year 2024-25.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108</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Kumta (Uttara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Adolescent development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Kumta (Uttara Kannada)'s study “A Study on the Implementation Status of School Health and Wellness Programme in Government High Schools of Uttara Kannada District” (2024-25) and DIET Kumta (Uttara Kannada)'s study “An Educational Study on the Factors Influencing the Implementation of Adolescent Education for High School Girls and Its Support System in Uttara Kannada Educational District” (2025-26). Yoga and mental health support inadequate; many schools lack health coordinators, first aid, counselling spaces; in sixty-eight per cent of schools only 1–2 adolescent sessions in six months; 65.5 per cent report material shortages.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Minimum health facility standards; health personnel; mental health support; integrate adolescent education into timetable; teacher training; standardised materials; counselling; sanitation and sanitary pads; school–Health Department collaboration.</w:t>
            </w:r>
          </w:p>
          <w:p>
            <w:pPr>
              <w:spacing w:after="60"/>
              <w:ind w:left="360" w:hanging="259"/>
              <w:jc w:val="both"/>
            </w:pPr>
            <w:r>
              <w:rPr>
                <w:b w:val="0"/>
              </w:rPr>
              <w:t xml:space="preserve">•  </w:t>
            </w:r>
            <w:r>
              <w:rPr>
                <w:b w:val="0"/>
              </w:rPr>
              <w:t>Policies must mandate minimum health facility standards, adequate health personnel, systematic health education, mental health support, and strong education-health sector coordination.</w:t>
            </w:r>
          </w:p>
          <w:p>
            <w:pPr>
              <w:spacing w:after="60"/>
              <w:ind w:left="360" w:hanging="259"/>
              <w:jc w:val="both"/>
            </w:pPr>
            <w:r>
              <w:rPr>
                <w:b w:val="0"/>
              </w:rPr>
              <w:t xml:space="preserve">•  </w:t>
            </w:r>
            <w:r>
              <w:rPr>
                <w:b w:val="0"/>
              </w:rPr>
              <w:t>Budget allocations should reflect health program priorities.</w:t>
            </w:r>
          </w:p>
          <w:p>
            <w:pPr>
              <w:spacing w:after="60"/>
              <w:ind w:left="360" w:hanging="259"/>
              <w:jc w:val="both"/>
            </w:pPr>
            <w:r>
              <w:rPr>
                <w:b w:val="0"/>
              </w:rPr>
              <w:t xml:space="preserve">•  </w:t>
            </w:r>
            <w:r>
              <w:rPr>
                <w:b w:val="0"/>
              </w:rPr>
              <w:t>Policy frameworks must move beyond viewing school health as supplementary activity to recognizing it as essential component of holistic education contributing directly to learning outcomes, attendance, and overall student development.</w:t>
            </w:r>
          </w:p>
          <w:p>
            <w:pPr>
              <w:spacing w:after="60"/>
              <w:ind w:left="360" w:hanging="259"/>
              <w:jc w:val="both"/>
            </w:pPr>
            <w:r>
              <w:rPr>
                <w:b w:val="0"/>
              </w:rPr>
              <w:t xml:space="preserve">•  </w:t>
            </w:r>
            <w:r>
              <w:rPr>
                <w:b w:val="0"/>
              </w:rPr>
              <w:t>And Detailed Recommendations Findings Based on Students' Responses.</w:t>
            </w:r>
          </w:p>
          <w:p>
            <w:pPr>
              <w:spacing w:after="60"/>
              <w:ind w:left="360" w:hanging="259"/>
              <w:jc w:val="both"/>
            </w:pPr>
            <w:r>
              <w:rPr>
                <w:b w:val="0"/>
              </w:rPr>
              <w:t xml:space="preserve">•  </w:t>
            </w:r>
            <w:r>
              <w:rPr>
                <w:b w:val="0"/>
              </w:rPr>
              <w:t>A planned schedule and monitoring system are required to ensure 100 per cent participation of all students.</w:t>
            </w:r>
          </w:p>
          <w:p>
            <w:pPr>
              <w:spacing w:after="60"/>
              <w:ind w:left="360" w:hanging="259"/>
              <w:jc w:val="both"/>
            </w:pPr>
            <w:r>
              <w:rPr>
                <w:b w:val="0"/>
              </w:rPr>
              <w:t xml:space="preserve">•  </w:t>
            </w:r>
            <w:r>
              <w:rPr>
                <w:b w:val="0"/>
              </w:rPr>
              <w:t>Greater emphasis should be placed on communication skills, life skills, nutrition, and anemia-related topics in the curriculum.</w:t>
            </w:r>
          </w:p>
          <w:p>
            <w:pPr>
              <w:spacing w:after="60"/>
              <w:ind w:left="360" w:hanging="259"/>
              <w:jc w:val="both"/>
            </w:pPr>
            <w:r>
              <w:rPr>
                <w:b w:val="0"/>
              </w:rPr>
              <w:t xml:space="preserve">•  </w:t>
            </w:r>
            <w:r>
              <w:rPr>
                <w:b w:val="0"/>
              </w:rPr>
              <w:t>Availability of sanitary pads through schools and health and hygiene awareness programs should be strengthened.</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Two DIET Kumta studies document school health and adolescent education practices in high schools. The School Health and Wellness study used a mixed-methods survey of purposively selected high schools, with health coordinators, teachers, PE instructors, health club members, students, parents and health professionals. The adolescent education study selected 20 of 132 government and aided high schools and used questionnaires, rating scales, observation and interactions with headmasters, teachers, students and parents.</w:t>
            </w:r>
          </w:p>
          <w:p>
            <w:pPr>
              <w:spacing w:after="60"/>
              <w:jc w:val="both"/>
            </w:pPr>
            <w:r>
              <w:rPr>
                <w:b w:val="0"/>
              </w:rPr>
              <w:t>Both studies identify strong foundations. Physical education and health screening were relatively well implemented, and basic hygiene facilities were available in most schools. Students responded well to peer education, demonstrations and interactive sessions. In adolescent education, about eighty-nine per cent of students had participated in adolescent and life skills sessions, all teachers (100 per cent) felt adolescent education should be part of the secondary curriculum, and seventy-seven per cent believed menstruation and puberty should be discussed in class. Parents held positive attitudes, and students showed greater confidence and openness.</w:t>
            </w:r>
          </w:p>
          <w:p>
            <w:pPr>
              <w:spacing w:after="60"/>
              <w:jc w:val="both"/>
            </w:pPr>
            <w:r>
              <w:rPr>
                <w:b w:val="0"/>
              </w:rPr>
              <w:t>These practices are sustainable when built into the school timetable and supported by the Health Department. They are replicable statewide under the School Health and Wellness Programme. They are scalable through teacher training and standard materials. They are monitorable through records of screening, sessions held, facilities and student awareness. The studies recommend minimum health facility standards, adequate personnel, systematic health education, mental health support, integrating adolescent education into the timetable, continuous teacher training, standardised materials, counselling, sanitation and sanitary pad provision, and stronger school–Health Department collaboration.</w:t>
            </w:r>
          </w:p>
        </w:tc>
      </w:tr>
    </w:tbl>
    <w:p>
      <w:pPr>
        <w:spacing w:after="120" w:before="160"/>
      </w:pPr>
      <w:r>
        <w:rPr>
          <w:b/>
          <w:i w:val="0"/>
          <w:sz w:val="24"/>
          <w:u w:val="none"/>
        </w:rPr>
        <w:t>References</w:t>
      </w:r>
    </w:p>
    <w:p>
      <w:pPr>
        <w:spacing w:after="60" w:before="0"/>
        <w:ind w:left="576" w:hanging="576"/>
        <w:jc w:val="both"/>
      </w:pPr>
      <w:r>
        <w:rPr>
          <w:b w:val="0"/>
          <w:i w:val="0"/>
          <w:u w:val="none"/>
        </w:rPr>
        <w:t>DIET Kumta (Uttara Kannada) (2024-25). A Study on the Implementation Status of School Health and Wellness Programme in Government High Schools of Uttara Kannada District; DIET Kumta (Uttara Kannada) (2025-26). An Educational Study on the Factors Influencing the Implementation of Adolescent Education for High School Girls and Its Support System in Uttara Kannada Educational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109</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Kumta (Uttara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Environmental awareness and Eco Clubs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Kumta (Uttara Kannada)'s study “A Study on the Effectiveness of the Implementation of Eco Club Programme in Government Higher Primary Schools” (2025-26). Eco Clubs inactive in some schools; lack of time, planning, training, funds and resources.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Active Eco Clubs in every school; curriculum integration; timetable slots; nodal teacher training; project-based learning on local issues; timely support.</w:t>
            </w:r>
          </w:p>
          <w:p>
            <w:pPr>
              <w:spacing w:after="60"/>
              <w:ind w:left="360" w:hanging="259"/>
              <w:jc w:val="both"/>
            </w:pPr>
            <w:r>
              <w:rPr>
                <w:b w:val="0"/>
              </w:rPr>
              <w:t xml:space="preserve">•  </w:t>
            </w:r>
            <w:r>
              <w:rPr>
                <w:b w:val="0"/>
              </w:rPr>
              <w:t>School level recommendations:- 1.</w:t>
            </w:r>
          </w:p>
          <w:p>
            <w:pPr>
              <w:spacing w:after="60"/>
              <w:ind w:left="360" w:hanging="259"/>
              <w:jc w:val="both"/>
            </w:pPr>
            <w:r>
              <w:rPr>
                <w:b w:val="0"/>
              </w:rPr>
              <w:t xml:space="preserve">•  </w:t>
            </w:r>
            <w:r>
              <w:rPr>
                <w:b w:val="0"/>
              </w:rPr>
              <w:t>Ecoclub should be made active in every government primary school.</w:t>
            </w:r>
          </w:p>
          <w:p>
            <w:pPr>
              <w:spacing w:after="60"/>
              <w:ind w:left="360" w:hanging="259"/>
              <w:jc w:val="both"/>
            </w:pPr>
            <w:r>
              <w:rPr>
                <w:b w:val="0"/>
              </w:rPr>
              <w:t xml:space="preserve">•  </w:t>
            </w:r>
            <w:r>
              <w:rPr>
                <w:b w:val="0"/>
              </w:rPr>
              <w:t>Ecoclub activities should be coordinated with the curriculum and emphasis should be placed on activity-based learning.</w:t>
            </w:r>
          </w:p>
          <w:p>
            <w:pPr>
              <w:spacing w:after="60"/>
              <w:ind w:left="360" w:hanging="259"/>
              <w:jc w:val="both"/>
            </w:pPr>
            <w:r>
              <w:rPr>
                <w:b w:val="0"/>
              </w:rPr>
              <w:t xml:space="preserve">•  </w:t>
            </w:r>
            <w:r>
              <w:rPr>
                <w:b w:val="0"/>
              </w:rPr>
              <w:t>A specific time should be allocated for Ecoclub activities in the school timetable.</w:t>
            </w:r>
          </w:p>
          <w:p>
            <w:pPr>
              <w:spacing w:after="60"/>
              <w:ind w:left="360" w:hanging="259"/>
              <w:jc w:val="both"/>
            </w:pPr>
            <w:r>
              <w:rPr>
                <w:b w:val="0"/>
              </w:rPr>
              <w:t xml:space="preserve">•  </w:t>
            </w:r>
            <w:r>
              <w:rPr>
                <w:b w:val="0"/>
              </w:rPr>
              <w:t>Environment Day, Vanamahotsava, Swachhata Abhiyan, Recycling Scheme should be organized regularly to encourage student participation.</w:t>
            </w:r>
          </w:p>
          <w:p>
            <w:pPr>
              <w:spacing w:after="60"/>
              <w:ind w:left="360" w:hanging="259"/>
              <w:jc w:val="both"/>
            </w:pPr>
            <w:r>
              <w:rPr>
                <w:b w:val="0"/>
              </w:rPr>
              <w:t xml:space="preserve">•  </w:t>
            </w:r>
            <w:r>
              <w:rPr>
                <w:b w:val="0"/>
              </w:rPr>
              <w:t>Ecoclub nodal teachers should be provided regular training on environmental education and activity management.</w:t>
            </w:r>
          </w:p>
          <w:p>
            <w:pPr>
              <w:spacing w:after="60"/>
              <w:ind w:left="360" w:hanging="259"/>
              <w:jc w:val="both"/>
            </w:pPr>
            <w:r>
              <w:rPr>
                <w:b w:val="0"/>
              </w:rPr>
              <w:t xml:space="preserve">•  </w:t>
            </w:r>
            <w:r>
              <w:rPr>
                <w:b w:val="0"/>
              </w:rPr>
              <w:t>Observational, questioning, and problem-solving skills should be developed in children through eco-club activities.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Kumta's study on the Eco Club programme in government higher primary schools documents effective environmental education in a district rich in forests and coastline. The study used questionnaires for 20 head teachers and 40 teachers across five taluks and an observation schedule, visiting 25 schools to inspect school environments and programme records against 13 factors.</w:t>
            </w:r>
          </w:p>
          <w:p>
            <w:pPr>
              <w:spacing w:after="60"/>
              <w:jc w:val="both"/>
            </w:pPr>
            <w:r>
              <w:rPr>
                <w:b w:val="0"/>
              </w:rPr>
              <w:t>The findings are positive. Observations yielded 44 ratings of excellent, 129 of good and 86 of average, indicating that the programme was implemented well in most schools, moderately in many and excellently in a few. Eco Clubs functioned in most schools. Teachers reported increased green cover and a more learning-conducive environment, and students showed growing habits of water conservation and cleanliness, with greater environmental awareness.</w:t>
            </w:r>
          </w:p>
          <w:p>
            <w:pPr>
              <w:spacing w:after="60"/>
              <w:jc w:val="both"/>
            </w:pPr>
            <w:r>
              <w:rPr>
                <w:b w:val="0"/>
              </w:rPr>
              <w:t>The practice is sustainable because Eco Club activities, planting, conservation and cleanliness, are low-cost and become school routines. It is replicable in every school and part of national programmes. It is scalable through nodal teacher training and timely support. It is monitorable through the 13-factor observation framework used here, which offers a ready tool for rating Eco Clubs across a district. The study recommends active Eco Clubs in every school, integration with the curriculum, dedicated timetable slots, regular training for nodal teachers, project-based learning on local environmental issues and timely financial and departmental support. These measures contribute directly to the Viksit Karnataka objective of environmental sustainability and climate resilience, nurturing eco-friendly habits in the next generation.</w:t>
            </w:r>
          </w:p>
        </w:tc>
      </w:tr>
    </w:tbl>
    <w:p>
      <w:pPr>
        <w:spacing w:after="120" w:before="160"/>
      </w:pPr>
      <w:r>
        <w:rPr>
          <w:b/>
          <w:i w:val="0"/>
          <w:sz w:val="24"/>
          <w:u w:val="none"/>
        </w:rPr>
        <w:t>References</w:t>
      </w:r>
    </w:p>
    <w:p>
      <w:pPr>
        <w:spacing w:after="60" w:before="0"/>
        <w:ind w:left="576" w:hanging="576"/>
        <w:jc w:val="both"/>
      </w:pPr>
      <w:r>
        <w:rPr>
          <w:b w:val="0"/>
          <w:i w:val="0"/>
          <w:u w:val="none"/>
        </w:rPr>
        <w:t>DIET Kumta (Uttara Kannada) (2025-26). A Study on the Effectiveness of the Implementation of Eco Club Programme in Government Higher Primary Schools.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110</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Kumta (Uttara Kannada)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School quality, leadership and partnerships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Kumta (Uttara Kannada)'s study “A Study on the Impact of Organizational Commitment and Work Values of High School Headmasters on School Leadership in Uttara Kannada District” (2024-25) and DIET Kumta (Uttara Kannada)'s study “A Study on the Participation of NGOs in Strengthening the Academic Development of Government Schools in Uttara Kannada Educational District” (2024-25) and DIET Kumta (Uttara Kannada)'s study “A Study on the Implementation of the P.M. Shri (PMSHRI) Program in Government Primary and High Schools of Uttara Kannada District” (2025-26). Bureaucratic pressures, resource limits and community politics constrain headmasters; NGOs supplied no maths/science kits; separate library rooms under construction in only five PM SHRI schools.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Recognise school leadership as a specialised profession; extend ICT beyond TALP schools; continue vocational guidance; separate library rooms.</w:t>
            </w:r>
          </w:p>
          <w:p>
            <w:pPr>
              <w:spacing w:after="60"/>
              <w:ind w:left="360" w:hanging="259"/>
              <w:jc w:val="both"/>
            </w:pPr>
            <w:r>
              <w:rPr>
                <w:b w:val="0"/>
              </w:rPr>
              <w:t xml:space="preserve">•  </w:t>
            </w:r>
            <w:r>
              <w:rPr>
                <w:b w:val="0"/>
              </w:rPr>
              <w:t>Policies must move beyond viewing headmasters as administrative positions to recognizing them as educational leaders responsible for learning outcomes, instructional quality, and school transformation.</w:t>
            </w:r>
          </w:p>
          <w:p>
            <w:pPr>
              <w:spacing w:after="60"/>
              <w:ind w:left="360" w:hanging="259"/>
              <w:jc w:val="both"/>
            </w:pPr>
            <w:r>
              <w:rPr>
                <w:b w:val="0"/>
              </w:rPr>
              <w:t xml:space="preserve">•  </w:t>
            </w:r>
            <w:r>
              <w:rPr>
                <w:b w:val="0"/>
              </w:rPr>
              <w:t>Subject teachers should receive further ICT training relevant to their subjects, computer availability should be improved relative to student strength, and vocational-guidance and self- learning programmes should be continued and expanded with departmental support.</w:t>
            </w:r>
          </w:p>
          <w:p>
            <w:pPr>
              <w:spacing w:after="60"/>
              <w:ind w:left="360" w:hanging="259"/>
              <w:jc w:val="both"/>
            </w:pPr>
            <w:r>
              <w:rPr>
                <w:b w:val="0"/>
              </w:rPr>
              <w:t xml:space="preserve">•  </w:t>
            </w:r>
            <w:r>
              <w:rPr>
                <w:b w:val="0"/>
              </w:rPr>
              <w:t>According to the analysis, the opinions of all stakeholders are as follows: They opined that this is an excellent scheme to transform schools into model schools by developing basic school infrastructure and providing supportive facilities for quality education.</w:t>
            </w:r>
          </w:p>
          <w:p>
            <w:pPr>
              <w:spacing w:after="60"/>
              <w:ind w:left="360" w:hanging="259"/>
              <w:jc w:val="both"/>
            </w:pPr>
            <w:r>
              <w:rPr>
                <w:b w:val="0"/>
              </w:rPr>
              <w:t xml:space="preserve">•  </w:t>
            </w:r>
            <w:r>
              <w:rPr>
                <w:b w:val="0"/>
              </w:rPr>
              <w:t>An improvement in the quality of learning was observed.</w:t>
            </w:r>
          </w:p>
          <w:p>
            <w:pPr>
              <w:spacing w:after="60"/>
              <w:ind w:left="360" w:hanging="259"/>
              <w:jc w:val="both"/>
            </w:pPr>
            <w:r>
              <w:rPr>
                <w:b w:val="0"/>
              </w:rPr>
              <w:t xml:space="preserve">•  </w:t>
            </w:r>
            <w:r>
              <w:rPr>
                <w:b w:val="0"/>
              </w:rPr>
              <w:t>Students' interest in attending school has increased.</w:t>
            </w:r>
          </w:p>
          <w:p>
            <w:pPr>
              <w:spacing w:after="60"/>
              <w:ind w:left="360" w:hanging="259"/>
              <w:jc w:val="both"/>
            </w:pPr>
            <w:r>
              <w:rPr>
                <w:b w:val="0"/>
              </w:rPr>
              <w:t xml:space="preserve">•  </w:t>
            </w:r>
            <w:r>
              <w:rPr>
                <w:b w:val="0"/>
              </w:rPr>
              <w:t>Since there are provisions to purchase sufficient books for the library, it has helped develop reading skills among children by establishing reading corners.</w:t>
            </w:r>
          </w:p>
          <w:p>
            <w:pPr>
              <w:spacing w:after="60"/>
              <w:ind w:left="360" w:hanging="259"/>
              <w:jc w:val="both"/>
            </w:pPr>
            <w:r>
              <w:rPr>
                <w:b w:val="0"/>
              </w:rPr>
              <w:t xml:space="preserve">•  </w:t>
            </w:r>
            <w:r>
              <w:rPr>
                <w:b w:val="0"/>
              </w:rPr>
              <w:t>Opinions emerged that these schools would develop into model schools and serve as mentor schools for other institutions.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Three DIET Kumta studies document school quality practices: headmasters' commitment and values, NGO partnerships, and the PM SHRI scheme. The leadership study used a correlational survey with qualitative investigation of headmasters across taluks. The NGO study covered 47 upper primary schools in five taluks served by the India Literacy Project, with 200 students, 20 vocational-guidance teachers and 20 head teachers. The PM SHRI study covered nine schools in five taluks with questionnaires and observation.</w:t>
            </w:r>
          </w:p>
          <w:p>
            <w:pPr>
              <w:spacing w:after="60"/>
              <w:jc w:val="both"/>
            </w:pPr>
            <w:r>
              <w:rPr>
                <w:b w:val="0"/>
              </w:rPr>
              <w:t>The leadership study found that affective commitment had the strongest association with leadership effectiveness, most headmasters held strong value orientations towards quality, student welfare and social service, and headmasters whose actions matched their stated values received higher effectiveness ratings. In the NGO partnership, all head teachers reported that vocational-guidance activities made learning more joyful, ninety-five per cent of teachers reported improved teaching methods, all schools received self-learning activity books, and ICT orientation, career charts and self-learning videos improved digital skills and career awareness. PM SHRI was considered an excellent scheme: learning quality and students' interest in attending school improved, sports, art, yoga and environmental education were emphasised, computer and online learning skills increased, reading corners developed reading, green practices, kitchen gardens and solar power were seen, and the rural–urban gap narrowed.</w:t>
            </w:r>
          </w:p>
          <w:p>
            <w:pPr>
              <w:spacing w:after="60"/>
              <w:jc w:val="both"/>
            </w:pPr>
            <w:r>
              <w:rPr>
                <w:b w:val="0"/>
              </w:rPr>
              <w:t>These practices are sustainable through national schemes and partnerships, replicable statewide and monitorable through school indicators. The studies recommend recognising school leadership as a specialised profession, extending ICT beyond TALP schools, continuing vocational guidance, and separate library rooms in all PM SHRI schools.</w:t>
            </w:r>
          </w:p>
        </w:tc>
      </w:tr>
    </w:tbl>
    <w:p>
      <w:pPr>
        <w:spacing w:after="120" w:before="160"/>
      </w:pPr>
      <w:r>
        <w:rPr>
          <w:b/>
          <w:i w:val="0"/>
          <w:sz w:val="24"/>
          <w:u w:val="none"/>
        </w:rPr>
        <w:t>References</w:t>
      </w:r>
    </w:p>
    <w:p>
      <w:pPr>
        <w:spacing w:after="60" w:before="0"/>
        <w:ind w:left="576" w:hanging="576"/>
        <w:jc w:val="both"/>
      </w:pPr>
      <w:r>
        <w:rPr>
          <w:b w:val="0"/>
          <w:i w:val="0"/>
          <w:u w:val="none"/>
        </w:rPr>
        <w:t>DIET Kumta (Uttara Kannada) (2024-25). A Study on the Impact of Organizational Commitment and Work Values of High School Headmasters on School Leadership in Uttara Kannada District; DIET Kumta (Uttara Kannada) (2024-25). A Study on the Participation of NGOs in Strengthening the Academic Development of Government Schools in Uttara Kannada Educational District; DIET Kumta (Uttara Kannada) (2025-26). A Study on the Implementation of the P.M. Shri (PMSHRI) Program in Government Primary and High Schools of Uttara Kannada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111</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Madhugiri</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NMMS scholarship examination and outcomes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Madhugiri's study “Six-Year Study of Educational Achievement of NMMS Scholarship Recipients from 2018-19 Cohort in Madhugiri Educational District” (2024-25). Some delays in NMMS scholarship disbursement were reported.</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Awareness programmes; coaching for competitive examinations; timely disbursement.</w:t>
            </w:r>
          </w:p>
          <w:p>
            <w:pPr>
              <w:spacing w:after="60"/>
              <w:ind w:left="360" w:hanging="259"/>
              <w:jc w:val="both"/>
            </w:pPr>
            <w:r>
              <w:rPr>
                <w:b w:val="0"/>
              </w:rPr>
              <w:t xml:space="preserve">•  </w:t>
            </w:r>
            <w:r>
              <w:rPr>
                <w:b w:val="0"/>
              </w:rPr>
              <w:t>Long-term tracking, mentorship, career counselling and periodic revision of the amount.</w:t>
            </w:r>
          </w:p>
          <w:p>
            <w:pPr>
              <w:spacing w:after="60"/>
              <w:ind w:left="360" w:hanging="259"/>
              <w:jc w:val="both"/>
            </w:pPr>
            <w:r>
              <w:rPr>
                <w:b w:val="0"/>
              </w:rPr>
              <w:t xml:space="preserve">•  </w:t>
            </w:r>
            <w:r>
              <w:rPr>
                <w:b w:val="0"/>
              </w:rPr>
              <w:t>Conduct comprehensive awareness programmes about NMMS at school and community levels.</w:t>
            </w:r>
          </w:p>
          <w:p>
            <w:pPr>
              <w:spacing w:after="60"/>
              <w:ind w:left="360" w:hanging="259"/>
              <w:jc w:val="both"/>
            </w:pPr>
            <w:r>
              <w:rPr>
                <w:b w:val="0"/>
              </w:rPr>
              <w:t xml:space="preserve">•  </w:t>
            </w:r>
            <w:r>
              <w:rPr>
                <w:b w:val="0"/>
              </w:rPr>
              <w:t>Establish specialised coaching/training classes for NMMS recipients preparing for competitive exams.</w:t>
            </w:r>
          </w:p>
          <w:p>
            <w:pPr>
              <w:spacing w:after="60"/>
              <w:ind w:left="360" w:hanging="259"/>
              <w:jc w:val="both"/>
            </w:pPr>
            <w:r>
              <w:rPr>
                <w:b w:val="0"/>
              </w:rPr>
              <w:t xml:space="preserve">•  </w:t>
            </w:r>
            <w:r>
              <w:rPr>
                <w:b w:val="0"/>
              </w:rPr>
              <w:t>Ensure timely scholarship disbursement without delays.</w:t>
            </w:r>
          </w:p>
          <w:p>
            <w:pPr>
              <w:spacing w:after="60"/>
              <w:ind w:left="360" w:hanging="259"/>
              <w:jc w:val="both"/>
            </w:pPr>
            <w:r>
              <w:rPr>
                <w:b w:val="0"/>
              </w:rPr>
              <w:t xml:space="preserve">•  </w:t>
            </w:r>
            <w:r>
              <w:rPr>
                <w:b w:val="0"/>
              </w:rPr>
              <w:t>Strengthen coordination between schools, parents and the education department.</w:t>
            </w:r>
          </w:p>
          <w:p>
            <w:pPr>
              <w:spacing w:after="60"/>
              <w:ind w:left="360" w:hanging="259"/>
              <w:jc w:val="both"/>
            </w:pPr>
            <w:r>
              <w:rPr>
                <w:b w:val="0"/>
              </w:rPr>
              <w:t xml:space="preserve">•  </w:t>
            </w:r>
            <w:r>
              <w:rPr>
                <w:b w:val="0"/>
              </w:rPr>
              <w:t>Provide career counselling and guidance.</w:t>
            </w:r>
          </w:p>
          <w:p>
            <w:pPr>
              <w:spacing w:after="60"/>
              <w:ind w:left="360" w:hanging="259"/>
              <w:jc w:val="both"/>
            </w:pPr>
            <w:r>
              <w:rPr>
                <w:b w:val="0"/>
              </w:rPr>
              <w:t xml:space="preserve">•  </w:t>
            </w:r>
            <w:r>
              <w:rPr>
                <w:b w:val="0"/>
              </w:rPr>
              <w:t>Increase the scholarship amount periodically considering inflation.</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Madhugiri's six-year longitudinal study of NMMS scholarship recipients is itself a best practice in programme evaluation, because it follows the same students over time rather than relying on a one-time snapshot. The study tracked 17 students from Madhugiri Educational District who received the National Means-cum-Merit Scholarship in 2018-19, following them from 2018-19 to 2024-25. Data were collected from students, parents, teachers and headteachers through structured questionnaires, and school records, examination results and scholarship disbursement documentation were analysed. Descriptive statistics were combined with thematic analysis of qualitative responses.</w:t>
            </w:r>
          </w:p>
          <w:p>
            <w:pPr>
              <w:spacing w:after="60"/>
              <w:jc w:val="both"/>
            </w:pPr>
            <w:r>
              <w:rPr>
                <w:b w:val="0"/>
              </w:rPr>
              <w:t>The findings show that the scholarship achieved its purpose of supporting educational continuity for economically disadvantaged talented students. All students (100 per cent) confirmed that the scholarship helped their education, and ninety-four per cent (16 of 17) found the amount beneficial. Fifty-nine per cent were pursuing higher education such as B.Com and B.Sc programmes, and fifty-seven per cent believed the NMMS had helped them prepare for competitive examinations. Parent satisfaction and reported teacher support were both 100 per cent. Qualitatively, the scholarship reduced the financial burden on families and allowed students to focus on their studies.</w:t>
            </w:r>
          </w:p>
          <w:p>
            <w:pPr>
              <w:spacing w:after="60"/>
              <w:jc w:val="both"/>
            </w:pPr>
            <w:r>
              <w:rPr>
                <w:b w:val="0"/>
              </w:rPr>
              <w:t>The tracking approach is sustainable because it uses records that schools and the department already hold and requires only periodic follow-up with students. It is replicable in every educational district, since each year's NMMS merit list provides a ready cohort to follow. It is scalable if DIETs adopt cohort tracking as a standard practice, building a statewide picture of long-term outcomes. It is monitorable through clear indicators: continuation in education, SSLC and PUC performance, entry into higher education, and timeliness of disbursement. The study's recommendations, awareness programmes, coaching for competitive examinations, timely disbursement, mentorship, career counselling and periodic revision of the scholarship amount, can be built directly into such a tracking system.</w:t>
            </w:r>
          </w:p>
        </w:tc>
      </w:tr>
    </w:tbl>
    <w:p>
      <w:pPr>
        <w:spacing w:after="120" w:before="160"/>
      </w:pPr>
      <w:r>
        <w:rPr>
          <w:b/>
          <w:i w:val="0"/>
          <w:sz w:val="24"/>
          <w:u w:val="none"/>
        </w:rPr>
        <w:t>References</w:t>
      </w:r>
    </w:p>
    <w:p>
      <w:pPr>
        <w:spacing w:after="60" w:before="0"/>
        <w:ind w:left="576" w:hanging="576"/>
        <w:jc w:val="both"/>
      </w:pPr>
      <w:r>
        <w:rPr>
          <w:b w:val="0"/>
          <w:i w:val="0"/>
          <w:u w:val="none"/>
        </w:rPr>
        <w:t>DIET Madhugiri (2024-25). Six-Year Study of Educational Achievement of NMMS Scholarship Recipients from 2018-19 Cohort in Madhugiri Educational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112</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THEHRA T</w:t>
            </w:r>
          </w:p>
        </w:tc>
      </w:tr>
      <w:tr>
        <w:tc>
          <w:tcPr>
            <w:tcW w:type="dxa" w:w="3312"/>
            <w:shd w:val="clear" w:color="auto" w:fill="F2F2F2"/>
          </w:tcPr>
          <w:p>
            <w:pPr>
              <w:spacing w:after="0"/>
            </w:pPr>
            <w:r/>
            <w:r>
              <w:rPr>
                <w:b/>
              </w:rPr>
              <w:t>Designation</w:t>
            </w:r>
          </w:p>
        </w:tc>
        <w:tc>
          <w:tcPr>
            <w:tcW w:type="dxa" w:w="5760"/>
          </w:tcPr>
          <w:p>
            <w:pPr>
              <w:spacing w:after="0"/>
            </w:pPr>
            <w:r/>
            <w:r>
              <w:t>Senior 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Mandya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Effect of Sethubandha/FLN programmes on closing FLN and learning-outcome gaps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Mandya's study “The impact of FLN learning on the learning of other subjects among students who have achieved FLN competencies in Classes 6, 7, and 8 in selected schools of Mandya District” (2025-26). Only 41.4 per cent of teachers responded correctly on actions to support FLN competencies, 47.5 per cent on subject-wise foundational competencies and 36.9 per cent on engaging strategies (141 teachers). Students (595) showed deficiencies in creative thinking and writing in Social Science, and in explanation, application and cause-and-effect reasoning in Science.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Remedial, activity-based, experiential and inquiry-based teaching; more opportunities for independent thinking, written expression and observation.</w:t>
            </w:r>
          </w:p>
          <w:p>
            <w:pPr>
              <w:spacing w:after="60"/>
              <w:ind w:left="360" w:hanging="259"/>
              <w:jc w:val="both"/>
            </w:pPr>
            <w:r>
              <w:rPr>
                <w:b w:val="0"/>
              </w:rPr>
              <w:t xml:space="preserve">•  </w:t>
            </w:r>
            <w:r>
              <w:rPr>
                <w:b w:val="0"/>
              </w:rPr>
              <w:t>IThe findings suggest that teachers should provide opportunities for students to think independently and express their ideas in writing, rather than limiting instruction to answers found in the textbook.</w:t>
            </w:r>
          </w:p>
          <w:p>
            <w:pPr>
              <w:spacing w:after="60"/>
              <w:ind w:left="360" w:hanging="259"/>
              <w:jc w:val="both"/>
            </w:pPr>
            <w:r>
              <w:rPr>
                <w:b w:val="0"/>
              </w:rPr>
              <w:t xml:space="preserve">•  </w:t>
            </w:r>
            <w:r>
              <w:rPr>
                <w:b w:val="0"/>
              </w:rPr>
              <w:t>Priority should be given to activities that enable students to identify the scientific principles underlying events in daily life and natural phenomena and write about them in their own words.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Mandya's study on the impact of FLN learning on other subjects among students of Classes 6, 7 and 8 is a best practice in tracking whether foundational gains carry over into the upper primary curriculum. Most FLN evaluations stop at the foundational stage; this study asked what happens afterwards. It analysed the effect of FLN on the achievement, interest, comprehension, problem-solving ability and confidence of students who had achieved FLN competencies, especially in Science and Social Science. Using random sampling, it selected 141 assistant teachers and 595 students (316 boys and 279 girls) from government upper primary and high schools across all eight educational taluks of the district. Questionnaires were administered to Science and Social Science teachers and to students, and the data were analysed using measures of central tendency and percentages.</w:t>
            </w:r>
          </w:p>
          <w:p>
            <w:pPr>
              <w:spacing w:after="60"/>
              <w:jc w:val="both"/>
            </w:pPr>
            <w:r>
              <w:rPr>
                <w:b w:val="0"/>
              </w:rPr>
              <w:t>The study confirmed a key benefit of FLN: students who had achieved FLN competencies participated confidently in classroom activities. It also identified, with precision, where teacher support is needed, only 41.4 per cent of teachers responded correctly about actions to support FLN competencies, 47.5 per cent on subject-wise foundational competencies and 36.9 per cent on engaging teaching strategies, and the specific difficulties students face in Science and Social Science.</w:t>
            </w:r>
          </w:p>
          <w:p>
            <w:pPr>
              <w:spacing w:after="60"/>
              <w:jc w:val="both"/>
            </w:pPr>
            <w:r>
              <w:rPr>
                <w:b w:val="0"/>
              </w:rPr>
              <w:t>The practice of following FLN cohorts into later grades is sustainable because it uses existing school data and simple questionnaires. It is replicable in every district. It is scalable as a regular DIET study linked to SATS. It is monitorable through teachers' knowledge of FLN support strategies and students' performance in subject-specific skills such as explanation, application and written expression. The study recommends remedial, activity-based, experiential and inquiry-based teaching, with greater opportunities for independent thinking, written expression and observation. Acting on these findings would ensure that foundational gains are built upon, not lost, in the upper primary years.</w:t>
            </w:r>
          </w:p>
        </w:tc>
      </w:tr>
    </w:tbl>
    <w:p>
      <w:pPr>
        <w:spacing w:after="120" w:before="160"/>
      </w:pPr>
      <w:r>
        <w:rPr>
          <w:b/>
          <w:i w:val="0"/>
          <w:sz w:val="24"/>
          <w:u w:val="none"/>
        </w:rPr>
        <w:t>References</w:t>
      </w:r>
    </w:p>
    <w:p>
      <w:pPr>
        <w:spacing w:after="60" w:before="0"/>
        <w:ind w:left="576" w:hanging="576"/>
        <w:jc w:val="both"/>
      </w:pPr>
      <w:r>
        <w:rPr>
          <w:b w:val="0"/>
          <w:i w:val="0"/>
          <w:u w:val="none"/>
        </w:rPr>
        <w:t>DIET Mandya (2025-26). The impact of FLN learning on the learning of other subjects among students who have achieved FLN competencies in Classes 6, 7, and 8 in selected schools of Mandya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113</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CHANDRA SHEKHAR G R</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Mandya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Factors behind SSLC results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Mandya's study “An Analytical Study on the Reasons for the Decline in Results in the First Language (Kannada) Subject in the 2024-25 SSLC Examination across Selected Government High Schools in Mandya District” (2025-26). Decline in first-language (Kannada) results in the 2024-25 SSLC examination; declining interest in Kannada and limited mother-tongue use.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Workshops for headmasters, teachers and SDMC members; extend the study to aided/unaided schools.</w:t>
            </w:r>
          </w:p>
          <w:p>
            <w:pPr>
              <w:spacing w:after="60"/>
              <w:ind w:left="360" w:hanging="259"/>
              <w:jc w:val="both"/>
            </w:pPr>
            <w:r>
              <w:rPr>
                <w:b w:val="0"/>
              </w:rPr>
              <w:t xml:space="preserve">•  </w:t>
            </w:r>
            <w:r>
              <w:rPr>
                <w:b w:val="0"/>
              </w:rPr>
              <w:t>Presently a short research study is conducted on 'SSLC 2024-25 in selected Government Fraud Schools of Mandya District.</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Mandya's analytical study on the decline in first-language (Kannada) results in the 2024-25 SSLC examination documents a prompt, evidence-seeking response to a fall in results, itself a practice worth adopting across districts. Against the background of State-wide action plans aiming for a 100 per cent pass rate, the study sought to identify the reasons for poor results, review the measures taken in the previous year, identify initiatives of headmasters, teachers and SDMC presidents for first-language learning, review FLN activities for students lagging in Kannada, examine assessment methods, and analyse reasons for declining interest in Kannada. Urban and rural government high schools were selected by random sampling from all eight educational blocks, and questionnaires were administered to 80 headmasters, 80 teachers and 80 SDMC chairpersons.</w:t>
            </w:r>
          </w:p>
          <w:p>
            <w:pPr>
              <w:spacing w:after="60"/>
              <w:jc w:val="both"/>
            </w:pPr>
            <w:r>
              <w:rPr>
                <w:b w:val="0"/>
              </w:rPr>
              <w:t>The study documented the strategies schools are using to strengthen first-language outcomes: child-centred, constructivist approaches; activity-based learning with stories, poems and dialogues; and continuous and comprehensive evaluation. Respondents reported that these approaches foster communication skills, creativity, logical thinking and self-confidence among students. The involvement of SDMC chairpersons alongside headmasters and teachers is a notable feature, bringing the community into efforts to improve language learning.</w:t>
            </w:r>
          </w:p>
          <w:p>
            <w:pPr>
              <w:spacing w:after="60"/>
              <w:jc w:val="both"/>
            </w:pPr>
            <w:r>
              <w:rPr>
                <w:b w:val="0"/>
              </w:rPr>
              <w:t>The practice of conducting a rapid diagnostic study after a decline in results is sustainable because it uses existing networks of headmasters, teachers and SDMCs. It is replicable in any district facing a fall in subject results. It is scalable by making post-examination subject analysis a regular DIET activity. It is monitorable through year-on-year comparison of first-language results and records of the strategies adopted in schools. The study suggests extending the research to aided and unaided schools and to other districts, and organising workshops for headmasters, teachers and SDMC members, an approach that links diagnosis directly to capacity building in Kannada teaching.</w:t>
            </w:r>
          </w:p>
        </w:tc>
      </w:tr>
    </w:tbl>
    <w:p>
      <w:pPr>
        <w:spacing w:after="120" w:before="160"/>
      </w:pPr>
      <w:r>
        <w:rPr>
          <w:b/>
          <w:i w:val="0"/>
          <w:sz w:val="24"/>
          <w:u w:val="none"/>
        </w:rPr>
        <w:t>References</w:t>
      </w:r>
    </w:p>
    <w:p>
      <w:pPr>
        <w:spacing w:after="60" w:before="0"/>
        <w:ind w:left="576" w:hanging="576"/>
        <w:jc w:val="both"/>
      </w:pPr>
      <w:r>
        <w:rPr>
          <w:b w:val="0"/>
          <w:i w:val="0"/>
          <w:u w:val="none"/>
        </w:rPr>
        <w:t>DIET Mandya (2025-26). An Analytical Study on the Reasons for the Decline in Results in the First Language (Kannada) Subject in the 2024-25 SSLC Examination across Selected Government High Schools in Mandya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114</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CHANDRA SHEKHAR G R</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Mandya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Reasons for decline in government school enrolment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Mandya's study “Decline in enrollment in government schools for linguistic minorities in Mandya district” (2024-25). Linguistic minority government schools are declining; enrolment fell over three years and zero-enrolment schools increased year on year. Parents prefer other media; aided and private schools dominate; shortage of subject teachers.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Parental awareness programmes; community encouragement; improved facilities.</w:t>
            </w:r>
          </w:p>
          <w:p>
            <w:pPr>
              <w:spacing w:after="60"/>
              <w:ind w:left="360" w:hanging="259"/>
              <w:jc w:val="both"/>
            </w:pPr>
            <w:r>
              <w:rPr>
                <w:b w:val="0"/>
              </w:rPr>
              <w:t xml:space="preserve">•  </w:t>
            </w:r>
            <w:r>
              <w:rPr>
                <w:b w:val="0"/>
              </w:rPr>
              <w:t>Appointment of subject teachers; activity-based teacher training.</w:t>
            </w:r>
          </w:p>
          <w:p>
            <w:pPr>
              <w:spacing w:after="60"/>
              <w:ind w:left="360" w:hanging="259"/>
              <w:jc w:val="both"/>
            </w:pPr>
            <w:r>
              <w:rPr>
                <w:b w:val="0"/>
              </w:rPr>
              <w:t xml:space="preserve">•  </w:t>
            </w:r>
            <w:r>
              <w:rPr>
                <w:b w:val="0"/>
              </w:rPr>
              <w:t>Headmasters, assistant teachers, and SDMC members should conduct programs to raise parental awareness regarding the importance of linguistic minority schools, their impact on children's futures, and the available educational facilities.</w:t>
            </w:r>
          </w:p>
          <w:p>
            <w:pPr>
              <w:spacing w:after="60"/>
              <w:ind w:left="360" w:hanging="259"/>
              <w:jc w:val="both"/>
            </w:pPr>
            <w:r>
              <w:rPr>
                <w:b w:val="0"/>
              </w:rPr>
              <w:t xml:space="preserve">•  </w:t>
            </w:r>
            <w:r>
              <w:rPr>
                <w:b w:val="0"/>
              </w:rPr>
              <w:t>Local community leaders should encourage parents to enroll their children in government linguistic minority schools.</w:t>
            </w:r>
          </w:p>
          <w:p>
            <w:pPr>
              <w:spacing w:after="60"/>
              <w:ind w:left="360" w:hanging="259"/>
              <w:jc w:val="both"/>
            </w:pPr>
            <w:r>
              <w:rPr>
                <w:b w:val="0"/>
              </w:rPr>
              <w:t xml:space="preserve">•  </w:t>
            </w:r>
            <w:r>
              <w:rPr>
                <w:b w:val="0"/>
              </w:rPr>
              <w:t>Ensure the provision of indoor toilets, clean drinking water, and a conducive educational environment for children in government linguistic minority schools.</w:t>
            </w:r>
          </w:p>
          <w:p>
            <w:pPr>
              <w:spacing w:after="60"/>
              <w:ind w:left="360" w:hanging="259"/>
              <w:jc w:val="both"/>
            </w:pPr>
            <w:r>
              <w:rPr>
                <w:b w:val="0"/>
              </w:rPr>
              <w:t xml:space="preserve">•  </w:t>
            </w:r>
            <w:r>
              <w:rPr>
                <w:b w:val="0"/>
              </w:rPr>
              <w:t>Measures should be taken to increase student enrollment in linguistic minority government schools by fostering parental interest through sponsored merit awards, competitions, and annual day celebrations, as well as by sharing the success stories of alumni.</w:t>
            </w:r>
          </w:p>
          <w:p>
            <w:pPr>
              <w:spacing w:after="60"/>
              <w:ind w:left="360" w:hanging="259"/>
              <w:jc w:val="both"/>
            </w:pPr>
            <w:r>
              <w:rPr>
                <w:b w:val="0"/>
              </w:rPr>
              <w:t xml:space="preserve">•  </w:t>
            </w:r>
            <w:r>
              <w:rPr>
                <w:b w:val="0"/>
              </w:rPr>
              <w:t>Teachers in linguistic minority government schools need to implement further improvements to the activity-based learning process modeled on the 'Nali-Kali' approach.</w:t>
            </w:r>
          </w:p>
          <w:p>
            <w:pPr>
              <w:spacing w:after="60"/>
              <w:ind w:left="360" w:hanging="259"/>
              <w:jc w:val="both"/>
            </w:pPr>
            <w:r>
              <w:rPr>
                <w:b w:val="0"/>
              </w:rPr>
              <w:t xml:space="preserve">•  </w:t>
            </w:r>
            <w:r>
              <w:rPr>
                <w:b w:val="0"/>
              </w:rPr>
              <w:t>To organize training for teachers working in government schools for linguistic minorities, focusing on various scientific and activity-based learning environments.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Mandya's study on the decline in enrolment in government schools for linguistic minorities is a best practice in using systematic, district-wide data to understand a sensitive equity issue. The commercialisation of education and parental preference for English-medium schooling have reduced the appeal of these schools, and some in Karnataka have already closed. The study conducted a taluk-wise and district-level analysis of enrolment in Classes 1–7 and gathered the views of 433 respondents from the eight educational taluks, 58 headmasters, 72 assistant teachers and 303 SDMC members, through separate 16-question questionnaires, with results presented through bar charts, pie charts and line graphs.</w:t>
            </w:r>
          </w:p>
          <w:p>
            <w:pPr>
              <w:spacing w:after="60"/>
              <w:jc w:val="both"/>
            </w:pPr>
            <w:r>
              <w:rPr>
                <w:b w:val="0"/>
              </w:rPr>
              <w:t>The study's strength lies in its clear separation of causes. It established that basic facilities are not the problem: classrooms, furniture, library facilities, the academic environment and incentives were found to be adequate. Instead, the decline is driven by parents' lack of interest and preference for other media of instruction, the dominance of aided and private schools, and shortages of subject-specific teachers and academic training. This precision prevents misdirected spending on infrastructure and focuses attention on demand-side and teaching factors.</w:t>
            </w:r>
          </w:p>
          <w:p>
            <w:pPr>
              <w:spacing w:after="60"/>
              <w:jc w:val="both"/>
            </w:pPr>
            <w:r>
              <w:rPr>
                <w:b w:val="0"/>
              </w:rPr>
              <w:t>The practice of combining enrolment trend analysis with the views of SDMC members is sustainable because it uses enrolment records and existing SDMC networks. It is replicable in any district with linguistic minority schools. It is scalable through annual taluk-wise enrolment monitoring by DIETs. It is monitorable through year-on-year enrolment, the number of schools with zero enrolment, and subject-teacher vacancies. The study recommends parental awareness programmes, community encouragement, improved facilities, appointment of subject teachers and activity-based teacher training. Involving 303 SDMC members, as this study did, also shows how communities can be engaged in efforts to sustain these schools.</w:t>
            </w:r>
          </w:p>
        </w:tc>
      </w:tr>
    </w:tbl>
    <w:p>
      <w:pPr>
        <w:spacing w:after="120" w:before="160"/>
      </w:pPr>
      <w:r>
        <w:rPr>
          <w:b/>
          <w:i w:val="0"/>
          <w:sz w:val="24"/>
          <w:u w:val="none"/>
        </w:rPr>
        <w:t>References</w:t>
      </w:r>
    </w:p>
    <w:p>
      <w:pPr>
        <w:spacing w:after="60" w:before="0"/>
        <w:ind w:left="576" w:hanging="576"/>
        <w:jc w:val="both"/>
      </w:pPr>
      <w:r>
        <w:rPr>
          <w:b w:val="0"/>
          <w:i w:val="0"/>
          <w:u w:val="none"/>
        </w:rPr>
        <w:t>DIET Mandya (2024-25). Decline in enrollment in government schools for linguistic minorities in Mandya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115</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Nirmala V</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Mandya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Sambhrama Shanivara (bag-less day)</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Mandya's study “Study on the Effectiveness of Sambhrama Shanivara Programme Implementation in Primary and High Schools of Mandya District” (2024-25). Some implementation challenges in Sambhrama Shanivara; teachers need activity facilitation skills.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Continue across all grades; train teachers in experiential pedagogy; develop activity guides for each themed Saturday.</w:t>
            </w:r>
          </w:p>
          <w:p>
            <w:pPr>
              <w:spacing w:after="60"/>
              <w:ind w:left="360" w:hanging="259"/>
              <w:jc w:val="both"/>
            </w:pPr>
            <w:r>
              <w:rPr>
                <w:b w:val="0"/>
              </w:rPr>
              <w:t xml:space="preserve">•  </w:t>
            </w:r>
            <w:r>
              <w:rPr>
                <w:b w:val="0"/>
              </w:rPr>
              <w:t>Continue and strengthen Sambhrama Shanivara programme across all grades.</w:t>
            </w:r>
          </w:p>
          <w:p>
            <w:pPr>
              <w:spacing w:after="60"/>
              <w:ind w:left="360" w:hanging="259"/>
              <w:jc w:val="both"/>
            </w:pPr>
            <w:r>
              <w:rPr>
                <w:b w:val="0"/>
              </w:rPr>
              <w:t xml:space="preserve">•  </w:t>
            </w:r>
            <w:r>
              <w:rPr>
                <w:b w:val="0"/>
              </w:rPr>
              <w:t>Provide comprehensive training to teachers on activity facilitation and experiential pedagogy.</w:t>
            </w:r>
          </w:p>
          <w:p>
            <w:pPr>
              <w:spacing w:after="60"/>
              <w:ind w:left="360" w:hanging="259"/>
              <w:jc w:val="both"/>
            </w:pPr>
            <w:r>
              <w:rPr>
                <w:b w:val="0"/>
              </w:rPr>
              <w:t xml:space="preserve">•  </w:t>
            </w:r>
            <w:r>
              <w:rPr>
                <w:b w:val="0"/>
              </w:rPr>
              <w:t>Ensure adequate time for planning and preparation without.</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Mandya's evaluation of the Sambhrama Shanivara (Joyful Saturday) programme documents a State initiative that has brought joyful, activity-based learning into the school week. Initiated by DSERT through a directive dated 3 May 2019, the programme designates every third Saturday of the month as a stress-free day devoted to co-curricular activities, life skills, values education and experiential learning, in line with NEP 2020. First implemented for Grade 8 from 2021-22, it was extended to all grades in 2024-25. The study used a mixed-methods evaluative design with stratified random sampling across all eight educational taluks: 16 schools (one primary and one high school per taluk, from rural and urban areas), 64 teachers, headteachers and Grade 9 students, using teacher, headteacher and student questionnaires.</w:t>
            </w:r>
          </w:p>
          <w:p>
            <w:pPr>
              <w:spacing w:after="60"/>
              <w:jc w:val="both"/>
            </w:pPr>
            <w:r>
              <w:rPr>
                <w:b w:val="0"/>
              </w:rPr>
              <w:t>The programme showed a positive impact on student development, with enthusiastic participation by students. The evaluation examined stakeholder awareness, implementation quality, student engagement, teacher involvement and preparation, and the impact on attitudes, values and life skills, and it documented successful practices from schools.</w:t>
            </w:r>
          </w:p>
          <w:p>
            <w:pPr>
              <w:spacing w:after="60"/>
              <w:jc w:val="both"/>
            </w:pPr>
            <w:r>
              <w:rPr>
                <w:b w:val="0"/>
              </w:rPr>
              <w:t>The practice is sustainable because it is built into the school calendar through a State directive, requiring no special funding. It is replicable in every school and is already statewide. Its scalability is shown by its expansion from Grade 8 to all grades. It is monitorable through records of activities held on each themed Saturday, student participation and teachers' observations of changes in attitudes and life skills. The study concludes that holistic education requires dedicated time beyond academics. It recommends continuing the programme across all grades, training teachers in activity facilitation and experiential pedagogy, and developing activity guides and resource materials for each themed Saturday, steps that would help every school implement the programme as effectively as the best schools studied.</w:t>
            </w:r>
          </w:p>
        </w:tc>
      </w:tr>
    </w:tbl>
    <w:p>
      <w:pPr>
        <w:spacing w:after="120" w:before="160"/>
      </w:pPr>
      <w:r>
        <w:rPr>
          <w:b/>
          <w:i w:val="0"/>
          <w:sz w:val="24"/>
          <w:u w:val="none"/>
        </w:rPr>
        <w:t>References</w:t>
      </w:r>
    </w:p>
    <w:p>
      <w:pPr>
        <w:spacing w:after="60" w:before="0"/>
        <w:ind w:left="576" w:hanging="576"/>
        <w:jc w:val="both"/>
      </w:pPr>
      <w:r>
        <w:rPr>
          <w:b w:val="0"/>
          <w:i w:val="0"/>
          <w:u w:val="none"/>
        </w:rPr>
        <w:t>DIET Mandya (2024-25). Study on the Effectiveness of Sambhrama Shanivara Programme Implementation in Primary and High Schools of Mandya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116</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NIRMALA V</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Mandya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Value education and life skills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Mandya's study “A Study on the Role of NPEP (National Population Education Programme) in Values Formation Among Students in Selected Government High Schools of Mandya District” (2024-25). Values education requires dedicated activity-based programmes.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Strengthen NPEP in all government high schools; teacher training in activity-based values education; age-appropriate materials.</w:t>
            </w:r>
          </w:p>
          <w:p>
            <w:pPr>
              <w:spacing w:after="60"/>
              <w:ind w:left="360" w:hanging="259"/>
              <w:jc w:val="both"/>
            </w:pPr>
            <w:r>
              <w:rPr>
                <w:b w:val="0"/>
              </w:rPr>
              <w:t xml:space="preserve">•  </w:t>
            </w:r>
            <w:r>
              <w:rPr>
                <w:b w:val="0"/>
              </w:rPr>
              <w:t>Continue and strengthen NPEP programme across all government high schools.</w:t>
            </w:r>
          </w:p>
          <w:p>
            <w:pPr>
              <w:spacing w:after="60"/>
              <w:ind w:left="360" w:hanging="259"/>
              <w:jc w:val="both"/>
            </w:pPr>
            <w:r>
              <w:rPr>
                <w:b w:val="0"/>
              </w:rPr>
              <w:t xml:space="preserve">•  </w:t>
            </w:r>
            <w:r>
              <w:rPr>
                <w:b w:val="0"/>
              </w:rPr>
              <w:t>Provide comprehensive training to teachers on activity-based values education pedagogy.</w:t>
            </w:r>
          </w:p>
          <w:p>
            <w:pPr>
              <w:spacing w:after="60"/>
              <w:ind w:left="360" w:hanging="259"/>
              <w:jc w:val="both"/>
            </w:pPr>
            <w:r>
              <w:rPr>
                <w:b w:val="0"/>
              </w:rPr>
              <w:t xml:space="preserve">•  </w:t>
            </w:r>
            <w:r>
              <w:rPr>
                <w:b w:val="0"/>
              </w:rPr>
              <w:t>Develop age-appropriate resource materials and activity guides for NPEP topics.</w:t>
            </w:r>
          </w:p>
          <w:p>
            <w:pPr>
              <w:spacing w:after="60"/>
              <w:ind w:left="360" w:hanging="259"/>
              <w:jc w:val="both"/>
            </w:pPr>
            <w:r>
              <w:rPr>
                <w:b w:val="0"/>
              </w:rPr>
              <w:t xml:space="preserve">•  </w:t>
            </w:r>
            <w:r>
              <w:rPr>
                <w:b w:val="0"/>
              </w:rPr>
              <w:t>Ensure adequate time allocation for NPEP.</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Mandya's study on the role of the National Population Education Programme (NPEP) in values formation among high school students documents a long-standing programme that is functioning well and delivering values education through activities. NPEP, initiated in 1980 in coordination with NCERT, addresses adolescent issues such as family life, gender equality, substance abuse and environmental conservation through activity-based learning. The study covered 16 government high schools (Grades 8–10), with 16 headteachers, 87 teachers (34 male and 53 female), students, SDMC members and parents, using five questionnaires with multiple-choice and Likert-scale items administered during school visits.</w:t>
            </w:r>
          </w:p>
          <w:p>
            <w:pPr>
              <w:spacing w:after="60"/>
              <w:jc w:val="both"/>
            </w:pPr>
            <w:r>
              <w:rPr>
                <w:b w:val="0"/>
              </w:rPr>
              <w:t>The findings show strong implementation. All headteachers and teachers (100 per cent) affirmed the usefulness of NPEP; 100 per cent of schools organised NPEP-related activities and provided age-appropriate counselling; and seventy-five per cent reported positive behavioural and attitudinal changes in students. Teachers showed high awareness: Ninety-nine per cent (86 of 87) recognised population growth as detrimental to national development, 100 per cent understood their responsibility in preventing child marriage, and ninety-eight per cent considered gender-equality awareness essential. In addition, ninety-four per cent of schools conducted programmes on the harmful effects of substance abuse.</w:t>
            </w:r>
          </w:p>
          <w:p>
            <w:pPr>
              <w:spacing w:after="60"/>
              <w:jc w:val="both"/>
            </w:pPr>
            <w:r>
              <w:rPr>
                <w:b w:val="0"/>
              </w:rPr>
              <w:t>The practice is sustainable because NPEP is a continuing national programme with established activities and teacher familiarity. It is replicable in every government high school. It is scalable through teacher training and resource materials. It is monitorable through records of NPEP activities and counselling sessions, and through observed changes in student behaviour and attitudes. The study concludes that values education requires dedicated, activity-based programmes and recommends strengthening NPEP across all government high schools, training teachers in activity-based values education, and providing age-appropriate resource materials. These steps would reinforce the State's value education and drug-awareness priorities through an existing, proven channel.</w:t>
            </w:r>
          </w:p>
        </w:tc>
      </w:tr>
    </w:tbl>
    <w:p>
      <w:pPr>
        <w:spacing w:after="120" w:before="160"/>
      </w:pPr>
      <w:r>
        <w:rPr>
          <w:b/>
          <w:i w:val="0"/>
          <w:sz w:val="24"/>
          <w:u w:val="none"/>
        </w:rPr>
        <w:t>References</w:t>
      </w:r>
    </w:p>
    <w:p>
      <w:pPr>
        <w:spacing w:after="60" w:before="0"/>
        <w:ind w:left="576" w:hanging="576"/>
        <w:jc w:val="both"/>
      </w:pPr>
      <w:r>
        <w:rPr>
          <w:b w:val="0"/>
          <w:i w:val="0"/>
          <w:u w:val="none"/>
        </w:rPr>
        <w:t>DIET Mandya (2024-25). A Study on the Role of NPEP (National Population Education Programme) in Values Formation Among Students in Selected Government High Schools of Mandya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117</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PUSHPALATHA</w:t>
            </w:r>
          </w:p>
        </w:tc>
      </w:tr>
      <w:tr>
        <w:tc>
          <w:tcPr>
            <w:tcW w:type="dxa" w:w="3312"/>
            <w:shd w:val="clear" w:color="auto" w:fill="F2F2F2"/>
          </w:tcPr>
          <w:p>
            <w:pPr>
              <w:spacing w:after="0"/>
            </w:pPr>
            <w:r/>
            <w:r>
              <w:rPr>
                <w:b/>
              </w:rPr>
              <w:t>Designation</w:t>
            </w:r>
          </w:p>
        </w:tc>
        <w:tc>
          <w:tcPr>
            <w:tcW w:type="dxa" w:w="5760"/>
          </w:tcPr>
          <w:p>
            <w:pPr>
              <w:spacing w:after="0"/>
            </w:pPr>
            <w:r/>
            <w:r>
              <w:t>Senior 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Mandya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Students' mobile, internet and social media use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Mandya's study “An analytical study on the impact of mobile and internet usage on the learning of students in selected government and aided high schools of Pandavapura and Malavalli taluks, Mandya district” (2024-25). Concern that mobile and internet use may affect students' learning and routine (Pandavapura and Malavalli taluks).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Use mobile phones and the internet as structured aids to teaching and learning.</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Mandya's analytical study on the impact of mobile and Internet use on students' learning in Pandavapura and Malavalli taluks documents how digital tools, when used purposefully, can support secondary education. The study examined students of Classes 8 to 10 in government and aided high schools. Using random sampling, it selected 30 headmasters, 145 teachers and 332 students from urban and rural schools. Data were collected through a 35-statement questionnaire (20 with always/sometimes/no responses and 15 with yes/no responses), covering academic administration, results, relationships among headmasters, teachers and students, health, use for non-educational purposes and academic routines.</w:t>
            </w:r>
          </w:p>
          <w:p>
            <w:pPr>
              <w:spacing w:after="60"/>
              <w:jc w:val="both"/>
            </w:pPr>
            <w:r>
              <w:rPr>
                <w:b w:val="0"/>
              </w:rPr>
              <w:t>The findings show positive effects. Mobile phones and the Internet enhanced the quality of learning, aided evaluation by providing insights into student performance, and supported diverse, modern learning that fosters self-knowledge, creative thinking and critical perspectives. Headmasters, teachers and students had largely acquired technological knowledge and skills through their use. The study concludes that mobile phones and the Internet serve as valuable aids in teaching and learning and support the development of learning competencies at the secondary level.</w:t>
            </w:r>
          </w:p>
          <w:p>
            <w:pPr>
              <w:spacing w:after="60"/>
              <w:jc w:val="both"/>
            </w:pPr>
            <w:r>
              <w:rPr>
                <w:b w:val="0"/>
              </w:rPr>
              <w:t>The practice of purposeful, school-guided use of mobile and Internet resources is sustainable because it builds on devices and connectivity already available to many students and teachers. It is replicable across secondary schools. It is scalable through DIET guidance on educational use and digital skills for teachers and students. It is monitorable through the indicators used in the study: effects on results, evaluation, relationships, health and the balance between educational and non-educational use. Because the same technologies can also distract students, the study's balanced design, examining both benefits and risks, offers a useful model. Combined with awareness efforts on safe use, such as the State's Mobile Bidi-Pustaka Hidi campaign, schools can maximise the educational value of digital tools while guarding against misuse.</w:t>
            </w:r>
          </w:p>
        </w:tc>
      </w:tr>
    </w:tbl>
    <w:p>
      <w:pPr>
        <w:spacing w:after="120" w:before="160"/>
      </w:pPr>
      <w:r>
        <w:rPr>
          <w:b/>
          <w:i w:val="0"/>
          <w:sz w:val="24"/>
          <w:u w:val="none"/>
        </w:rPr>
        <w:t>References</w:t>
      </w:r>
    </w:p>
    <w:p>
      <w:pPr>
        <w:spacing w:after="60" w:before="0"/>
        <w:ind w:left="576" w:hanging="576"/>
        <w:jc w:val="both"/>
      </w:pPr>
      <w:r>
        <w:rPr>
          <w:b w:val="0"/>
          <w:i w:val="0"/>
          <w:u w:val="none"/>
        </w:rPr>
        <w:t>DIET Mandya (2024-25). An analytical study on the impact of mobile and internet usage on the learning of students in selected government and aided high schools of Pandavapura and Malavalli taluks, Mandya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118</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NIRMALA B S</w:t>
            </w:r>
          </w:p>
        </w:tc>
      </w:tr>
      <w:tr>
        <w:tc>
          <w:tcPr>
            <w:tcW w:type="dxa" w:w="3312"/>
            <w:shd w:val="clear" w:color="auto" w:fill="F2F2F2"/>
          </w:tcPr>
          <w:p>
            <w:pPr>
              <w:spacing w:after="0"/>
            </w:pPr>
            <w:r/>
            <w:r>
              <w:rPr>
                <w:b/>
              </w:rPr>
              <w:t>Designation</w:t>
            </w:r>
          </w:p>
        </w:tc>
        <w:tc>
          <w:tcPr>
            <w:tcW w:type="dxa" w:w="5760"/>
          </w:tcPr>
          <w:p>
            <w:pPr>
              <w:spacing w:after="0"/>
            </w:pPr>
            <w:r/>
            <w:r>
              <w:t>Senior 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Mandya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Use of ICT labs, TALP and smart classes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Mandya's study “Study on Teaching-Learning Impact of Megha School Technology Integration in Malavalli Block, Mandya District” (2024-25) and DIET Mandya's study “Utilization of Equipment Supplied Under TALP Scheme in Selected Government High Schools of Mandya District” (2024-25) and DIET Mandya's study “Impact and Challenges of Using Smart Classrooms in Government High Schools of Mandya District” (2025-26). TALP: significant investment not yielding optimal returns due to implementation gaps, maintenance and one-time training. Smart classrooms: power and internet problems, no technical staff, scheduling conflicts. Megha School: infrastructure alone is insufficient without sustained teacher support.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District technical support teams; continuous hands-on teacher development; curriculum-aligned digital content.</w:t>
            </w:r>
          </w:p>
          <w:p>
            <w:pPr>
              <w:spacing w:after="60"/>
              <w:ind w:left="360" w:hanging="259"/>
              <w:jc w:val="both"/>
            </w:pPr>
            <w:r>
              <w:rPr>
                <w:b w:val="0"/>
              </w:rPr>
              <w:t xml:space="preserve">•  </w:t>
            </w:r>
            <w:r>
              <w:rPr>
                <w:b w:val="0"/>
              </w:rPr>
              <w:t>Solar/UPS power, continuous Wi-Fi, technical staff, timetable adjustments, more Kannada digital content.</w:t>
            </w:r>
          </w:p>
          <w:p>
            <w:pPr>
              <w:spacing w:after="60"/>
              <w:ind w:left="360" w:hanging="259"/>
              <w:jc w:val="both"/>
            </w:pPr>
            <w:r>
              <w:rPr>
                <w:b w:val="0"/>
              </w:rPr>
              <w:t xml:space="preserve">•  </w:t>
            </w:r>
            <w:r>
              <w:rPr>
                <w:b w:val="0"/>
              </w:rPr>
              <w:t>Establish district-level technical support teams for regular maintenance and troubleshooting.</w:t>
            </w:r>
          </w:p>
          <w:p>
            <w:pPr>
              <w:spacing w:after="60"/>
              <w:ind w:left="360" w:hanging="259"/>
              <w:jc w:val="both"/>
            </w:pPr>
            <w:r>
              <w:rPr>
                <w:b w:val="0"/>
              </w:rPr>
              <w:t xml:space="preserve">•  </w:t>
            </w:r>
            <w:r>
              <w:rPr>
                <w:b w:val="0"/>
              </w:rPr>
              <w:t>Provide continuous professional development with hands-on training for all teachers.</w:t>
            </w:r>
          </w:p>
          <w:p>
            <w:pPr>
              <w:spacing w:after="60"/>
              <w:ind w:left="360" w:hanging="259"/>
              <w:jc w:val="both"/>
            </w:pPr>
            <w:r>
              <w:rPr>
                <w:b w:val="0"/>
              </w:rPr>
              <w:t xml:space="preserve">•  </w:t>
            </w:r>
            <w:r>
              <w:rPr>
                <w:b w:val="0"/>
              </w:rPr>
              <w:t>Develop subject-specific digital content aligned with curriculum.</w:t>
            </w:r>
          </w:p>
          <w:p>
            <w:pPr>
              <w:spacing w:after="60"/>
              <w:ind w:left="360" w:hanging="259"/>
              <w:jc w:val="both"/>
            </w:pPr>
            <w:r>
              <w:rPr>
                <w:b w:val="0"/>
              </w:rPr>
              <w:t xml:space="preserve">•  </w:t>
            </w:r>
            <w:r>
              <w:rPr>
                <w:b w:val="0"/>
              </w:rPr>
              <w:t>An improvement in students' academic learning outcomes has been observed through the use of smart classrooms.</w:t>
            </w:r>
          </w:p>
          <w:p>
            <w:pPr>
              <w:spacing w:after="60"/>
              <w:ind w:left="360" w:hanging="259"/>
              <w:jc w:val="both"/>
            </w:pPr>
            <w:r>
              <w:rPr>
                <w:b w:val="0"/>
              </w:rPr>
              <w:t xml:space="preserve">•  </w:t>
            </w:r>
            <w:r>
              <w:rPr>
                <w:b w:val="0"/>
              </w:rPr>
              <w:t>Teachers need to become proficient in the use of technology; therefore, digital skills training should be provided to them periodically.</w:t>
            </w:r>
          </w:p>
          <w:p>
            <w:pPr>
              <w:spacing w:after="60"/>
              <w:ind w:left="360" w:hanging="259"/>
              <w:jc w:val="both"/>
            </w:pPr>
            <w:r>
              <w:rPr>
                <w:b w:val="0"/>
              </w:rPr>
              <w:t xml:space="preserve">•  </w:t>
            </w:r>
            <w:r>
              <w:rPr>
                <w:b w:val="0"/>
              </w:rPr>
              <w:t>Since the majority of schools in the district are Kannada- medium, it is crucial to increase the availability of digital content in the Kannada language that aligns with the state curriculum.</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Three DIET Mandya studies, on smart classrooms, the Megha School cloud-based initiative in Malavalli block, and equipment supplied under TALP, document technology-integrated teaching as a practice that is improving engagement and learning in government schools. The smart classroom study covered headmasters, assistant teachers and students of government high schools across all eight educational taluks, using questionnaires of 15–16 questions. The Megha School study used teacher questionnaires, classroom observation and student surveys. The TALP study used Likert-type questionnaires and observation checklists in TALP-enabled schools.</w:t>
            </w:r>
          </w:p>
          <w:p>
            <w:pPr>
              <w:spacing w:after="60"/>
              <w:jc w:val="both"/>
            </w:pPr>
            <w:r>
              <w:rPr>
                <w:b w:val="0"/>
              </w:rPr>
              <w:t>The smart classroom study found that teachers regularly used smart classrooms, equipment was generally functioning, and smart classroom teaching enhanced students' academic interest, active participation and learning outcomes. Videos and images helped students retain lesson content, and smart classrooms were especially useful for Science, Mathematics, English and Social Science. Megha School, which provides learning management systems, digital content, online assessments and teacher resources, along with devices, connectivity and training, showed promising results in student engagement. TALP showed successes in infrastructure.</w:t>
            </w:r>
          </w:p>
          <w:p>
            <w:pPr>
              <w:spacing w:after="60"/>
              <w:jc w:val="both"/>
            </w:pPr>
            <w:r>
              <w:rPr>
                <w:b w:val="0"/>
              </w:rPr>
              <w:t>These practices are sustainable when supported by technical maintenance and continuing teacher development, as the studies stress. They are replicable statewide, as smart classrooms and TALP labs already exist in many schools. They are scalable through district technical support teams and training. They are monitorable through records of smart class and lab use, equipment functionality and student engagement and outcomes. The studies recommend periodic digital skills training for teachers, solar power or UPS systems, continuous Wi-Fi, appointment of technical staff, timetable adjustments, more Kannada digital content aligned with the State curriculum, district-level technical support teams, continuous hands-on professional development and subject-specific digital content. Their shared conclusion is that technology infrastructure alone is insufficient; sustained teacher support makes it effective.</w:t>
            </w:r>
          </w:p>
        </w:tc>
      </w:tr>
    </w:tbl>
    <w:p>
      <w:pPr>
        <w:spacing w:after="120" w:before="160"/>
      </w:pPr>
      <w:r>
        <w:rPr>
          <w:b/>
          <w:i w:val="0"/>
          <w:sz w:val="24"/>
          <w:u w:val="none"/>
        </w:rPr>
        <w:t>References</w:t>
      </w:r>
    </w:p>
    <w:p>
      <w:pPr>
        <w:spacing w:after="60" w:before="0"/>
        <w:ind w:left="576" w:hanging="576"/>
        <w:jc w:val="both"/>
      </w:pPr>
      <w:r>
        <w:rPr>
          <w:b w:val="0"/>
          <w:i w:val="0"/>
          <w:u w:val="none"/>
        </w:rPr>
        <w:t>DIET Mandya (2024-25). Study on Teaching-Learning Impact of Megha School Technology Integration in Malavalli Block, Mandya District; DIET Mandya (2024-25). Utilization of Equipment Supplied Under TALP Scheme in Selected Government High Schools of Mandya District; DIET Mandya (2025-26). Impact and Challenges of Using Smart Classrooms in Government High Schools of Mandya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119</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MARIDEVARU H.M</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Mandya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Effect of in-service training on classroom practice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Mandya's study “A Study on the Effectiveness of Classroom Teaching Implementation by Government High School Mathematics Teachers from Mandya District Trained at IISC” (2025-26) and DIET Mandya's study “An analytical study on the implementation of social science Sachethana training in selected government and aided high schools in Mandya district” (2025-26). Teachers lack time to complete the syllabus through activities; Sachethana training lasts only five days.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Extend IISc-style residential, practical training to other subjects with follow-up support; mathematics labs.</w:t>
            </w:r>
          </w:p>
          <w:p>
            <w:pPr>
              <w:spacing w:after="60"/>
              <w:ind w:left="360" w:hanging="259"/>
              <w:jc w:val="both"/>
            </w:pPr>
            <w:r>
              <w:rPr>
                <w:b w:val="0"/>
              </w:rPr>
              <w:t xml:space="preserve">•  </w:t>
            </w:r>
            <w:r>
              <w:rPr>
                <w:b w:val="0"/>
              </w:rPr>
              <w:t>Lengthen Sachethana training from five to at least fifteen days.</w:t>
            </w:r>
          </w:p>
          <w:p>
            <w:pPr>
              <w:spacing w:after="60"/>
              <w:ind w:left="360" w:hanging="259"/>
              <w:jc w:val="both"/>
            </w:pPr>
            <w:r>
              <w:rPr>
                <w:b w:val="0"/>
              </w:rPr>
              <w:t xml:space="preserve">•  </w:t>
            </w:r>
            <w:r>
              <w:rPr>
                <w:b w:val="0"/>
              </w:rPr>
              <w:t>It has been proven that IISc-style ‘residential and practical’ training programs have a long-lasting impact on teachers, far more than mere theoretical training.</w:t>
            </w:r>
          </w:p>
          <w:p>
            <w:pPr>
              <w:spacing w:after="60"/>
              <w:ind w:left="360" w:hanging="259"/>
              <w:jc w:val="both"/>
            </w:pPr>
            <w:r>
              <w:rPr>
                <w:b w:val="0"/>
              </w:rPr>
              <w:t xml:space="preserve">•  </w:t>
            </w:r>
            <w:r>
              <w:rPr>
                <w:b w:val="0"/>
              </w:rPr>
              <w:t>For teaching to be activity-based, the curriculum must not be overly burdensome.</w:t>
            </w:r>
          </w:p>
          <w:p>
            <w:pPr>
              <w:spacing w:after="60"/>
              <w:ind w:left="360" w:hanging="259"/>
              <w:jc w:val="both"/>
            </w:pPr>
            <w:r>
              <w:rPr>
                <w:b w:val="0"/>
              </w:rPr>
              <w:t xml:space="preserve">•  </w:t>
            </w:r>
            <w:r>
              <w:rPr>
                <w:b w:val="0"/>
              </w:rPr>
              <w:t>There is a need to design the syllabus in a way that allows ample scope for activities.</w:t>
            </w:r>
          </w:p>
          <w:p>
            <w:pPr>
              <w:spacing w:after="60"/>
              <w:ind w:left="360" w:hanging="259"/>
              <w:jc w:val="both"/>
            </w:pPr>
            <w:r>
              <w:rPr>
                <w:b w:val="0"/>
              </w:rPr>
              <w:t xml:space="preserve">•  </w:t>
            </w:r>
            <w:r>
              <w:rPr>
                <w:b w:val="0"/>
              </w:rPr>
              <w:t>Providing training once is not enough; a technical support system is needed to monitor how teachers are implementing what they have learned.</w:t>
            </w:r>
          </w:p>
          <w:p>
            <w:pPr>
              <w:spacing w:after="60"/>
              <w:ind w:left="360" w:hanging="259"/>
              <w:jc w:val="both"/>
            </w:pPr>
            <w:r>
              <w:rPr>
                <w:b w:val="0"/>
              </w:rPr>
              <w:t xml:space="preserve">•  </w:t>
            </w:r>
            <w:r>
              <w:rPr>
                <w:b w:val="0"/>
              </w:rPr>
              <w:t>Regarding this study, the constructive, activity-based learning training for social science teachers could be extended from the current five-day limit to a minimum of fifteen days.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Two DIET Mandya studies document teacher professional development programmes that have changed classroom practice: mathematics training at the Indian Institute of Science (IISc) and Social Science Sachethana training. The IISc study used random sampling across seven taluks, covering 69 headmasters, about 69 IISc-trained mathematics teachers and about 343 students, using questionnaires, interviews, classroom observation and comparison of results before and after training. The Sachethana study, on a programme implemented through DSERT, Samagra Shikshana Karnataka and Mantra4Change, surveyed headmasters, teachers and students in government and aided high schools across eight taluks, using a questionnaire developed with education experts, officials and B.Ed. college faculty.</w:t>
            </w:r>
          </w:p>
          <w:p>
            <w:pPr>
              <w:spacing w:after="60"/>
              <w:jc w:val="both"/>
            </w:pPr>
            <w:r>
              <w:rPr>
                <w:b w:val="0"/>
              </w:rPr>
              <w:t>The IISc training produced measurable results. Trained teachers replaced the lecture method with activity-based and practical methods; students' questioning attitude and participation increased significantly; geometry and algebra were explained through images and models; and teachers created mathematics kits from old cardboard, straws and paper. Significant improvement was observed in average marks and pass percentage in SSLC Mathematics in schools with trained teachers. Sachethana training extended Social Science teaching to personality development, fostered reasoning and critical thinking, improved rapport among headmasters, teachers and parents, gave teachers confidence in activity-based methods, and built values, environmental awareness, patriotism, constitutional literacy and expression skills.</w:t>
            </w:r>
          </w:p>
          <w:p>
            <w:pPr>
              <w:spacing w:after="60"/>
              <w:jc w:val="both"/>
            </w:pPr>
            <w:r>
              <w:rPr>
                <w:b w:val="0"/>
              </w:rPr>
              <w:t>Both practices are sustainable because they build lasting teacher competencies and low-cost classroom materials. They are replicable through partnerships with institutions such as IISc and organisations such as Mantra4Change. They are scalable: the IISc study suggests extending residential, practical training to other subjects, and the Sachethana study recommends lengthening training from five to at least fifteen days. They are monitorable through classroom observation and SSLC subject results before and after training. Follow-up support, mathematics laboratories and grants for rural schools would consolidate these gains.</w:t>
            </w:r>
          </w:p>
        </w:tc>
      </w:tr>
    </w:tbl>
    <w:p>
      <w:pPr>
        <w:spacing w:after="120" w:before="160"/>
      </w:pPr>
      <w:r>
        <w:rPr>
          <w:b/>
          <w:i w:val="0"/>
          <w:sz w:val="24"/>
          <w:u w:val="none"/>
        </w:rPr>
        <w:t>References</w:t>
      </w:r>
    </w:p>
    <w:p>
      <w:pPr>
        <w:spacing w:after="60" w:before="0"/>
        <w:ind w:left="576" w:hanging="576"/>
        <w:jc w:val="both"/>
      </w:pPr>
      <w:r>
        <w:rPr>
          <w:b w:val="0"/>
          <w:i w:val="0"/>
          <w:u w:val="none"/>
        </w:rPr>
        <w:t>DIET Mandya (2025-26). A Study on the Effectiveness of Classroom Teaching Implementation by Government High School Mathematics Teachers from Mandya District Trained at IISC; DIET Mandya (2025-26). An analytical study on the implementation of social science Sachethana training in selected government and aided high schools in Mandya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120</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LALITHA KUMARI</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Mandya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Inclusive education for children with special needs (CWSN)</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Mandya's study “Evaluation of facilities provided to children with special needs (CWSN) in selected government Primary schools in Mandya district” (2025-26). Teachers need training and varied assessment techniques to teach CWSN.</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Build teacher skills to identify and address CWSN needs; promote peer acceptance and parental involvement.</w:t>
            </w:r>
          </w:p>
          <w:p>
            <w:pPr>
              <w:spacing w:after="60"/>
              <w:ind w:left="360" w:hanging="259"/>
              <w:jc w:val="both"/>
            </w:pPr>
            <w:r>
              <w:rPr>
                <w:b w:val="0"/>
              </w:rPr>
              <w:t xml:space="preserve">•  </w:t>
            </w:r>
            <w:r>
              <w:rPr>
                <w:b w:val="0"/>
              </w:rPr>
              <w:t>It ensures the provision of appropriate education for every child, including those with special needs (educational goals and necessary support services).</w:t>
            </w:r>
          </w:p>
          <w:p>
            <w:pPr>
              <w:spacing w:after="60"/>
              <w:ind w:left="360" w:hanging="259"/>
              <w:jc w:val="both"/>
            </w:pPr>
            <w:r>
              <w:rPr>
                <w:b w:val="0"/>
              </w:rPr>
              <w:t xml:space="preserve">•  </w:t>
            </w:r>
            <w:r>
              <w:rPr>
                <w:b w:val="0"/>
              </w:rPr>
              <w:t>It places strong emphasis on inclusive education, which integrates children with special needs into mainstream classrooms.</w:t>
            </w:r>
          </w:p>
          <w:p>
            <w:pPr>
              <w:spacing w:after="60"/>
              <w:ind w:left="360" w:hanging="259"/>
              <w:jc w:val="both"/>
            </w:pPr>
            <w:r>
              <w:rPr>
                <w:b w:val="0"/>
              </w:rPr>
              <w:t xml:space="preserve">•  </w:t>
            </w:r>
            <w:r>
              <w:rPr>
                <w:b w:val="0"/>
              </w:rPr>
              <w:t>Teachers must possess knowledge of various skills to identify and address the problems of children with special needs.</w:t>
            </w:r>
          </w:p>
          <w:p>
            <w:pPr>
              <w:spacing w:after="60"/>
              <w:ind w:left="360" w:hanging="259"/>
              <w:jc w:val="both"/>
            </w:pPr>
            <w:r>
              <w:rPr>
                <w:b w:val="0"/>
              </w:rPr>
              <w:t xml:space="preserve">•  </w:t>
            </w:r>
            <w:r>
              <w:rPr>
                <w:b w:val="0"/>
              </w:rPr>
              <w:t>Standardised testing and assessment methods should increasingly be adopted for children with special needs.</w:t>
            </w:r>
          </w:p>
          <w:p>
            <w:pPr>
              <w:spacing w:after="60"/>
              <w:ind w:left="360" w:hanging="259"/>
              <w:jc w:val="both"/>
            </w:pPr>
            <w:r>
              <w:rPr>
                <w:b w:val="0"/>
              </w:rPr>
              <w:t xml:space="preserve">•  </w:t>
            </w:r>
            <w:r>
              <w:rPr>
                <w:b w:val="0"/>
              </w:rPr>
              <w:t>It is crucial to foster understanding and acceptance among the classmates of children with special needs.</w:t>
            </w:r>
          </w:p>
          <w:p>
            <w:pPr>
              <w:spacing w:after="60"/>
              <w:ind w:left="360" w:hanging="259"/>
              <w:jc w:val="both"/>
            </w:pPr>
            <w:r>
              <w:rPr>
                <w:b w:val="0"/>
              </w:rPr>
              <w:t xml:space="preserve">•  </w:t>
            </w:r>
            <w:r>
              <w:rPr>
                <w:b w:val="0"/>
              </w:rPr>
              <w:t>Autonomy and self-confidence should be promoted in children with special needs.</w:t>
            </w:r>
          </w:p>
          <w:p>
            <w:pPr>
              <w:spacing w:after="60"/>
              <w:ind w:left="360" w:hanging="259"/>
              <w:jc w:val="both"/>
            </w:pPr>
            <w:r>
              <w:rPr>
                <w:b w:val="0"/>
              </w:rPr>
              <w:t xml:space="preserve">•  </w:t>
            </w:r>
            <w:r>
              <w:rPr>
                <w:b w:val="0"/>
              </w:rPr>
              <w:t>Active parental involvement is crucial for the success of children with special needs.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Mandya's evaluation of facilities provided to children with special needs (CWSN) in government primary schools documents inclusive practices that are working at school level. The study examined how facilities affect the educational progress and self-reliance of CWSN, compared their achievement with that of other children, and gathered the views of teachers, classmates and parents. Headmasters, teachers and parents from selected government primary schools across all eight educational blocks were chosen by random sampling, and 10-item yes/no questionnaires prepared with subject experts were analysed through percentages and charts.</w:t>
            </w:r>
          </w:p>
          <w:p>
            <w:pPr>
              <w:spacing w:after="60"/>
              <w:jc w:val="both"/>
            </w:pPr>
            <w:r>
              <w:rPr>
                <w:b w:val="0"/>
              </w:rPr>
              <w:t>The findings show that inclusion is a reality in these schools. CWSN were receiving full government benefits and were treated equally by their teachers. They were generally provided with learning aids and playing equipment, and they participated actively in curricular and co-curricular activities alongside mainstream students. These are the essential conditions of inclusive education, access to entitlements, equal treatment, appropriate materials and full participation in school life.</w:t>
            </w:r>
          </w:p>
          <w:p>
            <w:pPr>
              <w:spacing w:after="60"/>
              <w:jc w:val="both"/>
            </w:pPr>
            <w:r>
              <w:rPr>
                <w:b w:val="0"/>
              </w:rPr>
              <w:t>The practice is sustainable because it rests on existing government entitlements for CWSN and on teachers' everyday attitudes in classrooms. It is replicable in every government primary school. It is scalable by building teachers' skills, since the study found that teachers required training and a range of assessment techniques to teach CWSN effectively. It is monitorable through records of benefits received, availability of learning aids and play equipment, participation in school activities, and achievement compared with peers. The study concludes that teachers need skills to identify and address the problems of CWSN, and that peer acceptance, autonomy, self-confidence and active parental involvement are crucial for their success. DIET-led training in identification and assessment methods, together with parent engagement, would deepen the inclusive practices already in place across Mandya's primary schools.</w:t>
            </w:r>
          </w:p>
        </w:tc>
      </w:tr>
    </w:tbl>
    <w:p>
      <w:pPr>
        <w:spacing w:after="120" w:before="160"/>
      </w:pPr>
      <w:r>
        <w:rPr>
          <w:b/>
          <w:i w:val="0"/>
          <w:sz w:val="24"/>
          <w:u w:val="none"/>
        </w:rPr>
        <w:t>References</w:t>
      </w:r>
    </w:p>
    <w:p>
      <w:pPr>
        <w:spacing w:after="60" w:before="0"/>
        <w:ind w:left="576" w:hanging="576"/>
        <w:jc w:val="both"/>
      </w:pPr>
      <w:r>
        <w:rPr>
          <w:b w:val="0"/>
          <w:i w:val="0"/>
          <w:u w:val="none"/>
        </w:rPr>
        <w:t>DIET Mandya (2025-26). Evaluation of facilities provided to children with special needs (CWSN) in selected government Primary schools in Mandya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121</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KOMALA B</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Mandya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Parent engagement in children's learning</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Mandya's study “A study on parental involvement in improving the tenth grade results of selected high schools in Mandya district” (2025-26). Only fifty-four per cent of parents attended parent-teacher meetings and seventy-one per cent followed teachers' directions.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Treat parental involvement as integral to schooling; make PTMs meaningful; digital literacy training for parents.</w:t>
            </w:r>
          </w:p>
          <w:p>
            <w:pPr>
              <w:spacing w:after="60"/>
              <w:ind w:left="360" w:hanging="259"/>
              <w:jc w:val="both"/>
            </w:pPr>
            <w:r>
              <w:rPr>
                <w:b w:val="0"/>
              </w:rPr>
              <w:t xml:space="preserve">•  </w:t>
            </w:r>
            <w:r>
              <w:rPr>
                <w:b w:val="0"/>
              </w:rPr>
              <w:t>Parental involvement should be considered an integral part of school education, and strategies should be devised to strengthen it in every school.</w:t>
            </w:r>
          </w:p>
          <w:p>
            <w:pPr>
              <w:spacing w:after="60"/>
              <w:ind w:left="360" w:hanging="259"/>
              <w:jc w:val="both"/>
            </w:pPr>
            <w:r>
              <w:rPr>
                <w:b w:val="0"/>
              </w:rPr>
              <w:t xml:space="preserve">•  </w:t>
            </w:r>
            <w:r>
              <w:rPr>
                <w:b w:val="0"/>
              </w:rPr>
              <w:t>Parent Teacher Meetings (PTM) should not be just formal meetings, but should be designed as a platform for meaningful dialogue on students' academic progress.</w:t>
            </w:r>
          </w:p>
          <w:p>
            <w:pPr>
              <w:spacing w:after="60"/>
              <w:ind w:left="360" w:hanging="259"/>
              <w:jc w:val="both"/>
            </w:pPr>
            <w:r>
              <w:rPr>
                <w:b w:val="0"/>
              </w:rPr>
              <w:t xml:space="preserve">•  </w:t>
            </w:r>
            <w:r>
              <w:rPr>
                <w:b w:val="0"/>
              </w:rPr>
              <w:t>Awareness programs should be organized to increase parental participation in special classes, preparatory exams and other result improvement programs.</w:t>
            </w:r>
          </w:p>
          <w:p>
            <w:pPr>
              <w:spacing w:after="60"/>
              <w:ind w:left="360" w:hanging="259"/>
              <w:jc w:val="both"/>
            </w:pPr>
            <w:r>
              <w:rPr>
                <w:b w:val="0"/>
              </w:rPr>
              <w:t xml:space="preserve">•  </w:t>
            </w:r>
            <w:r>
              <w:rPr>
                <w:b w:val="0"/>
              </w:rPr>
              <w:t>Schools should provide special guidance to inculcate a culture among parents to read and understand students' progress reports.</w:t>
            </w:r>
          </w:p>
          <w:p>
            <w:pPr>
              <w:spacing w:after="60"/>
              <w:ind w:left="360" w:hanging="259"/>
              <w:jc w:val="both"/>
            </w:pPr>
            <w:r>
              <w:rPr>
                <w:b w:val="0"/>
              </w:rPr>
              <w:t xml:space="preserve">•  </w:t>
            </w:r>
            <w:r>
              <w:rPr>
                <w:b w:val="0"/>
              </w:rPr>
              <w:t>Parents should be provided with digital literacy training on the use of the KSEAB website, the department's digital services and online educational resources.</w:t>
            </w:r>
          </w:p>
          <w:p>
            <w:pPr>
              <w:spacing w:after="60"/>
              <w:ind w:left="360" w:hanging="259"/>
              <w:jc w:val="both"/>
            </w:pPr>
            <w:r>
              <w:rPr>
                <w:b w:val="0"/>
              </w:rPr>
              <w:t xml:space="preserve">•  </w:t>
            </w:r>
            <w:r>
              <w:rPr>
                <w:b w:val="0"/>
              </w:rPr>
              <w:t>Teachers should strengthen the system of constant communication with parents through telephone, SMS, WhatsApp and other digital media.</w:t>
            </w:r>
          </w:p>
          <w:p>
            <w:pPr>
              <w:spacing w:after="60"/>
              <w:ind w:left="360" w:hanging="259"/>
              <w:jc w:val="both"/>
            </w:pPr>
            <w:r>
              <w:rPr>
                <w:b w:val="0"/>
              </w:rPr>
              <w:t xml:space="preserve">•  </w:t>
            </w:r>
            <w:r>
              <w:rPr>
                <w:b w:val="0"/>
              </w:rPr>
              <w:t>Active participation of parents in programs such as wake-up calls, special classes, and learning supervision should be encouraged.</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Mandya's study on parental involvement in improving Class 10 results documents a structured home–school partnership that supports SSLC preparation. The Karnataka School Education Department has implemented special classes, preparatory examinations, parent-teacher meetings, wake-up calls, continuous assessment and digital information systems to improve Class 10 results, including a 29-point programme. The study selected one urban and three rural government high schools from each of the eight blocks, 32 schools, and included head teachers, assistant teachers and parents of Class 10 students, with questionnaires administered through resource persons and digitised for analysis.</w:t>
            </w:r>
          </w:p>
          <w:p>
            <w:pPr>
              <w:spacing w:after="60"/>
              <w:jc w:val="both"/>
            </w:pPr>
            <w:r>
              <w:rPr>
                <w:b w:val="0"/>
              </w:rPr>
              <w:t>The findings show strong parental engagement in key areas. Ninety-three per cent of parents reported discussing their children's academic issues at parent-teacher meetings. Ninety-one per cent fully cooperated with special classes, and eighty-seven per cent responded positively to the three State-level pre-readiness tests. Seventy-one per cent visited schools to inquire about academic progress. In eighty-eight per cent of schools, students with good results were congratulated, a simple recognition practice that motivates students and families.</w:t>
            </w:r>
          </w:p>
          <w:p>
            <w:pPr>
              <w:spacing w:after="60"/>
              <w:jc w:val="both"/>
            </w:pPr>
            <w:r>
              <w:rPr>
                <w:b w:val="0"/>
              </w:rPr>
              <w:t>The practice is sustainable because it works through existing departmental measures and school meetings without additional cost. It is replicable in every high school. It is scalable through the department's 29-point programme and standard PTM formats. It is monitorable through indicators the study itself used: PTM attendance, parents' cooperation with special classes and preparatory tests, school visits by parents, and recognition of achievement. The study recommends treating parental involvement as integral to schooling, making parent-teacher meetings meaningful and providing parents with digital literacy training, including awareness of the KSEAB website and other digital services. Raising PTM attendance, which stood at fifty-four per cent, would extend these benefits to more families and further support SSLC results.</w:t>
            </w:r>
          </w:p>
        </w:tc>
      </w:tr>
    </w:tbl>
    <w:p>
      <w:pPr>
        <w:spacing w:after="120" w:before="160"/>
      </w:pPr>
      <w:r>
        <w:rPr>
          <w:b/>
          <w:i w:val="0"/>
          <w:sz w:val="24"/>
          <w:u w:val="none"/>
        </w:rPr>
        <w:t>References</w:t>
      </w:r>
    </w:p>
    <w:p>
      <w:pPr>
        <w:spacing w:after="60" w:before="0"/>
        <w:ind w:left="576" w:hanging="576"/>
        <w:jc w:val="both"/>
      </w:pPr>
      <w:r>
        <w:rPr>
          <w:b w:val="0"/>
          <w:i w:val="0"/>
          <w:u w:val="none"/>
        </w:rPr>
        <w:t>DIET Mandya (2025-26). A study on parental involvement in improving the tenth grade results of selected high schools in Mandya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122</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NAGARAJU B G</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Mandya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Science laboratories, Atal Tinkering Labs and experiential science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Mandya's study “A study on the effective utilization of laboratories in government high schools of Mandya district” (2025-26). Labs in 7 grant schools versus 33 others: few independent lab spaces; equipment often packed or unused; no lab assistants or practical periods; teachers lack training and confidence.</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Strengthen lab infrastructure, teacher training and headmasters' leadership for regular practical work.</w:t>
            </w:r>
          </w:p>
          <w:p>
            <w:pPr>
              <w:spacing w:after="60"/>
              <w:ind w:left="360" w:hanging="259"/>
              <w:jc w:val="both"/>
            </w:pPr>
            <w:r>
              <w:rPr>
                <w:b w:val="0"/>
              </w:rPr>
              <w:t xml:space="preserve">•  </w:t>
            </w:r>
            <w:r>
              <w:rPr>
                <w:b w:val="0"/>
              </w:rPr>
              <w:t>Headmasters and teachers should be encouraged to take a greater interest in practical activities in high schools.</w:t>
            </w:r>
          </w:p>
          <w:p>
            <w:pPr>
              <w:spacing w:after="60"/>
              <w:ind w:left="360" w:hanging="259"/>
              <w:jc w:val="both"/>
            </w:pPr>
            <w:r>
              <w:rPr>
                <w:b w:val="0"/>
              </w:rPr>
              <w:t xml:space="preserve">•  </w:t>
            </w:r>
            <w:r>
              <w:rPr>
                <w:b w:val="0"/>
              </w:rPr>
              <w:t>Along with the textbook curriculum, headmasters and teachers should give greater importance to practical school visits.</w:t>
            </w:r>
          </w:p>
          <w:p>
            <w:pPr>
              <w:spacing w:after="60"/>
              <w:ind w:left="360" w:hanging="259"/>
              <w:jc w:val="both"/>
            </w:pPr>
            <w:r>
              <w:rPr>
                <w:b w:val="0"/>
              </w:rPr>
              <w:t xml:space="preserve">•  </w:t>
            </w:r>
            <w:r>
              <w:rPr>
                <w:b w:val="0"/>
              </w:rPr>
              <w:t>Headmasters must take improvement measures regarding the science laboratory.</w:t>
            </w:r>
          </w:p>
          <w:p>
            <w:pPr>
              <w:spacing w:after="60"/>
              <w:ind w:left="360" w:hanging="259"/>
              <w:jc w:val="both"/>
            </w:pPr>
            <w:r>
              <w:rPr>
                <w:b w:val="0"/>
              </w:rPr>
              <w:t xml:space="preserve">•  </w:t>
            </w:r>
            <w:r>
              <w:rPr>
                <w:b w:val="0"/>
              </w:rPr>
              <w:t>It should be emphasized that better knowledge can be gained from science laboratories.</w:t>
            </w:r>
          </w:p>
          <w:p>
            <w:pPr>
              <w:spacing w:after="60"/>
              <w:ind w:left="360" w:hanging="259"/>
              <w:jc w:val="both"/>
            </w:pPr>
            <w:r>
              <w:rPr>
                <w:b w:val="0"/>
              </w:rPr>
              <w:t xml:space="preserve">•  </w:t>
            </w:r>
            <w:r>
              <w:rPr>
                <w:b w:val="0"/>
              </w:rPr>
              <w:t>Basic infrastructure and facilities in science laboratories must be increased.</w:t>
            </w:r>
          </w:p>
          <w:p>
            <w:pPr>
              <w:spacing w:after="60"/>
              <w:ind w:left="360" w:hanging="259"/>
              <w:jc w:val="both"/>
            </w:pPr>
            <w:r>
              <w:rPr>
                <w:b w:val="0"/>
              </w:rPr>
              <w:t xml:space="preserve">•  </w:t>
            </w:r>
            <w:r>
              <w:rPr>
                <w:b w:val="0"/>
              </w:rPr>
              <w:t>Even though equipment is available in school laboratories, a hesitation to conduct experiments is observed due to a lack of teacher training and confidence.</w:t>
            </w:r>
          </w:p>
          <w:p>
            <w:pPr>
              <w:spacing w:after="60"/>
              <w:ind w:left="360" w:hanging="259"/>
              <w:jc w:val="both"/>
            </w:pPr>
            <w:r>
              <w:rPr>
                <w:b w:val="0"/>
              </w:rPr>
              <w:t xml:space="preserve">•  </w:t>
            </w:r>
            <w:r>
              <w:rPr>
                <w:b w:val="0"/>
              </w:rPr>
              <w:t>Laboratories are limited only to practical exams, which has reduced children's interest in learning.</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Mandya's study on the effective use of laboratories in government high schools documents a State investment in science laboratories and offers a sound model for evaluating it. Under budget clause 96 B, DSERT provided 250 government high schools across Karnataka with a grant of Rs 2 lakh each in 2024-25 for laboratory equipment and the preparation of laboratory rooms. Seven of these schools were in Mandya district, and their teachers received training. The study compared these seven grant-receiving schools with 33 non-grant government high schools across eight educational taluks, using separate 20-question questionnaires for headmasters, assistant teachers and students developed in consultation with subject experts.</w:t>
            </w:r>
          </w:p>
          <w:p>
            <w:pPr>
              <w:spacing w:after="60"/>
              <w:jc w:val="both"/>
            </w:pPr>
            <w:r>
              <w:rPr>
                <w:b w:val="0"/>
              </w:rPr>
              <w:t>The practice worth highlighting is twofold. First, the grant model itself, combining funds for equipment and room preparation with teacher training, provides a complete package for setting up laboratories. Second, the evaluation design, comparing grant and non-grant schools, gives an objective measure of whether the investment is reaching students. The comparison identified clear priorities: the need for independent laboratory spaces instead of multipurpose classrooms, ensuring that supplied equipment is used rather than left packed, dedicated practical periods in timetables, laboratory assistants, timely repair of apparatus in rural schools, and teacher confidence in conducting experiments.</w:t>
            </w:r>
          </w:p>
          <w:p>
            <w:pPr>
              <w:spacing w:after="60"/>
              <w:jc w:val="both"/>
            </w:pPr>
            <w:r>
              <w:rPr>
                <w:b w:val="0"/>
              </w:rPr>
              <w:t>The grant model is sustainable when supported by maintenance and staffing. It is replicable and scalable, as the State scheme already covers 250 schools and can be extended. It is monitorable through equipment-use registers, timetabled practical periods and students' practical experience, the indicators used in this study. The study recommends strengthening laboratory infrastructure, teacher training and headmasters' leadership in promoting regular practical work. Applying the same grant-versus-non-grant comparison in other districts would help ensure that laboratory investments translate into regular hands-on science for students, not only practical examinations.</w:t>
            </w:r>
          </w:p>
        </w:tc>
      </w:tr>
    </w:tbl>
    <w:p>
      <w:pPr>
        <w:spacing w:after="120" w:before="160"/>
      </w:pPr>
      <w:r>
        <w:rPr>
          <w:b/>
          <w:i w:val="0"/>
          <w:sz w:val="24"/>
          <w:u w:val="none"/>
        </w:rPr>
        <w:t>References</w:t>
      </w:r>
    </w:p>
    <w:p>
      <w:pPr>
        <w:spacing w:after="60" w:before="0"/>
        <w:ind w:left="576" w:hanging="576"/>
        <w:jc w:val="both"/>
      </w:pPr>
      <w:r>
        <w:rPr>
          <w:b w:val="0"/>
          <w:i w:val="0"/>
          <w:u w:val="none"/>
        </w:rPr>
        <w:t>DIET Mandya (2025-26). A study on the effective utilization of laboratories in government high schools of Mandya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123</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CHANDRA SHEKHAR G R</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Mandya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Subject pedagogy and teaching-learning materials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Mandya's study “Study on Kannada Learning Outcomes-Based Curriculum Teaching- Learning Process in Selected Government Primary and High Schools of Mandya District” (2024-25). Kannada learning-outcomes curriculum shows variable effectiveness, with significant training and resource needs.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Teacher capacity building; outcome-aligned assessment; grade-specific TLM; monitoring and mentoring.</w:t>
            </w:r>
          </w:p>
          <w:p>
            <w:pPr>
              <w:spacing w:after="60"/>
              <w:ind w:left="360" w:hanging="259"/>
              <w:jc w:val="both"/>
            </w:pPr>
            <w:r>
              <w:rPr>
                <w:b w:val="0"/>
              </w:rPr>
              <w:t xml:space="preserve">•  </w:t>
            </w:r>
            <w:r>
              <w:rPr>
                <w:b w:val="0"/>
              </w:rPr>
              <w:t>Develop grade-specific teaching-learning materials aligned with Kannada learning outcomes.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Mandya's study on the Kannada learning outcomes-based curriculum in government primary and high schools documents the shift from content coverage to competency achievement in first-language teaching. A learning outcomes-based curriculum specifies age-appropriate competencies in listening, speaking, reading and writing, and requires changes in classroom practice, assessment and teacher mindsets. The study sampled Kannada teachers and students from urban and rural schools at the primary (Grades 1–5) and high school (Grades 6–10) levels. It used a mixed-methods descriptive design, with classroom observation using structured protocols, interviews with teachers on their understanding of learning outcomes, planning and professional needs, and analysis of lesson plans, assessment records and student work samples.</w:t>
            </w:r>
          </w:p>
          <w:p>
            <w:pPr>
              <w:spacing w:after="60"/>
              <w:jc w:val="both"/>
            </w:pPr>
            <w:r>
              <w:rPr>
                <w:b w:val="0"/>
              </w:rPr>
              <w:t>The study's methodology is itself a practice worth replicating: combining observation of teaching, teacher interviews and analysis of lesson plans and student work gives a rounded picture of how a curriculum reform is actually implemented in classrooms. The study found that learning outcomes provide clear instructional targets for teachers, a key strength of the outcomes-based approach, and it documented effective practices in schools where implementation was strong. It also found that implementation varied across schools, with significant training and resource needs.</w:t>
            </w:r>
          </w:p>
          <w:p>
            <w:pPr>
              <w:spacing w:after="60"/>
              <w:jc w:val="both"/>
            </w:pPr>
            <w:r>
              <w:rPr>
                <w:b w:val="0"/>
              </w:rPr>
              <w:t>The outcomes-based approach is sustainable because learning outcomes are part of the State curriculum and provide a stable reference for teaching and assessment. It is replicable across all government schools and can be extended to other subjects. It is scalable through DIET training and mentoring. It is monitorable through assessment records aligned with learning outcomes, lesson plans and classroom observation. The study concludes that teacher capacity building, assessment aligned with outcomes, grade-specific teaching-learning materials, and monitoring and mentoring mechanisms are essential for consistent implementation, a clear framework for strengthening Kannada teaching across all grades.</w:t>
            </w:r>
          </w:p>
        </w:tc>
      </w:tr>
    </w:tbl>
    <w:p>
      <w:pPr>
        <w:spacing w:after="120" w:before="160"/>
      </w:pPr>
      <w:r>
        <w:rPr>
          <w:b/>
          <w:i w:val="0"/>
          <w:sz w:val="24"/>
          <w:u w:val="none"/>
        </w:rPr>
        <w:t>References</w:t>
      </w:r>
    </w:p>
    <w:p>
      <w:pPr>
        <w:spacing w:after="60" w:before="0"/>
        <w:ind w:left="576" w:hanging="576"/>
        <w:jc w:val="both"/>
      </w:pPr>
      <w:r>
        <w:rPr>
          <w:b w:val="0"/>
          <w:i w:val="0"/>
          <w:u w:val="none"/>
        </w:rPr>
        <w:t>DIET Mandya (2024-25). Study on Kannada Learning Outcomes-Based Curriculum Teaching- Learning Process in Selected Government Primary and High Schools of Mandya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124</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CHANDRA SHEKHAR G R</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Mandya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Environmental awareness and Eco Clubs</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Mandya's study “Role of Eco-clubs in creating environmental awareness among students of selected government high schools across eight zones of Mandya districts” (2024-25). Environmental knowledge differs between rural and urban students.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Use Eco-clubs for experiential, project-based and interdisciplinary learning and school–community engagement.</w:t>
            </w:r>
          </w:p>
          <w:p>
            <w:pPr>
              <w:spacing w:after="60"/>
              <w:ind w:left="360" w:hanging="259"/>
              <w:jc w:val="both"/>
            </w:pPr>
            <w:r>
              <w:rPr>
                <w:b w:val="0"/>
              </w:rPr>
              <w:t xml:space="preserve">•  </w:t>
            </w:r>
            <w:r>
              <w:rPr>
                <w:b w:val="0"/>
              </w:rPr>
              <w:t>Eco- club activities provide students with in depth education on environmental issues such as Pollution,climate change and conservation.</w:t>
            </w:r>
          </w:p>
          <w:p>
            <w:pPr>
              <w:spacing w:after="60"/>
              <w:ind w:left="360" w:hanging="259"/>
              <w:jc w:val="both"/>
            </w:pPr>
            <w:r>
              <w:rPr>
                <w:b w:val="0"/>
              </w:rPr>
              <w:t xml:space="preserve">•  </w:t>
            </w:r>
            <w:r>
              <w:rPr>
                <w:b w:val="0"/>
              </w:rPr>
              <w:t>Eco- club activities encourage ethical and eco- friendly behavior and promote value based education ,instilling qualities such as empathy ,co-operation,sustainability, respect for all living beings, ethical thinking and asense of responsibility towards the environment.</w:t>
            </w:r>
          </w:p>
          <w:p>
            <w:pPr>
              <w:spacing w:after="60"/>
              <w:ind w:left="360" w:hanging="259"/>
              <w:jc w:val="both"/>
            </w:pPr>
            <w:r>
              <w:rPr>
                <w:b w:val="0"/>
              </w:rPr>
              <w:t xml:space="preserve">•  </w:t>
            </w:r>
            <w:r>
              <w:rPr>
                <w:b w:val="0"/>
              </w:rPr>
              <w:t>Eco- club activities strengthen the bond between the school and community and encourage active democratic participation in environmental initiatives.</w:t>
            </w:r>
          </w:p>
          <w:p>
            <w:pPr>
              <w:spacing w:after="60"/>
              <w:ind w:left="360" w:hanging="259"/>
              <w:jc w:val="both"/>
            </w:pPr>
            <w:r>
              <w:rPr>
                <w:b w:val="0"/>
              </w:rPr>
              <w:t xml:space="preserve">•  </w:t>
            </w:r>
            <w:r>
              <w:rPr>
                <w:b w:val="0"/>
              </w:rPr>
              <w:t>Furthermore these activities support inter disciplinary learning integrating subjects such as science, geography ,environmental studies and social science 7.Finally Eco club activities promote project based learning among students.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Mandya's study on the role of Eco-clubs in creating environmental awareness among high school students documents an effective, activity-based approach to environmental education. Eco-clubs impart the skills needed to identify and resolve environmental issues at individual and community levels. The study selected headmasters, assistant teachers and students from government high schools across all eight educational taluks of the district by random sampling. Separate 10-question questionnaires were administered to each group, and responses were analysed by percentage and presented through bar charts, pie charts and line graphs. The study also compared environmental knowledge between rural and urban students.</w:t>
            </w:r>
          </w:p>
          <w:p>
            <w:pPr>
              <w:spacing w:after="60"/>
              <w:jc w:val="both"/>
            </w:pPr>
            <w:r>
              <w:rPr>
                <w:b w:val="0"/>
              </w:rPr>
              <w:t>The findings show that Eco-clubs are working well. Headmasters had effectively raised awareness of Eco-club management and enhanced environmental knowledge through school-based activities. Students participated actively and enjoyed the activities. Eco-clubs supported extracurricular activities, school gardens and composting, and helped address local environmental issues. The study concludes that Eco-club activities promote experiential, project-based and interdisciplinary learning, eco-friendly values and school–community engagement.</w:t>
            </w:r>
          </w:p>
          <w:p>
            <w:pPr>
              <w:spacing w:after="60"/>
              <w:jc w:val="both"/>
            </w:pPr>
            <w:r>
              <w:rPr>
                <w:b w:val="0"/>
              </w:rPr>
              <w:t>The practice is sustainable because Eco-clubs operate within existing school structures and rely on low-cost activities such as gardens and composting. It is replicable in every school and is already part of national and State programmes. It is scalable by strengthening headmaster leadership, which the study found to be a key driver, and through teacher orientation by DIETs. It is monitorable through records of Eco-club activities, student participation, school gardens and composting units, and assessments of students' environmental knowledge, including rural–urban comparisons. Eco-clubs also contribute directly to the Viksit Karnataka objective of environmental sustainability and climate resilience, making this a practice with value beyond the classroom. Linking Eco-club projects to the science and social science curriculum would further deepen its interdisciplinary benefits.</w:t>
            </w:r>
          </w:p>
        </w:tc>
      </w:tr>
    </w:tbl>
    <w:p>
      <w:pPr>
        <w:spacing w:after="120" w:before="160"/>
      </w:pPr>
      <w:r>
        <w:rPr>
          <w:b/>
          <w:i w:val="0"/>
          <w:sz w:val="24"/>
          <w:u w:val="none"/>
        </w:rPr>
        <w:t>References</w:t>
      </w:r>
    </w:p>
    <w:p>
      <w:pPr>
        <w:spacing w:after="60" w:before="0"/>
        <w:ind w:left="576" w:hanging="576"/>
        <w:jc w:val="both"/>
      </w:pPr>
      <w:r>
        <w:rPr>
          <w:b w:val="0"/>
          <w:i w:val="0"/>
          <w:u w:val="none"/>
        </w:rPr>
        <w:t>DIET Mandya (2024-25). Role of Eco-clubs in creating environmental awareness among students of selected government high schools across eight zones of Mandya districts.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125</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NIRMALA V</w:t>
            </w:r>
          </w:p>
        </w:tc>
      </w:tr>
      <w:tr>
        <w:tc>
          <w:tcPr>
            <w:tcW w:type="dxa" w:w="3312"/>
            <w:shd w:val="clear" w:color="auto" w:fill="F2F2F2"/>
          </w:tcPr>
          <w:p>
            <w:pPr>
              <w:spacing w:after="0"/>
            </w:pPr>
            <w:r/>
            <w:r>
              <w:rPr>
                <w:b/>
              </w:rPr>
              <w:t>Designation</w:t>
            </w:r>
          </w:p>
        </w:tc>
        <w:tc>
          <w:tcPr>
            <w:tcW w:type="dxa" w:w="5760"/>
          </w:tcPr>
          <w:p>
            <w:pPr>
              <w:spacing w:after="0"/>
            </w:pPr>
            <w:r/>
            <w:r>
              <w:t>Lecturer</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Mandya</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Child protection: prohibition of corporal punishment</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Mandya's study “Understanding and implementation of guidelines regarding the prohibition of corporal punishment in government high schools of Mandya district”” (2025-26). Most teachers understand the ban on corporal punishment, but gaps remain in implementation; teachers lack time and students lack guidance (32 schools, 224 respondents).</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Build student awareness; verification by supervisory officials; dedicated time; plays, skits, videos and jingles.</w:t>
            </w:r>
          </w:p>
          <w:p>
            <w:pPr>
              <w:spacing w:after="60"/>
              <w:ind w:left="360" w:hanging="259"/>
              <w:jc w:val="both"/>
            </w:pPr>
            <w:r>
              <w:rPr>
                <w:b w:val="0"/>
              </w:rPr>
              <w:t xml:space="preserve">•  </w:t>
            </w:r>
            <w:r>
              <w:rPr>
                <w:b w:val="0"/>
              </w:rPr>
              <w:t>There is a pressing need to formulate strategies to create awareness among students.</w:t>
            </w:r>
          </w:p>
          <w:p>
            <w:pPr>
              <w:spacing w:after="60"/>
              <w:ind w:left="360" w:hanging="259"/>
              <w:jc w:val="both"/>
            </w:pPr>
            <w:r>
              <w:rPr>
                <w:b w:val="0"/>
              </w:rPr>
              <w:t xml:space="preserve">•  </w:t>
            </w:r>
            <w:r>
              <w:rPr>
                <w:b w:val="0"/>
              </w:rPr>
              <w:t>Supervisory officials visiting schools should verify students' awareness of the guidelines regarding the elimination of corporal punishment and provide guidance to both headmasters and assistant teachers.</w:t>
            </w:r>
          </w:p>
          <w:p>
            <w:pPr>
              <w:spacing w:after="60"/>
              <w:ind w:left="360" w:hanging="259"/>
              <w:jc w:val="both"/>
            </w:pPr>
            <w:r>
              <w:rPr>
                <w:b w:val="0"/>
              </w:rPr>
              <w:t xml:space="preserve">•  </w:t>
            </w:r>
            <w:r>
              <w:rPr>
                <w:b w:val="0"/>
              </w:rPr>
              <w:t>Teachers need to share their knowledge with students and set aside time to provide them with guidance on this matter.</w:t>
            </w:r>
          </w:p>
          <w:p>
            <w:pPr>
              <w:spacing w:after="60"/>
              <w:ind w:left="360" w:hanging="259"/>
              <w:jc w:val="both"/>
            </w:pPr>
            <w:r>
              <w:rPr>
                <w:b w:val="0"/>
              </w:rPr>
              <w:t xml:space="preserve">•  </w:t>
            </w:r>
            <w:r>
              <w:rPr>
                <w:b w:val="0"/>
              </w:rPr>
              <w:t>Awareness should be created among children through mediums such as plays, short skits, videos, and jingles.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Mandya's study on the understanding and implementation of guidelines prohibiting corporal punishment in government high schools is a best practice in checking how well child protection rules are applied in schools. The Right of Children to Free and Compulsory Education Act bans corporal punishment completely, treating any physical or mental abuse of students as unlawful, and the Department of Education has issued guidelines directing teachers to create a friendly, supportive environment. The study covered 32 government high schools, four from each of the eight taluks, with 32 headmasters, 64 assistant teachers and 128 Class 9 students (224 respondents). Questionnaires and interviews (10 questions for headmasters, 10 for assistant teachers and 20 multiple-choice questions for students) examined awareness, implementation, rural–urban differences, effects on behaviour and learning, and whether a safe environment had been created.</w:t>
            </w:r>
          </w:p>
          <w:p>
            <w:pPr>
              <w:spacing w:after="60"/>
              <w:jc w:val="both"/>
            </w:pPr>
            <w:r>
              <w:rPr>
                <w:b w:val="0"/>
              </w:rPr>
              <w:t>The study found that most teachers had a basic understanding of the ban, which is the essential starting point for compliance, and that students were interested in the subject. By gathering views from headmasters, teachers and students together, the study gave a realistic picture of both awareness and practice, and it identified what effective implementation needs: additional facilities, adequate time, teacher training and administrative support.</w:t>
            </w:r>
          </w:p>
          <w:p>
            <w:pPr>
              <w:spacing w:after="60"/>
              <w:jc w:val="both"/>
            </w:pPr>
            <w:r>
              <w:rPr>
                <w:b w:val="0"/>
              </w:rPr>
              <w:t>The practice of auditing awareness and implementation is sustainable because it uses simple tools that can be repeated periodically. It is replicable in every district and can be extended to other child-protection guidelines, such as POCSO awareness. It is scalable through supervisory officials. It is monitorable through repeated surveys of teacher and student awareness. The study recommends strategies to build students' awareness, verification of that awareness by supervisory officials during school visits, dedicated time for teachers to guide students, and awareness activities such as plays, short skits, videos and jingles.</w:t>
            </w:r>
          </w:p>
        </w:tc>
      </w:tr>
    </w:tbl>
    <w:p>
      <w:pPr>
        <w:spacing w:after="120" w:before="160"/>
      </w:pPr>
      <w:r>
        <w:rPr>
          <w:b/>
          <w:i w:val="0"/>
          <w:sz w:val="24"/>
          <w:u w:val="none"/>
        </w:rPr>
        <w:t>References</w:t>
      </w:r>
    </w:p>
    <w:p>
      <w:pPr>
        <w:spacing w:after="60" w:before="0"/>
        <w:ind w:left="576" w:hanging="576"/>
        <w:jc w:val="both"/>
      </w:pPr>
      <w:r>
        <w:rPr>
          <w:b w:val="0"/>
          <w:i w:val="0"/>
          <w:u w:val="none"/>
        </w:rPr>
        <w:t>DIET Mandya (2025-26). Understanding and implementation of guidelines regarding the prohibition of corporal punishment in government high schools of Mandya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126</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Mysuru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Teachers' English proficiency and English-medium classroom practice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Mysuru's study “Impact of English Medium Teachers Induction Programme (EMTIP) on Classroom Transactions in Government Higher Primary Schools (Bilingual Schools) of Mysuru District” (2024-25). Sustained outcomes depend on continuous development, English-rich environments, monitoring and adequate TLM.</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Continuous professional development; English-rich school environments; administrative monitoring and support; adequate teaching-learning materials.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Mysuru's study on EMTIP in bilingual government higher primary schools documents the effectiveness of structured, practice-oriented induction training for teachers who were originally trained to teach in Kannada. EMTIP integrates English proficiency with learner-centred, language-supportive pedagogy across English, Kannada, Mathematics and Environmental Studies. The study used a mixed-methods evaluative design with purposive sampling of EMTIP schools and stratified sampling across the district's nine educational blocks, assessing Grade 5 students' oral and written English, classroom practices before and after training, and headmasters' perspectives.</w:t>
            </w:r>
          </w:p>
          <w:p>
            <w:pPr>
              <w:spacing w:after="60"/>
              <w:jc w:val="both"/>
            </w:pPr>
            <w:r>
              <w:rPr>
                <w:b w:val="0"/>
              </w:rPr>
              <w:t>The classroom observation results are strong. Thirty-nine per cent of classrooms achieved excellent ratings (80/100), twenty-eight per cent very good (70–79) and thirty-three per cent good (60–69), with none scoring below 60. The overall mean observation score was 71.5/100. Competency-wise means were 72.4 per cent for teacher talk, 73.2 per cent for student engagement, 70.8 per cent for innovative strategies and 74.1 per cent for content knowledge.</w:t>
            </w:r>
          </w:p>
          <w:p>
            <w:pPr>
              <w:spacing w:after="60"/>
              <w:jc w:val="both"/>
            </w:pPr>
            <w:r>
              <w:rPr>
                <w:b w:val="0"/>
              </w:rPr>
              <w:t>The practice is sustainable because trained teachers retain bilingual teaching skills. It is replicable across all bilingual schools. It is scalable through EMTIP and follow-up support. It is monitorable through a scored classroom observation tool, which this study demonstrates, giving a clear, comparable measure of teaching quality across blocks. The study concludes that structured, practice-oriented induction training enhances bilingual teaching capacity, while sustained outcomes depend on continuous professional development, English-rich school environments, administrative monitoring and support, and adequate teaching-learning materials.</w:t>
            </w:r>
          </w:p>
        </w:tc>
      </w:tr>
    </w:tbl>
    <w:p>
      <w:pPr>
        <w:spacing w:after="120" w:before="160"/>
      </w:pPr>
      <w:r>
        <w:rPr>
          <w:b/>
          <w:i w:val="0"/>
          <w:sz w:val="24"/>
          <w:u w:val="none"/>
        </w:rPr>
        <w:t>References</w:t>
      </w:r>
    </w:p>
    <w:p>
      <w:pPr>
        <w:spacing w:after="60" w:before="0"/>
        <w:ind w:left="576" w:hanging="576"/>
        <w:jc w:val="both"/>
      </w:pPr>
      <w:r>
        <w:rPr>
          <w:b w:val="0"/>
          <w:i w:val="0"/>
          <w:u w:val="none"/>
        </w:rPr>
        <w:t>DIET Mysuru (2024-25). Impact of English Medium Teachers Induction Programme (EMTIP) on Classroom Transactions in Government Higher Primary Schools (Bilingual Schools) of Mysuru District. DSERT Research Abstracts Compilation 2024-25 and 2025-26 (Final Edition, 16 October 2026).</w:t>
      </w:r>
    </w:p>
    <w:p>
      <w:r>
        <w:br w:type="page"/>
      </w:r>
    </w:p>
    <w:p>
      <w:pPr>
        <w:spacing w:after="120" w:before="0"/>
        <w:jc w:val="right"/>
      </w:pPr>
      <w:r>
        <w:rPr>
          <w:b/>
          <w:i w:val="0"/>
          <w:u w:val="none"/>
        </w:rPr>
        <w:t>Annexure-1</w:t>
      </w:r>
    </w:p>
    <w:p>
      <w:pPr>
        <w:spacing w:after="40" w:before="0"/>
        <w:jc w:val="center"/>
      </w:pPr>
      <w:r>
        <w:rPr>
          <w:b/>
          <w:i w:val="0"/>
          <w:sz w:val="28"/>
          <w:u w:val="none"/>
        </w:rPr>
        <w:t>Feedback Note 127</w:t>
      </w:r>
    </w:p>
    <w:p>
      <w:pPr>
        <w:spacing w:after="160" w:before="0"/>
        <w:jc w:val="center"/>
      </w:pPr>
      <w:r>
        <w:rPr>
          <w:b w:val="0"/>
          <w:i/>
          <w:sz w:val="20"/>
          <w:u w:val="none"/>
        </w:rPr>
        <w:t>(by all IAS officers / State Department Officers / All Probationers of National and State Training Institutes and Academies)</w:t>
      </w:r>
    </w:p>
    <w:p>
      <w:pPr>
        <w:spacing w:after="120" w:before="160"/>
      </w:pPr>
      <w:r>
        <w:rPr>
          <w:b/>
          <w:i w:val="0"/>
          <w:sz w:val="24"/>
          <w:u w:val="none"/>
        </w:rPr>
        <w:t>Section 1: Officer Name and Details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312"/>
            <w:shd w:val="clear" w:color="auto" w:fill="F2F2F2"/>
          </w:tcPr>
          <w:p>
            <w:pPr>
              <w:spacing w:after="0"/>
            </w:pPr>
            <w:r/>
            <w:r>
              <w:rPr>
                <w:b/>
              </w:rPr>
              <w:t>Name</w:t>
            </w:r>
          </w:p>
        </w:tc>
        <w:tc>
          <w:tcPr>
            <w:tcW w:type="dxa" w:w="5760"/>
          </w:tcPr>
          <w:p>
            <w:pPr>
              <w:spacing w:after="0"/>
            </w:pPr>
            <w:r/>
            <w:r>
              <w:t>........................................</w:t>
            </w:r>
          </w:p>
        </w:tc>
      </w:tr>
      <w:tr>
        <w:tc>
          <w:tcPr>
            <w:tcW w:type="dxa" w:w="3312"/>
            <w:shd w:val="clear" w:color="auto" w:fill="F2F2F2"/>
          </w:tcPr>
          <w:p>
            <w:pPr>
              <w:spacing w:after="0"/>
            </w:pPr>
            <w:r/>
            <w:r>
              <w:rPr>
                <w:b/>
              </w:rPr>
              <w:t>Designation</w:t>
            </w:r>
          </w:p>
        </w:tc>
        <w:tc>
          <w:tcPr>
            <w:tcW w:type="dxa" w:w="5760"/>
          </w:tcPr>
          <w:p>
            <w:pPr>
              <w:spacing w:after="0"/>
            </w:pPr>
            <w:r/>
            <w:r>
              <w:t>........................................</w:t>
            </w:r>
          </w:p>
        </w:tc>
      </w:tr>
      <w:tr>
        <w:tc>
          <w:tcPr>
            <w:tcW w:type="dxa" w:w="3312"/>
            <w:shd w:val="clear" w:color="auto" w:fill="F2F2F2"/>
          </w:tcPr>
          <w:p>
            <w:pPr>
              <w:spacing w:after="0"/>
            </w:pPr>
            <w:r/>
            <w:r>
              <w:rPr>
                <w:b/>
              </w:rPr>
              <w:t>Batch</w:t>
            </w:r>
          </w:p>
        </w:tc>
        <w:tc>
          <w:tcPr>
            <w:tcW w:type="dxa" w:w="5760"/>
          </w:tcPr>
          <w:p>
            <w:pPr>
              <w:spacing w:after="0"/>
            </w:pPr>
            <w:r/>
            <w:r>
              <w:t>Not applicable (State Government officer)</w:t>
            </w:r>
          </w:p>
        </w:tc>
      </w:tr>
      <w:tr>
        <w:tc>
          <w:tcPr>
            <w:tcW w:type="dxa" w:w="3312"/>
            <w:shd w:val="clear" w:color="auto" w:fill="F2F2F2"/>
          </w:tcPr>
          <w:p>
            <w:pPr>
              <w:spacing w:after="0"/>
            </w:pPr>
            <w:r/>
            <w:r>
              <w:rPr>
                <w:b/>
              </w:rPr>
              <w:t>Current service status</w:t>
            </w:r>
          </w:p>
        </w:tc>
        <w:tc>
          <w:tcPr>
            <w:tcW w:type="dxa" w:w="5760"/>
          </w:tcPr>
          <w:p>
            <w:pPr>
              <w:spacing w:after="0"/>
            </w:pPr>
            <w:r/>
            <w:r>
              <w:t>☐ Probationer   ☐ Confirmed</w:t>
            </w:r>
          </w:p>
        </w:tc>
      </w:tr>
      <w:tr>
        <w:tc>
          <w:tcPr>
            <w:tcW w:type="dxa" w:w="3312"/>
            <w:shd w:val="clear" w:color="auto" w:fill="F2F2F2"/>
          </w:tcPr>
          <w:p>
            <w:pPr>
              <w:spacing w:after="0"/>
            </w:pPr>
            <w:r/>
            <w:r>
              <w:rPr>
                <w:b/>
              </w:rPr>
              <w:t>Training Institute / Academy (if currently undergoing institutional training)</w:t>
            </w:r>
          </w:p>
        </w:tc>
        <w:tc>
          <w:tcPr>
            <w:tcW w:type="dxa" w:w="5760"/>
          </w:tcPr>
          <w:p>
            <w:pPr>
              <w:spacing w:after="0"/>
            </w:pPr>
            <w:r/>
            <w:r>
              <w:t>Not applicable</w:t>
            </w:r>
          </w:p>
        </w:tc>
      </w:tr>
      <w:tr>
        <w:tc>
          <w:tcPr>
            <w:tcW w:type="dxa" w:w="3312"/>
            <w:shd w:val="clear" w:color="auto" w:fill="F2F2F2"/>
          </w:tcPr>
          <w:p>
            <w:pPr>
              <w:spacing w:after="0"/>
            </w:pPr>
            <w:r/>
            <w:r>
              <w:rPr>
                <w:b/>
              </w:rPr>
              <w:t>Current Posting</w:t>
            </w:r>
          </w:p>
        </w:tc>
        <w:tc>
          <w:tcPr>
            <w:tcW w:type="dxa" w:w="5760"/>
          </w:tcPr>
          <w:p>
            <w:pPr>
              <w:spacing w:after="0"/>
            </w:pPr>
            <w:r/>
            <w:r>
              <w:t>DIET, Mysuru</w:t>
            </w:r>
          </w:p>
        </w:tc>
      </w:tr>
    </w:tbl>
    <w:p>
      <w:pPr>
        <w:spacing w:after="120" w:before="160"/>
      </w:pPr>
      <w:r>
        <w:rPr>
          <w:b/>
          <w:i w:val="0"/>
          <w:sz w:val="24"/>
          <w:u w:val="none"/>
        </w:rPr>
        <w:t>Section 2: Feedback for Sixth National Conference of Chief Secretaries</w:t>
      </w:r>
    </w:p>
    <w:p>
      <w:pPr>
        <w:spacing w:after="120" w:before="160"/>
      </w:pPr>
      <w:r>
        <w:rPr>
          <w:b/>
          <w:i w:val="0"/>
          <w:sz w:val="24"/>
          <w:u w:val="none"/>
        </w:rPr>
        <w:t>1. Name of the topic</w:t>
      </w:r>
    </w:p>
    <w:p>
      <w:pPr>
        <w:spacing w:after="80" w:before="0"/>
      </w:pPr>
      <w:r>
        <w:rPr>
          <w:b w:val="0"/>
          <w:i/>
          <w:sz w:val="20"/>
          <w:u w:val="none"/>
        </w:rPr>
        <w:t>(Choose from the topics of the conference)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Human Development: Ensure Quality Education</w:t>
            </w:r>
          </w:p>
          <w:p>
            <w:pPr>
              <w:spacing w:after="60"/>
              <w:jc w:val="both"/>
            </w:pPr>
            <w:r>
              <w:rPr>
                <w:b/>
              </w:rPr>
              <w:t xml:space="preserve">Sub-topic: </w:t>
            </w:r>
            <w:r>
              <w:rPr>
                <w:b/>
              </w:rPr>
              <w:t>Effect of in-service training on classroom practice</w:t>
            </w:r>
          </w:p>
        </w:tc>
      </w:tr>
    </w:tbl>
    <w:p>
      <w:pPr>
        <w:spacing w:after="120" w:before="160"/>
      </w:pPr>
      <w:r>
        <w:rPr>
          <w:b/>
          <w:i w:val="0"/>
          <w:sz w:val="24"/>
          <w:u w:val="none"/>
        </w:rPr>
        <w:t>2. Policy Gaps and Challenges</w:t>
      </w:r>
    </w:p>
    <w:p>
      <w:pPr>
        <w:spacing w:after="80" w:before="0"/>
      </w:pPr>
      <w:r>
        <w:rPr>
          <w:b w:val="0"/>
          <w:i/>
          <w:sz w:val="20"/>
          <w:u w:val="none"/>
        </w:rPr>
        <w:t>(Current policy challenges, administrative and implementing challenges with respect to the topic selected)</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This note is based on DIET Mysuru's study “Study on Teacher Training Programs and Educational Initiatives Conducted by DIET Mysuru” (2024-25). Challenges in sustained implementation of training; need for follow-up support.</w:t>
            </w:r>
          </w:p>
        </w:tc>
      </w:tr>
    </w:tbl>
    <w:p>
      <w:pPr>
        <w:spacing w:after="120" w:before="160"/>
      </w:pPr>
      <w:r>
        <w:rPr>
          <w:b/>
          <w:i w:val="0"/>
          <w:sz w:val="24"/>
          <w:u w:val="none"/>
        </w:rPr>
        <w:t>3. Potential Solutions</w:t>
      </w:r>
    </w:p>
    <w:p>
      <w:pPr>
        <w:spacing w:after="80" w:before="0"/>
      </w:pPr>
      <w:r>
        <w:rPr>
          <w:b w:val="0"/>
          <w:i/>
          <w:sz w:val="20"/>
          <w:u w:val="none"/>
        </w:rPr>
        <w:t>(Can potentially highlight new technology solutions, scope for convergence with other schemes/ programmes, etc.)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ind w:left="360" w:hanging="259"/>
              <w:jc w:val="both"/>
            </w:pPr>
            <w:r>
              <w:rPr>
                <w:b w:val="0"/>
              </w:rPr>
              <w:t xml:space="preserve">•  </w:t>
            </w:r>
            <w:r>
              <w:rPr>
                <w:b w:val="0"/>
              </w:rPr>
              <w:t>Strengthen post-training follow-up; mentorship networks; online resource repositories; refresher programmes; practical hands-on components; learning communities.</w:t>
            </w:r>
          </w:p>
          <w:p>
            <w:pPr>
              <w:spacing w:after="60"/>
              <w:ind w:left="360" w:hanging="259"/>
              <w:jc w:val="both"/>
            </w:pPr>
            <w:r>
              <w:rPr>
                <w:b w:val="0"/>
              </w:rPr>
              <w:t xml:space="preserve">•  </w:t>
            </w:r>
            <w:r>
              <w:rPr>
                <w:b w:val="0"/>
              </w:rPr>
              <w:t>Conduct refresher programs.</w:t>
            </w:r>
          </w:p>
        </w:tc>
      </w:tr>
    </w:tbl>
    <w:p>
      <w:pPr>
        <w:spacing w:after="120" w:before="160"/>
      </w:pPr>
      <w:r>
        <w:rPr>
          <w:b/>
          <w:i w:val="0"/>
          <w:sz w:val="24"/>
          <w:u w:val="none"/>
        </w:rPr>
        <w:t>4. Best Practices</w:t>
      </w:r>
    </w:p>
    <w:p>
      <w:pPr>
        <w:spacing w:after="80" w:before="0"/>
      </w:pPr>
      <w:r>
        <w:rPr>
          <w:b w:val="0"/>
          <w:i/>
          <w:sz w:val="20"/>
          <w:u w:val="none"/>
        </w:rPr>
        <w:t>(Highlights the practices, which are sustainable, replicable, scalable, monitorable, etc. Can also highlight the block/district/ State level practices)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9026"/>
      </w:tblGrid>
      <w:tr>
        <w:tc>
          <w:tcPr>
            <w:tcW w:type="dxa" w:w="9026"/>
          </w:tcPr>
          <w:p>
            <w:pPr>
              <w:spacing w:after="60"/>
              <w:jc w:val="both"/>
            </w:pPr>
            <w:r>
              <w:rPr>
                <w:b w:val="0"/>
              </w:rPr>
              <w:t>DIET Mysuru's evaluation of its own teacher training programmes and initiatives is a best practice in institutional self-review. The study used a programme evaluation framework with pre- and post-training assessments, participant feedback surveys, classroom observation follow-ups and document analysis of training materials.</w:t>
            </w:r>
          </w:p>
          <w:p>
            <w:pPr>
              <w:spacing w:after="60"/>
              <w:jc w:val="both"/>
            </w:pPr>
            <w:r>
              <w:rPr>
                <w:b w:val="0"/>
              </w:rPr>
              <w:t>The findings show high quality. Teachers expressed high satisfaction with training quality, and there was significant improvement in pedagogical knowledge, measured through pre- and post-training assessments. Subject-specific training modules were particularly successful, indicating that targeted, discipline-based training is more effective than generic programmes.</w:t>
            </w:r>
          </w:p>
          <w:p>
            <w:pPr>
              <w:spacing w:after="60"/>
              <w:jc w:val="both"/>
            </w:pPr>
            <w:r>
              <w:rPr>
                <w:b w:val="0"/>
              </w:rPr>
              <w:t>The practice of DIETs systematically evaluating their own training is sustainable because it uses tools, pre/post tests, feedback surveys and follow-up observation, that can become part of every training cycle. It is replicable by every DIET in the State. It is scalable by building evaluation into DSERT's training calendar. It is monitorable through knowledge gains, participant satisfaction and classroom follow-up. By identifying challenges in sustained implementation and the need for follow-up support, the evaluation also shows where training design should improve. It recommends strengthening follow-up mechanisms after training, developing mentorship networks, creating online resource repositories, conducting refresher programmes, enhancing practical hands-on components and establishing learning communities. Adopting this self-evaluation approach across DIETs would make the State's large investment in in-service training more accountable and more effective.</w:t>
            </w:r>
          </w:p>
        </w:tc>
      </w:tr>
    </w:tbl>
    <w:p>
      <w:pPr>
        <w:spacing w:after="120" w:before="160"/>
      </w:pPr>
      <w:r>
        <w:rPr>
          <w:b/>
          <w:i w:val="0"/>
          <w:sz w:val="24"/>
          <w:u w:val="none"/>
        </w:rPr>
        <w:t>References</w:t>
      </w:r>
    </w:p>
    <w:p>
      <w:pPr>
        <w:spacing w:after="60" w:before="0"/>
        <w:ind w:left="576" w:hanging="576"/>
        <w:jc w:val="both"/>
      </w:pPr>
      <w:r>
        <w:rPr>
          <w:b w:val="0"/>
          <w:i w:val="0"/>
          <w:u w:val="none"/>
        </w:rPr>
        <w:t>DIET Mysuru (2024-25). Study on Teacher Training Programs and Educational Initiatives Conducted by DIET Mysuru. DSERT Research Abstracts Compilation 2024-25 and 2025-26 (Final Edition, 16 October 2026).</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60"/>
    </w:pPr>
    <w:rPr>
      <w:rFonts w:ascii="Times New Roman" w:hAnsi="Times New Roman" w:cs="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