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GOVERNMENT OF KARNATAKA</w:t>
      </w:r>
    </w:p>
    <w:p>
      <w:pPr>
        <w:pStyle w:val="BodyText"/>
      </w:pPr>
      <w:r>
        <w:t xml:space="preserve">Department of School Education and Literacy</w:t>
      </w:r>
    </w:p>
    <w:p>
      <w:pPr>
        <w:pStyle w:val="BodyText"/>
      </w:pPr>
      <w:r>
        <w:t xml:space="preserve">Department of State Educational Research and Training (DSERT), Bengaluru</w:t>
      </w:r>
    </w:p>
    <w:p>
      <w:pPr>
        <w:pStyle w:val="BodyText"/>
      </w:pPr>
      <w:r>
        <w:rPr>
          <w:bCs/>
          <w:b/>
        </w:rPr>
        <w:t xml:space="preserve">PROPOSAL TO THE MINISTRY OF EDUCATION, GOVERNMENT OF INDIA</w:t>
      </w:r>
    </w:p>
    <w:p>
      <w:pPr>
        <w:pStyle w:val="BodyText"/>
      </w:pPr>
      <w:r>
        <w:rPr>
          <w:bCs/>
          <w:b/>
        </w:rPr>
        <w:t xml:space="preserve">Establishing Research and Innovation Cells (RICs) at DSERT and the DIETs of Karnataka</w:t>
      </w:r>
    </w:p>
    <w:p>
      <w:pPr>
        <w:pStyle w:val="BodyText"/>
      </w:pPr>
      <w:r>
        <w:rPr>
          <w:iCs/>
          <w:i/>
        </w:rPr>
        <w:t xml:space="preserve">For approval under Samagra Shiksha: Strengthening of Teacher Education</w:t>
      </w:r>
    </w:p>
    <w:p>
      <w:pPr>
        <w:pStyle w:val="BodyText"/>
      </w:pPr>
      <w:r>
        <w:rPr>
          <w:bCs/>
          <w:b/>
        </w:rPr>
        <w:t xml:space="preserve">Phase 1 outlay: ₹837.00 lakh | Recurring: ₹527.00 lakh per annum</w:t>
      </w:r>
    </w:p>
    <w:p>
      <w:pPr>
        <w:pStyle w:val="BodyText"/>
      </w:pPr>
      <w:r>
        <w:t xml:space="preserve">Submitted by</w:t>
      </w:r>
    </w:p>
    <w:p>
      <w:pPr>
        <w:pStyle w:val="BodyText"/>
      </w:pPr>
      <w:r>
        <w:rPr>
          <w:bCs/>
          <w:b/>
        </w:rPr>
        <w:t xml:space="preserve">Dr. Padmashree R.P.</w:t>
      </w:r>
    </w:p>
    <w:p>
      <w:pPr>
        <w:pStyle w:val="BodyText"/>
      </w:pPr>
      <w:r>
        <w:t xml:space="preserve">Senior Assistant Director, Teacher Education and Research</w:t>
      </w:r>
    </w:p>
    <w:p>
      <w:pPr>
        <w:pStyle w:val="BodyText"/>
      </w:pPr>
      <w:r>
        <w:t xml:space="preserve">DSERT, Government of Karnataka</w:t>
      </w:r>
    </w:p>
    <w:p>
      <w:pPr>
        <w:pStyle w:val="BodyText"/>
      </w:pPr>
      <w:r>
        <w:rPr>
          <w:bCs/>
          <w:b/>
        </w:rPr>
        <w:t xml:space="preserve">October 2026</w:t>
      </w:r>
    </w:p>
    <w:p>
      <w:pPr>
        <w:pStyle w:val="BodyText"/>
      </w:pPr>
      <w:r>
        <w:rPr>
          <w:bCs/>
          <w:b/>
        </w:rPr>
        <w:t xml:space="preserve">To</w:t>
      </w:r>
    </w:p>
    <w:p>
      <w:pPr>
        <w:pStyle w:val="BodyText"/>
      </w:pPr>
      <w:r>
        <w:t xml:space="preserve">The Secretary, Department of School Education and Literacy</w:t>
      </w:r>
    </w:p>
    <w:p>
      <w:pPr>
        <w:pStyle w:val="BodyText"/>
      </w:pPr>
      <w:r>
        <w:t xml:space="preserve">Ministry of Education, Government of India, New Delhi</w:t>
      </w:r>
    </w:p>
    <w:p>
      <w:pPr>
        <w:pStyle w:val="BodyText"/>
      </w:pPr>
      <w:r>
        <w:rPr>
          <w:iCs/>
          <w:i/>
        </w:rPr>
        <w:t xml:space="preserve">(Through the Government of Karnataka, Department of School Education and Literacy)</w:t>
      </w:r>
    </w:p>
    <w:p>
      <w:pPr>
        <w:pStyle w:val="BodyText"/>
      </w:pPr>
      <w:r>
        <w:rPr>
          <w:bCs/>
          <w:b/>
        </w:rPr>
        <w:t xml:space="preserve">Subject: Proposal for approval of Research and Innovation Cells at DSERT and the District Institutes of Education and Training (DIETs), Karnataka, under Samagra Shiksha.</w:t>
      </w:r>
    </w:p>
    <w:p>
      <w:pPr>
        <w:pStyle w:val="BodyText"/>
      </w:pPr>
      <w:r>
        <w:rPr>
          <w:bCs/>
          <w:b/>
        </w:rPr>
        <w:t xml:space="preserve">Summary</w:t>
      </w:r>
    </w:p>
    <w:p>
      <w:pPr>
        <w:pStyle w:val="BodyText"/>
      </w:pPr>
      <w:r>
        <w:t xml:space="preserve">The Government of Karnataka, through DSERT, requests the Ministry of Education to approve Research and Innovation Cells (RICs) at DSERT, the State’s SCERT-equivalent institution, and at all 34 DIETs, as a dedicated and funded structure under the teacher-education component of Samagra Shiksha.</w:t>
      </w:r>
    </w:p>
    <w:p>
      <w:pPr>
        <w:pStyle w:val="BodyText"/>
      </w:pPr>
      <w:r>
        <w:t xml:space="preserve">NEP 2020, Samagra Shiksha and the Ministry’s DIET Concept Note already give DSERT and the DIETs a research mandate. The RICs will make that mandate part of routine work: sound research methods, trained faculty, a shared State repository, and evidence that reaches State and national policy.</w:t>
      </w:r>
    </w:p>
    <w:p>
      <w:pPr>
        <w:pStyle w:val="BodyText"/>
      </w:pPr>
      <w:r>
        <w:t xml:space="preserve">Phase 1 covers DSERT and the 30 DIETs in the 2026-27 research cycle (31 units). It requires</w:t>
      </w:r>
      <w:r>
        <w:t xml:space="preserve"> </w:t>
      </w:r>
      <w:r>
        <w:rPr>
          <w:bCs/>
          <w:b/>
        </w:rPr>
        <w:t xml:space="preserve">₹837.00 lakh</w:t>
      </w:r>
      <w:r>
        <w:t xml:space="preserve"> </w:t>
      </w:r>
      <w:r>
        <w:t xml:space="preserve">in Year 1 and</w:t>
      </w:r>
      <w:r>
        <w:t xml:space="preserve"> </w:t>
      </w:r>
      <w:r>
        <w:rPr>
          <w:bCs/>
          <w:b/>
        </w:rPr>
        <w:t xml:space="preserve">₹527.00 lakh</w:t>
      </w:r>
      <w:r>
        <w:t xml:space="preserve"> </w:t>
      </w:r>
      <w:r>
        <w:t xml:space="preserve">per annum recurring thereafter. At full rollout (35 units), the requirement is</w:t>
      </w:r>
      <w:r>
        <w:t xml:space="preserve"> </w:t>
      </w:r>
      <w:r>
        <w:rPr>
          <w:bCs/>
          <w:b/>
        </w:rPr>
        <w:t xml:space="preserve">₹350.00 lakh</w:t>
      </w:r>
      <w:r>
        <w:t xml:space="preserve"> </w:t>
      </w:r>
      <w:r>
        <w:t xml:space="preserve">non-recurring and</w:t>
      </w:r>
      <w:r>
        <w:t xml:space="preserve"> </w:t>
      </w:r>
      <w:r>
        <w:rPr>
          <w:bCs/>
          <w:b/>
        </w:rPr>
        <w:t xml:space="preserve">₹595.00 lakh</w:t>
      </w:r>
      <w:r>
        <w:t xml:space="preserve"> </w:t>
      </w:r>
      <w:r>
        <w:t xml:space="preserve">per annum recurring. Under the Samagra Shiksha sharing pattern of 60:40 for general States, the Central share for Phase 1 is ₹502.20 lakh.</w:t>
      </w:r>
    </w:p>
    <w:p>
      <w:pPr>
        <w:pStyle w:val="BodyText"/>
      </w:pPr>
      <w:r>
        <w:rPr>
          <w:bCs/>
          <w:b/>
        </w:rPr>
        <w:t xml:space="preserve">Contents</w:t>
      </w:r>
    </w:p>
    <w:p>
      <w:pPr>
        <w:pStyle w:val="BodyText"/>
      </w:pPr>
      <w:r>
        <w:t xml:space="preserve">1. Background and Rationale</w:t>
      </w:r>
    </w:p>
    <w:p>
      <w:pPr>
        <w:pStyle w:val="BodyText"/>
      </w:pPr>
      <w:r>
        <w:t xml:space="preserve">2. The National Policy Basis</w:t>
      </w:r>
    </w:p>
    <w:p>
      <w:pPr>
        <w:pStyle w:val="BodyText"/>
      </w:pPr>
      <w:r>
        <w:t xml:space="preserve">3. Objectives</w:t>
      </w:r>
    </w:p>
    <w:p>
      <w:pPr>
        <w:pStyle w:val="BodyText"/>
      </w:pPr>
      <w:r>
        <w:t xml:space="preserve">4. Proposed Institutional Structure and Key Activities</w:t>
      </w:r>
    </w:p>
    <w:p>
      <w:pPr>
        <w:pStyle w:val="BodyText"/>
      </w:pPr>
      <w:r>
        <w:t xml:space="preserve">5. Implementation Framework, Responsibilities and Budget</w:t>
      </w:r>
    </w:p>
    <w:p>
      <w:pPr>
        <w:pStyle w:val="BodyText"/>
      </w:pPr>
      <w:r>
        <w:t xml:space="preserve">6. Implementation Timeline</w:t>
      </w:r>
    </w:p>
    <w:p>
      <w:pPr>
        <w:pStyle w:val="BodyText"/>
      </w:pPr>
      <w:r>
        <w:t xml:space="preserve">7. Outcomes, Indicators, Monitoring and Risk Management</w:t>
      </w:r>
    </w:p>
    <w:p>
      <w:pPr>
        <w:pStyle w:val="BodyText"/>
      </w:pPr>
      <w:r>
        <w:t xml:space="preserve">8. Request to the Ministry of Education</w:t>
      </w:r>
    </w:p>
    <w:p>
      <w:pPr>
        <w:pStyle w:val="BodyText"/>
      </w:pPr>
      <w:r>
        <w:t xml:space="preserve">Sources</w:t>
      </w:r>
    </w:p>
    <w:p>
      <w:pPr>
        <w:pStyle w:val="BodyText"/>
      </w:pPr>
      <w:r>
        <w:rPr>
          <w:bCs/>
          <w:b/>
        </w:rPr>
        <w:t xml:space="preserve">1. Background and Rationale</w:t>
      </w:r>
    </w:p>
    <w:p>
      <w:pPr>
        <w:pStyle w:val="BodyText"/>
      </w:pPr>
      <w:r>
        <w:t xml:space="preserve">DSERT coordinates research across the District Institutes of Education and Training (DIETs) of Karnataka, in line with NEP 2020 and the National Curriculum Framework. Under the 2026-27 research cycle approved by the Project Approval Board (PAB), 18 research areas have been identified for implementation across 30 DIETs. The Samagra Shiksha Programmatic and Financial Norms provide for Research and Innovation Cells at SCERT and DIET level, and DSERT is the State’s SCERT-equivalent nodal institution for this purpose.</w:t>
      </w:r>
    </w:p>
    <w:p>
      <w:pPr>
        <w:pStyle w:val="BodyText"/>
      </w:pPr>
      <w:r>
        <w:t xml:space="preserve">At present, research in the DIET network runs on periodic circulars, video-conference orientations and manual monitoring. There is no dedicated, funded structure to sustain research infrastructure, mentoring or cross-district collaboration between one annual cycle and the next. DIET-led research has grown in scale, and the functions now handled on an ad hoc basis need a home. A Research and Innovation Cell at each institution, funded on norms already sanctioned under Samagra Shiksha, would provide it.</w:t>
      </w:r>
    </w:p>
    <w:p>
      <w:pPr>
        <w:pStyle w:val="BodyText"/>
      </w:pPr>
      <w:r>
        <w:t xml:space="preserve">Other States face the same problem. The Ministry’s DIET Concept Note records limited research and development facilities in DIETs, weak convergence with higher education institutions, and academic vacancies of about 52% nationally. The PAB has raised SCERT and DIET capacity with States in successive cycles. Karnataka is ready to show what a funded, norm-based research structure can achieve: it has a working State coordination role, an approved research cycle in 18 areas, and a network of DIETs already engaged in research.</w:t>
      </w:r>
    </w:p>
    <w:p>
      <w:pPr>
        <w:pStyle w:val="BodyText"/>
      </w:pPr>
      <w:r>
        <w:t xml:space="preserve">This proposal retains in full the Research Wing’s Concept Note on establishing RICs (DSERT, Bengaluru, 19 August 2026) and sets out the case for the Ministry’s approval and funding.</w:t>
      </w:r>
    </w:p>
    <w:p>
      <w:pPr>
        <w:pStyle w:val="BodyText"/>
      </w:pPr>
      <w:r>
        <w:rPr>
          <w:bCs/>
          <w:b/>
        </w:rPr>
        <w:t xml:space="preserve">2. The National Policy Basis</w:t>
      </w:r>
    </w:p>
    <w:p>
      <w:pPr>
        <w:pStyle w:val="BodyText"/>
      </w:pPr>
      <w:r>
        <w:t xml:space="preserve">The table below lists the national provisions on which this proposal rests and how the RICs will meet each of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Policy / scheme document</w:t>
            </w:r>
          </w:p>
        </w:tc>
        <w:tc>
          <w:tcPr/>
          <w:p>
            <w:pPr>
              <w:pStyle w:val="Compact"/>
              <w:jc w:val="left"/>
            </w:pPr>
            <w:r>
              <w:rPr>
                <w:bCs/>
                <w:b/>
              </w:rPr>
              <w:t xml:space="preserve">Relevant provision</w:t>
            </w:r>
          </w:p>
        </w:tc>
        <w:tc>
          <w:tcPr/>
          <w:p>
            <w:pPr>
              <w:pStyle w:val="Compact"/>
              <w:jc w:val="left"/>
            </w:pPr>
            <w:r>
              <w:rPr>
                <w:bCs/>
                <w:b/>
              </w:rPr>
              <w:t xml:space="preserve">How the RIC meets it</w:t>
            </w:r>
          </w:p>
        </w:tc>
      </w:tr>
      <w:tr>
        <w:tc>
          <w:tcPr/>
          <w:p>
            <w:pPr>
              <w:pStyle w:val="Compact"/>
              <w:jc w:val="left"/>
            </w:pPr>
            <w:r>
              <w:t xml:space="preserve">National Education Policy 2020</w:t>
            </w:r>
          </w:p>
        </w:tc>
        <w:tc>
          <w:tcPr/>
          <w:p>
            <w:pPr>
              <w:pStyle w:val="Compact"/>
              <w:jc w:val="left"/>
            </w:pPr>
            <w:r>
              <w:t xml:space="preserve">At least 50 hours of continuous professional development a year for every teacher (para 5.15); strengthening of teacher education institutions and their research orientation (Chapter 15); a National Assessment Centre, PARAKH, for evidence-based assessment reform (para 4.41)</w:t>
            </w:r>
          </w:p>
        </w:tc>
        <w:tc>
          <w:tcPr/>
          <w:p>
            <w:pPr>
              <w:pStyle w:val="Compact"/>
              <w:jc w:val="left"/>
            </w:pPr>
            <w:r>
              <w:t xml:space="preserve">Training in research methodology and academic writing (at least 30 hours a year for faculty), mentored classroom research, and State-level evidence to inform CPD design and assessment reform</w:t>
            </w:r>
          </w:p>
        </w:tc>
      </w:tr>
      <w:tr>
        <w:tc>
          <w:tcPr/>
          <w:p>
            <w:pPr>
              <w:pStyle w:val="Compact"/>
              <w:jc w:val="left"/>
            </w:pPr>
            <w:r>
              <w:t xml:space="preserve">Samagra Shiksha (Centrally Sponsored Scheme)</w:t>
            </w:r>
          </w:p>
        </w:tc>
        <w:tc>
          <w:tcPr/>
          <w:p>
            <w:pPr>
              <w:pStyle w:val="Compact"/>
              <w:jc w:val="left"/>
            </w:pPr>
            <w:r>
              <w:t xml:space="preserve">Support for SCERTs and DIETs as nodal agencies for teacher training and academic support, with an Assessment Cell and other dedicated cells; Programmatic and Financial Norms for Research and Innovation Cells at SCERT and DIET level</w:t>
            </w:r>
          </w:p>
        </w:tc>
        <w:tc>
          <w:tcPr/>
          <w:p>
            <w:pPr>
              <w:pStyle w:val="Compact"/>
              <w:jc w:val="left"/>
            </w:pPr>
            <w:r>
              <w:t xml:space="preserve">Dedicated RICs funded on the sanctioned norms: ₹10.00 lakh non-recurring and ₹17.00 lakh recurring per unit</w:t>
            </w:r>
          </w:p>
        </w:tc>
      </w:tr>
      <w:tr>
        <w:tc>
          <w:tcPr/>
          <w:p>
            <w:pPr>
              <w:pStyle w:val="Compact"/>
              <w:jc w:val="left"/>
            </w:pPr>
            <w:r>
              <w:t xml:space="preserve">DIET Concept Note, Ministry of Education (2023)</w:t>
            </w:r>
          </w:p>
        </w:tc>
        <w:tc>
          <w:tcPr/>
          <w:p>
            <w:pPr>
              <w:pStyle w:val="Compact"/>
              <w:jc w:val="left"/>
            </w:pPr>
            <w:r>
              <w:t xml:space="preserve">DIETs to become centres for research and development in education; the DIET of Excellence to treat research and innovation as a core component; faculty to study district education with SCERTs and higher education institutions; a Research and Innovation Centre of about 500 sq ft (Annexure III)</w:t>
            </w:r>
          </w:p>
        </w:tc>
        <w:tc>
          <w:tcPr/>
          <w:p>
            <w:pPr>
              <w:pStyle w:val="Compact"/>
              <w:jc w:val="left"/>
            </w:pPr>
            <w:r>
              <w:t xml:space="preserve">Provides the Centre room, digital equipment, collaboration space and annual research cycle that the Concept Note describes but does not yet fund as a separate stream</w:t>
            </w:r>
          </w:p>
        </w:tc>
      </w:tr>
      <w:tr>
        <w:tc>
          <w:tcPr/>
          <w:p>
            <w:pPr>
              <w:pStyle w:val="Compact"/>
              <w:jc w:val="left"/>
            </w:pPr>
            <w:r>
              <w:t xml:space="preserve">NCF for School Education 2023 and NIPUN Bharat Mission</w:t>
            </w:r>
          </w:p>
        </w:tc>
        <w:tc>
          <w:tcPr/>
          <w:p>
            <w:pPr>
              <w:pStyle w:val="Compact"/>
              <w:jc w:val="left"/>
            </w:pPr>
            <w:r>
              <w:t xml:space="preserve">A competency-based curriculum, goals for foundational literacy and numeracy, and classroom practice that depends on local evidence of what works</w:t>
            </w:r>
          </w:p>
        </w:tc>
        <w:tc>
          <w:tcPr/>
          <w:p>
            <w:pPr>
              <w:pStyle w:val="Compact"/>
              <w:jc w:val="left"/>
            </w:pPr>
            <w:r>
              <w:t xml:space="preserve">District research plans and action research on foundational learning, pedagogy and assessment, documented and shared across DIETs</w:t>
            </w:r>
          </w:p>
        </w:tc>
      </w:tr>
      <w:tr>
        <w:tc>
          <w:tcPr/>
          <w:p>
            <w:pPr>
              <w:pStyle w:val="Compact"/>
              <w:jc w:val="left"/>
            </w:pPr>
            <w:r>
              <w:t xml:space="preserve">Annual Project Approval Board (PAB) cycle</w:t>
            </w:r>
          </w:p>
        </w:tc>
        <w:tc>
          <w:tcPr/>
          <w:p>
            <w:pPr>
              <w:pStyle w:val="Compact"/>
              <w:jc w:val="left"/>
            </w:pPr>
            <w:r>
              <w:t xml:space="preserve">The Ministry has repeatedly noted weak capacity and vacancies in SCERTs and DIETs, and has linked further DIET releases to filling posts</w:t>
            </w:r>
          </w:p>
        </w:tc>
        <w:tc>
          <w:tcPr/>
          <w:p>
            <w:pPr>
              <w:pStyle w:val="Compact"/>
              <w:jc w:val="left"/>
            </w:pPr>
            <w:r>
              <w:t xml:space="preserve">RICs give faculty a defined academic role and a research career path, which supports the PAB’s concern for capacity and retention</w:t>
            </w:r>
          </w:p>
        </w:tc>
      </w:tr>
    </w:tbl>
    <w:p>
      <w:pPr>
        <w:pStyle w:val="BodyText"/>
      </w:pPr>
      <w:r>
        <w:rPr>
          <w:iCs/>
          <w:i/>
        </w:rPr>
        <w:t xml:space="preserve">Provisions are cited as they appear in the Ministry’s published documents (see Sources). DSERT will furnish the exact text and paragraph references on request.</w:t>
      </w:r>
    </w:p>
    <w:p>
      <w:pPr>
        <w:pStyle w:val="BodyText"/>
      </w:pPr>
      <w:r>
        <w:t xml:space="preserve">Samagra Shiksha 3.0 is now being framed. The Ministry has stated that the 2026-27 PAB approvals are interim until the new scheme is approved, and that a supplementary PAB will follow. It is the right time to place RICs in the teacher-education component of the scheme as a standing, norm-based line, so that research no longer has to be funded each year out of general training budgets.</w:t>
      </w:r>
    </w:p>
    <w:p>
      <w:pPr>
        <w:pStyle w:val="BodyText"/>
      </w:pPr>
      <w:r>
        <w:rPr>
          <w:bCs/>
          <w:b/>
        </w:rPr>
        <w:t xml:space="preserve">3. Objectives</w:t>
      </w:r>
    </w:p>
    <w:p>
      <w:pPr>
        <w:numPr>
          <w:ilvl w:val="0"/>
          <w:numId w:val="1001"/>
        </w:numPr>
      </w:pPr>
      <w:r>
        <w:t xml:space="preserve">To establish functional Research and Innovation Cells at DSERT and all 34 DIETs, with dedicated infrastructure and digital equipment for data collection and analysis.</w:t>
      </w:r>
    </w:p>
    <w:p>
      <w:pPr>
        <w:numPr>
          <w:ilvl w:val="0"/>
          <w:numId w:val="1001"/>
        </w:numPr>
      </w:pPr>
      <w:r>
        <w:t xml:space="preserve">To conduct systematic research on teaching-learning processes and educational outcomes at school, cluster, block, district and State levels.</w:t>
      </w:r>
    </w:p>
    <w:p>
      <w:pPr>
        <w:numPr>
          <w:ilvl w:val="0"/>
          <w:numId w:val="1001"/>
        </w:numPr>
      </w:pPr>
      <w:r>
        <w:t xml:space="preserve">To build research capacity among teacher educators, teachers and educational administrators.</w:t>
      </w:r>
    </w:p>
    <w:p>
      <w:pPr>
        <w:numPr>
          <w:ilvl w:val="0"/>
          <w:numId w:val="1001"/>
        </w:numPr>
      </w:pPr>
      <w:r>
        <w:t xml:space="preserve">To support inter-district collaboration and a shared State research portal for methods and findings.</w:t>
      </w:r>
    </w:p>
    <w:p>
      <w:pPr>
        <w:numPr>
          <w:ilvl w:val="0"/>
          <w:numId w:val="1001"/>
        </w:numPr>
      </w:pPr>
      <w:r>
        <w:t xml:space="preserve">To document and share good practices and research findings, including through a State research journal and the Shagun portal.</w:t>
      </w:r>
    </w:p>
    <w:p>
      <w:pPr>
        <w:numPr>
          <w:ilvl w:val="0"/>
          <w:numId w:val="1001"/>
        </w:numPr>
      </w:pPr>
      <w:r>
        <w:t xml:space="preserve">To give State and national policy-makers a regular, quality-assured evidence base on foundational learning, pedagogy, assessment and equity, in line with NEP 2020, NCF-SE 2023 and NIPUN Bharat.</w:t>
      </w:r>
    </w:p>
    <w:p>
      <w:pPr>
        <w:pStyle w:val="FirstParagraph"/>
      </w:pPr>
      <w:r>
        <w:rPr>
          <w:bCs/>
          <w:b/>
        </w:rPr>
        <w:t xml:space="preserve">4. Proposed Institutional Structure and Key Activities</w:t>
      </w:r>
    </w:p>
    <w:p>
      <w:pPr>
        <w:pStyle w:val="BodyText"/>
      </w:pPr>
      <w:r>
        <w:rPr>
          <w:bCs/>
          <w:b/>
        </w:rPr>
        <w:t xml:space="preserve">State level: State Research Coordination Cell at DSERT, Bengaluru.</w:t>
      </w:r>
      <w:r>
        <w:t xml:space="preserve"> </w:t>
      </w:r>
      <w:r>
        <w:t xml:space="preserve">The Cell will set research priorities, give technical support to DIETs, conduct State-level and cross-district research, and organise an annual research convention.</w:t>
      </w:r>
    </w:p>
    <w:p>
      <w:pPr>
        <w:pStyle w:val="BodyText"/>
      </w:pPr>
      <w:r>
        <w:rPr>
          <w:bCs/>
          <w:b/>
        </w:rPr>
        <w:t xml:space="preserve">District level: a Research and Innovation Cell at each of the 34 DIETs.</w:t>
      </w:r>
      <w:r>
        <w:t xml:space="preserve"> </w:t>
      </w:r>
      <w:r>
        <w:t xml:space="preserve">Each Cell will prepare a district research plan, mentor research at school, cluster and block level, and document district findings.</w:t>
      </w:r>
    </w:p>
    <w:p>
      <w:pPr>
        <w:pStyle w:val="BodyText"/>
      </w:pPr>
      <w:r>
        <w:rPr>
          <w:bCs/>
          <w:b/>
        </w:rPr>
        <w:t xml:space="preserve">Block, cluster and school level.</w:t>
      </w:r>
      <w:r>
        <w:t xml:space="preserve"> </w:t>
      </w:r>
      <w:r>
        <w:t xml:space="preserve">Research at these levels will feed into the district RIC, following the existing administrative hierarchy of DSERT, DIET, block and cluster.</w:t>
      </w:r>
    </w:p>
    <w:p>
      <w:pPr>
        <w:pStyle w:val="BodyText"/>
      </w:pPr>
      <w:r>
        <w:rPr>
          <w:bCs/>
          <w:b/>
        </w:rPr>
        <w:t xml:space="preserve">Key activities and functions</w:t>
      </w:r>
    </w:p>
    <w:p>
      <w:pPr>
        <w:numPr>
          <w:ilvl w:val="0"/>
          <w:numId w:val="1002"/>
        </w:numPr>
      </w:pPr>
      <w:r>
        <w:t xml:space="preserve">An annual call for research proposals within the PAB-approved research areas.</w:t>
      </w:r>
    </w:p>
    <w:p>
      <w:pPr>
        <w:numPr>
          <w:ilvl w:val="0"/>
          <w:numId w:val="1002"/>
        </w:numPr>
      </w:pPr>
      <w:r>
        <w:t xml:space="preserve">Mentoring and technical support for action research, longitudinal and comparative studies, policy analysis and intervention-based research.</w:t>
      </w:r>
    </w:p>
    <w:p>
      <w:pPr>
        <w:numPr>
          <w:ilvl w:val="0"/>
          <w:numId w:val="1002"/>
        </w:numPr>
      </w:pPr>
      <w:r>
        <w:t xml:space="preserve">Research Advisory Committees and mandatory peer review at DSERT and DIET level to assure quality.</w:t>
      </w:r>
    </w:p>
    <w:p>
      <w:pPr>
        <w:numPr>
          <w:ilvl w:val="0"/>
          <w:numId w:val="1002"/>
        </w:numPr>
      </w:pPr>
      <w:r>
        <w:t xml:space="preserve">Training for faculty in research methodology and academic writing (at least 30 hours a year).</w:t>
      </w:r>
    </w:p>
    <w:p>
      <w:pPr>
        <w:numPr>
          <w:ilvl w:val="0"/>
          <w:numId w:val="1002"/>
        </w:numPr>
      </w:pPr>
      <w:r>
        <w:t xml:space="preserve">Quarterly coordination meetings and collaborative research between DIETs, with each DIET partnering at least one other DIET.</w:t>
      </w:r>
    </w:p>
    <w:p>
      <w:pPr>
        <w:numPr>
          <w:ilvl w:val="0"/>
          <w:numId w:val="1002"/>
        </w:numPr>
      </w:pPr>
      <w:r>
        <w:t xml:space="preserve">A digital repository and State research portal, a research journal and an annual research compendium.</w:t>
      </w:r>
    </w:p>
    <w:p>
      <w:pPr>
        <w:pStyle w:val="FirstParagraph"/>
      </w:pPr>
      <w:r>
        <w:rPr>
          <w:bCs/>
          <w:b/>
        </w:rPr>
        <w:t xml:space="preserve">5. Implementation Framework, Responsibilities and Budget</w:t>
      </w:r>
    </w:p>
    <w:p>
      <w:pPr>
        <w:pStyle w:val="BodyText"/>
      </w:pPr>
      <w:r>
        <w:rPr>
          <w:bCs/>
          <w:b/>
        </w:rPr>
        <w:t xml:space="preserve">5.1 Responsibilities of DSERT (State / SCERT-equivalent)</w:t>
      </w:r>
    </w:p>
    <w:p>
      <w:pPr>
        <w:numPr>
          <w:ilvl w:val="0"/>
          <w:numId w:val="1003"/>
        </w:numPr>
      </w:pPr>
      <w:r>
        <w:t xml:space="preserve">Establish and run the State Research Coordination Cell.</w:t>
      </w:r>
    </w:p>
    <w:p>
      <w:pPr>
        <w:numPr>
          <w:ilvl w:val="0"/>
          <w:numId w:val="1003"/>
        </w:numPr>
      </w:pPr>
      <w:r>
        <w:t xml:space="preserve">Set State research priorities in line with educational goals, and give technical support to DIETs.</w:t>
      </w:r>
    </w:p>
    <w:p>
      <w:pPr>
        <w:numPr>
          <w:ilvl w:val="0"/>
          <w:numId w:val="1003"/>
        </w:numPr>
      </w:pPr>
      <w:r>
        <w:t xml:space="preserve">Conduct State-level and cross-district research, publish a State research journal and organise an annual research convention.</w:t>
      </w:r>
    </w:p>
    <w:p>
      <w:pPr>
        <w:pStyle w:val="FirstParagraph"/>
      </w:pPr>
      <w:r>
        <w:rPr>
          <w:bCs/>
          <w:b/>
        </w:rPr>
        <w:t xml:space="preserve">5.2 Responsibilities of each DIET</w:t>
      </w:r>
    </w:p>
    <w:p>
      <w:pPr>
        <w:numPr>
          <w:ilvl w:val="0"/>
          <w:numId w:val="1004"/>
        </w:numPr>
      </w:pPr>
      <w:r>
        <w:t xml:space="preserve">Establish a functional Research and Innovation Cell.</w:t>
      </w:r>
    </w:p>
    <w:p>
      <w:pPr>
        <w:numPr>
          <w:ilvl w:val="0"/>
          <w:numId w:val="1004"/>
        </w:numPr>
      </w:pPr>
      <w:r>
        <w:t xml:space="preserve">Prepare a district research plan and mentor research at school, cluster and block level.</w:t>
      </w:r>
    </w:p>
    <w:p>
      <w:pPr>
        <w:numPr>
          <w:ilvl w:val="0"/>
          <w:numId w:val="1004"/>
        </w:numPr>
      </w:pPr>
      <w:r>
        <w:t xml:space="preserve">Carry out joint research with at least one partner DIET, document and share district findings, and train teachers and functionaries in research methods.</w:t>
      </w:r>
    </w:p>
    <w:p>
      <w:pPr>
        <w:pStyle w:val="FirstParagraph"/>
      </w:pPr>
      <w:r>
        <w:rPr>
          <w:bCs/>
          <w:b/>
        </w:rPr>
        <w:t xml:space="preserve">5.3 Financial norms</w:t>
      </w:r>
    </w:p>
    <w:p>
      <w:pPr>
        <w:pStyle w:val="BodyText"/>
      </w:pPr>
      <w:r>
        <w:t xml:space="preserve">Under the Samagra Shiksha Programmatic and Financial Norms for RICs, each DIET or DSERT-equivalent unit receives one-time (non-recurring) assistance for infrastructure and annual (recurring) assistance for research and documentation:</w:t>
      </w:r>
    </w:p>
    <w:p>
      <w:pPr>
        <w:numPr>
          <w:ilvl w:val="0"/>
          <w:numId w:val="1005"/>
        </w:numPr>
        <w:pStyle w:val="Compact"/>
      </w:pPr>
      <w:r>
        <w:t xml:space="preserve">up to ₹10.00 lakh non-recurring for RIC infrastructure (research laboratory, digital infrastructure, library enhancement, documentation resources and meeting or collaboration space);</w:t>
      </w:r>
    </w:p>
    <w:p>
      <w:pPr>
        <w:numPr>
          <w:ilvl w:val="0"/>
          <w:numId w:val="1005"/>
        </w:numPr>
        <w:pStyle w:val="Compact"/>
      </w:pPr>
      <w:r>
        <w:t xml:space="preserve">up to ₹10.00 lakh recurring per annum for research projects and activities;</w:t>
      </w:r>
    </w:p>
    <w:p>
      <w:pPr>
        <w:numPr>
          <w:ilvl w:val="0"/>
          <w:numId w:val="1005"/>
        </w:numPr>
        <w:pStyle w:val="Compact"/>
      </w:pPr>
      <w:r>
        <w:t xml:space="preserve">up to ₹7.00 lakh recurring per annum for documentation and knowledge dissemination.</w:t>
      </w:r>
    </w:p>
    <w:p>
      <w:pPr>
        <w:pStyle w:val="FirstParagraph"/>
      </w:pPr>
      <w:r>
        <w:rPr>
          <w:bCs/>
          <w:b/>
        </w:rPr>
        <w:t xml:space="preserve">5.4 Budget for Phase 1 (2026-27 PAB-approved cycle: DSERT and 30 DIETs, 31 units)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Component</w:t>
            </w:r>
          </w:p>
        </w:tc>
        <w:tc>
          <w:tcPr/>
          <w:p>
            <w:pPr>
              <w:pStyle w:val="Compact"/>
              <w:jc w:val="left"/>
            </w:pPr>
            <w:r>
              <w:rPr>
                <w:bCs/>
                <w:b/>
              </w:rPr>
              <w:t xml:space="preserve">Norm (per unit)</w:t>
            </w:r>
          </w:p>
        </w:tc>
        <w:tc>
          <w:tcPr/>
          <w:p>
            <w:pPr>
              <w:pStyle w:val="Compact"/>
              <w:jc w:val="left"/>
            </w:pPr>
            <w:r>
              <w:rPr>
                <w:bCs/>
                <w:b/>
              </w:rPr>
              <w:t xml:space="preserve">Units</w:t>
            </w:r>
          </w:p>
        </w:tc>
        <w:tc>
          <w:tcPr/>
          <w:p>
            <w:pPr>
              <w:pStyle w:val="Compact"/>
              <w:jc w:val="left"/>
            </w:pPr>
            <w:r>
              <w:rPr>
                <w:bCs/>
                <w:b/>
              </w:rPr>
              <w:t xml:space="preserve">Total (₹ lakh)</w:t>
            </w:r>
          </w:p>
        </w:tc>
      </w:tr>
      <w:tr>
        <w:tc>
          <w:tcPr/>
          <w:p>
            <w:pPr>
              <w:pStyle w:val="Compact"/>
              <w:jc w:val="left"/>
            </w:pPr>
            <w:r>
              <w:t xml:space="preserve">Infrastructure (non-recurring, one-time)</w:t>
            </w:r>
          </w:p>
        </w:tc>
        <w:tc>
          <w:tcPr/>
          <w:p>
            <w:pPr>
              <w:pStyle w:val="Compact"/>
              <w:jc w:val="left"/>
            </w:pPr>
            <w:r>
              <w:t xml:space="preserve">₹10.00 lakh</w:t>
            </w:r>
          </w:p>
        </w:tc>
        <w:tc>
          <w:tcPr/>
          <w:p>
            <w:pPr>
              <w:pStyle w:val="Compact"/>
              <w:jc w:val="left"/>
            </w:pPr>
            <w:r>
              <w:t xml:space="preserve">31</w:t>
            </w:r>
          </w:p>
        </w:tc>
        <w:tc>
          <w:tcPr/>
          <w:p>
            <w:pPr>
              <w:pStyle w:val="Compact"/>
              <w:jc w:val="left"/>
            </w:pPr>
            <w:r>
              <w:t xml:space="preserve">310.00</w:t>
            </w:r>
          </w:p>
        </w:tc>
      </w:tr>
      <w:tr>
        <w:tc>
          <w:tcPr/>
          <w:p>
            <w:pPr>
              <w:pStyle w:val="Compact"/>
              <w:jc w:val="left"/>
            </w:pPr>
            <w:r>
              <w:t xml:space="preserve">Research projects and activities (recurring, per annum)</w:t>
            </w:r>
          </w:p>
        </w:tc>
        <w:tc>
          <w:tcPr/>
          <w:p>
            <w:pPr>
              <w:pStyle w:val="Compact"/>
              <w:jc w:val="left"/>
            </w:pPr>
            <w:r>
              <w:t xml:space="preserve">₹10.00 lakh</w:t>
            </w:r>
          </w:p>
        </w:tc>
        <w:tc>
          <w:tcPr/>
          <w:p>
            <w:pPr>
              <w:pStyle w:val="Compact"/>
              <w:jc w:val="left"/>
            </w:pPr>
            <w:r>
              <w:t xml:space="preserve">31</w:t>
            </w:r>
          </w:p>
        </w:tc>
        <w:tc>
          <w:tcPr/>
          <w:p>
            <w:pPr>
              <w:pStyle w:val="Compact"/>
              <w:jc w:val="left"/>
            </w:pPr>
            <w:r>
              <w:t xml:space="preserve">310.00</w:t>
            </w:r>
          </w:p>
        </w:tc>
      </w:tr>
      <w:tr>
        <w:tc>
          <w:tcPr/>
          <w:p>
            <w:pPr>
              <w:pStyle w:val="Compact"/>
              <w:jc w:val="left"/>
            </w:pPr>
            <w:r>
              <w:t xml:space="preserve">Documentation and knowledge dissemination (recurring, per annum)</w:t>
            </w:r>
          </w:p>
        </w:tc>
        <w:tc>
          <w:tcPr/>
          <w:p>
            <w:pPr>
              <w:pStyle w:val="Compact"/>
              <w:jc w:val="left"/>
            </w:pPr>
            <w:r>
              <w:t xml:space="preserve">₹7.00 lakh</w:t>
            </w:r>
          </w:p>
        </w:tc>
        <w:tc>
          <w:tcPr/>
          <w:p>
            <w:pPr>
              <w:pStyle w:val="Compact"/>
              <w:jc w:val="left"/>
            </w:pPr>
            <w:r>
              <w:t xml:space="preserve">31</w:t>
            </w:r>
          </w:p>
        </w:tc>
        <w:tc>
          <w:tcPr/>
          <w:p>
            <w:pPr>
              <w:pStyle w:val="Compact"/>
              <w:jc w:val="left"/>
            </w:pPr>
            <w:r>
              <w:t xml:space="preserve">217.00</w:t>
            </w:r>
          </w:p>
        </w:tc>
      </w:tr>
      <w:tr>
        <w:tc>
          <w:tcPr/>
          <w:p>
            <w:pPr>
              <w:pStyle w:val="Compact"/>
              <w:jc w:val="left"/>
            </w:pPr>
            <w:r>
              <w:rPr>
                <w:bCs/>
                <w:b/>
              </w:rPr>
              <w:t xml:space="preserve">Total recurring (per annum)</w:t>
            </w:r>
          </w:p>
        </w:tc>
        <w:tc>
          <w:tcPr/>
          <w:p>
            <w:pPr>
              <w:pStyle w:val="Compact"/>
              <w:jc w:val="left"/>
            </w:pPr>
            <w:r>
              <w:rPr>
                <w:bCs/>
                <w:b/>
              </w:rPr>
              <w:t xml:space="preserve">₹17.00 lakh</w:t>
            </w:r>
          </w:p>
        </w:tc>
        <w:tc>
          <w:tcPr/>
          <w:p>
            <w:pPr>
              <w:pStyle w:val="Compact"/>
              <w:jc w:val="left"/>
            </w:pPr>
            <w:r>
              <w:rPr>
                <w:bCs/>
                <w:b/>
              </w:rPr>
              <w:t xml:space="preserve">31</w:t>
            </w:r>
          </w:p>
        </w:tc>
        <w:tc>
          <w:tcPr/>
          <w:p>
            <w:pPr>
              <w:pStyle w:val="Compact"/>
              <w:jc w:val="left"/>
            </w:pPr>
            <w:r>
              <w:rPr>
                <w:bCs/>
                <w:b/>
              </w:rPr>
              <w:t xml:space="preserve">527.00</w:t>
            </w:r>
          </w:p>
        </w:tc>
      </w:tr>
      <w:tr>
        <w:tc>
          <w:tcPr/>
          <w:p>
            <w:pPr>
              <w:pStyle w:val="Compact"/>
              <w:jc w:val="left"/>
            </w:pPr>
            <w:r>
              <w:rPr>
                <w:bCs/>
                <w:b/>
              </w:rPr>
              <w:t xml:space="preserve">Grand total, Year 1 (non-recurring and recurring)</w:t>
            </w:r>
          </w:p>
        </w:tc>
        <w:tc>
          <w:tcPr/>
          <w:p>
            <w:pPr>
              <w:pStyle w:val="Compact"/>
            </w:pPr>
          </w:p>
        </w:tc>
        <w:tc>
          <w:tcPr/>
          <w:p>
            <w:pPr>
              <w:pStyle w:val="Compact"/>
              <w:jc w:val="left"/>
            </w:pPr>
            <w:r>
              <w:rPr>
                <w:bCs/>
                <w:b/>
              </w:rPr>
              <w:t xml:space="preserve">31</w:t>
            </w:r>
          </w:p>
        </w:tc>
        <w:tc>
          <w:tcPr/>
          <w:p>
            <w:pPr>
              <w:pStyle w:val="Compact"/>
              <w:jc w:val="left"/>
            </w:pPr>
            <w:r>
              <w:rPr>
                <w:bCs/>
                <w:b/>
              </w:rPr>
              <w:t xml:space="preserve">837.00</w:t>
            </w:r>
          </w:p>
        </w:tc>
      </w:tr>
      <w:tr>
        <w:tc>
          <w:tcPr/>
          <w:p>
            <w:pPr>
              <w:pStyle w:val="Compact"/>
              <w:jc w:val="left"/>
            </w:pPr>
            <w:r>
              <w:rPr>
                <w:bCs/>
                <w:b/>
              </w:rPr>
              <w:t xml:space="preserve">From Year 2 onwards (recurring only)</w:t>
            </w:r>
          </w:p>
        </w:tc>
        <w:tc>
          <w:tcPr/>
          <w:p>
            <w:pPr>
              <w:pStyle w:val="Compact"/>
            </w:pPr>
          </w:p>
        </w:tc>
        <w:tc>
          <w:tcPr/>
          <w:p>
            <w:pPr>
              <w:pStyle w:val="Compact"/>
              <w:jc w:val="left"/>
            </w:pPr>
            <w:r>
              <w:rPr>
                <w:bCs/>
                <w:b/>
              </w:rPr>
              <w:t xml:space="preserve">31</w:t>
            </w:r>
          </w:p>
        </w:tc>
        <w:tc>
          <w:tcPr/>
          <w:p>
            <w:pPr>
              <w:pStyle w:val="Compact"/>
              <w:jc w:val="left"/>
            </w:pPr>
            <w:r>
              <w:rPr>
                <w:bCs/>
                <w:b/>
              </w:rPr>
              <w:t xml:space="preserve">527.00</w:t>
            </w:r>
          </w:p>
        </w:tc>
      </w:tr>
    </w:tbl>
    <w:p>
      <w:pPr>
        <w:pStyle w:val="BodyText"/>
      </w:pPr>
      <w:r>
        <w:t xml:space="preserve">At full rollout across the State (DSERT and all 34 DIETs, 35 units), the figures are ₹350.00 lakh (₹3.50 crore) non-recurring and ₹595.00 lakh (₹5.95 crore) recurring per annum. The remaining DIETs will be brought in during later cycles (Section 6).</w:t>
      </w:r>
    </w:p>
    <w:p>
      <w:pPr>
        <w:pStyle w:val="BodyText"/>
      </w:pPr>
      <w:r>
        <w:rPr>
          <w:bCs/>
          <w:b/>
        </w:rPr>
        <w:t xml:space="preserve">5.5 Pattern of fund utilisation (per unit, from the annual recurring assistance of ₹17.00 lakh)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Head</w:t>
            </w:r>
          </w:p>
        </w:tc>
        <w:tc>
          <w:tcPr/>
          <w:p>
            <w:pPr>
              <w:pStyle w:val="Compact"/>
              <w:jc w:val="left"/>
            </w:pPr>
            <w:r>
              <w:rPr>
                <w:bCs/>
                <w:b/>
              </w:rPr>
              <w:t xml:space="preserve">Share</w:t>
            </w:r>
          </w:p>
        </w:tc>
        <w:tc>
          <w:tcPr/>
          <w:p>
            <w:pPr>
              <w:pStyle w:val="Compact"/>
              <w:jc w:val="left"/>
            </w:pPr>
            <w:r>
              <w:rPr>
                <w:bCs/>
                <w:b/>
              </w:rPr>
              <w:t xml:space="preserve">Per-unit amount</w:t>
            </w:r>
          </w:p>
        </w:tc>
      </w:tr>
      <w:tr>
        <w:tc>
          <w:tcPr/>
          <w:p>
            <w:pPr>
              <w:pStyle w:val="Compact"/>
              <w:jc w:val="left"/>
            </w:pPr>
            <w:r>
              <w:t xml:space="preserve">Research projects</w:t>
            </w:r>
          </w:p>
        </w:tc>
        <w:tc>
          <w:tcPr/>
          <w:p>
            <w:pPr>
              <w:pStyle w:val="Compact"/>
              <w:jc w:val="left"/>
            </w:pPr>
            <w:r>
              <w:t xml:space="preserve">40%</w:t>
            </w:r>
          </w:p>
        </w:tc>
        <w:tc>
          <w:tcPr/>
          <w:p>
            <w:pPr>
              <w:pStyle w:val="Compact"/>
              <w:jc w:val="left"/>
            </w:pPr>
            <w:r>
              <w:t xml:space="preserve">₹6.80 lakh</w:t>
            </w:r>
          </w:p>
        </w:tc>
      </w:tr>
      <w:tr>
        <w:tc>
          <w:tcPr/>
          <w:p>
            <w:pPr>
              <w:pStyle w:val="Compact"/>
              <w:jc w:val="left"/>
            </w:pPr>
            <w:r>
              <w:t xml:space="preserve">Capacity building</w:t>
            </w:r>
          </w:p>
        </w:tc>
        <w:tc>
          <w:tcPr/>
          <w:p>
            <w:pPr>
              <w:pStyle w:val="Compact"/>
              <w:jc w:val="left"/>
            </w:pPr>
            <w:r>
              <w:t xml:space="preserve">30%</w:t>
            </w:r>
          </w:p>
        </w:tc>
        <w:tc>
          <w:tcPr/>
          <w:p>
            <w:pPr>
              <w:pStyle w:val="Compact"/>
              <w:jc w:val="left"/>
            </w:pPr>
            <w:r>
              <w:t xml:space="preserve">₹5.10 lakh</w:t>
            </w:r>
          </w:p>
        </w:tc>
      </w:tr>
      <w:tr>
        <w:tc>
          <w:tcPr/>
          <w:p>
            <w:pPr>
              <w:pStyle w:val="Compact"/>
              <w:jc w:val="left"/>
            </w:pPr>
            <w:r>
              <w:t xml:space="preserve">Documentation and dissemination</w:t>
            </w:r>
          </w:p>
        </w:tc>
        <w:tc>
          <w:tcPr/>
          <w:p>
            <w:pPr>
              <w:pStyle w:val="Compact"/>
              <w:jc w:val="left"/>
            </w:pPr>
            <w:r>
              <w:t xml:space="preserve">20%</w:t>
            </w:r>
          </w:p>
        </w:tc>
        <w:tc>
          <w:tcPr/>
          <w:p>
            <w:pPr>
              <w:pStyle w:val="Compact"/>
              <w:jc w:val="left"/>
            </w:pPr>
            <w:r>
              <w:t xml:space="preserve">₹3.40 lakh</w:t>
            </w:r>
          </w:p>
        </w:tc>
      </w:tr>
      <w:tr>
        <w:tc>
          <w:tcPr/>
          <w:p>
            <w:pPr>
              <w:pStyle w:val="Compact"/>
              <w:jc w:val="left"/>
            </w:pPr>
            <w:r>
              <w:t xml:space="preserve">Administrative and miscellaneous</w:t>
            </w:r>
          </w:p>
        </w:tc>
        <w:tc>
          <w:tcPr/>
          <w:p>
            <w:pPr>
              <w:pStyle w:val="Compact"/>
              <w:jc w:val="left"/>
            </w:pPr>
            <w:r>
              <w:t xml:space="preserve">10%</w:t>
            </w:r>
          </w:p>
        </w:tc>
        <w:tc>
          <w:tcPr/>
          <w:p>
            <w:pPr>
              <w:pStyle w:val="Compact"/>
              <w:jc w:val="left"/>
            </w:pPr>
            <w:r>
              <w:t xml:space="preserve">₹1.70 lakh</w:t>
            </w:r>
          </w:p>
        </w:tc>
      </w:tr>
    </w:tbl>
    <w:p>
      <w:pPr>
        <w:pStyle w:val="BodyText"/>
      </w:pPr>
      <w:r>
        <w:t xml:space="preserve">At least 30% of the research projects funded under this norm will focus on marginalised and vulnerable groups, with an emphasis on mixed-methods design.</w:t>
      </w:r>
    </w:p>
    <w:p>
      <w:pPr>
        <w:pStyle w:val="BodyText"/>
      </w:pPr>
      <w:r>
        <w:rPr>
          <w:bCs/>
          <w:b/>
        </w:rPr>
        <w:t xml:space="preserve">5.6 Detailed budget by sub-component (indicative, per unit and Phase 1 total)</w:t>
      </w:r>
    </w:p>
    <w:p>
      <w:pPr>
        <w:pStyle w:val="BodyText"/>
      </w:pPr>
      <w:r>
        <w:t xml:space="preserve">The split below is DSERT’s proposed allocation within the sanctioned norms. The Programmatic and Financial Norms do not prescribe it separately; it is presented for the Ministry’s review alongside the headline figures in Sections 5.4 and 5.5.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Component</w:t>
            </w:r>
          </w:p>
        </w:tc>
        <w:tc>
          <w:tcPr/>
          <w:p>
            <w:pPr>
              <w:pStyle w:val="Compact"/>
              <w:jc w:val="left"/>
            </w:pPr>
            <w:r>
              <w:rPr>
                <w:bCs/>
                <w:b/>
              </w:rPr>
              <w:t xml:space="preserve">Sub-component</w:t>
            </w:r>
          </w:p>
        </w:tc>
        <w:tc>
          <w:tcPr/>
          <w:p>
            <w:pPr>
              <w:pStyle w:val="Compact"/>
              <w:jc w:val="left"/>
            </w:pPr>
            <w:r>
              <w:rPr>
                <w:bCs/>
                <w:b/>
              </w:rPr>
              <w:t xml:space="preserve">Per unit (₹ lakh)</w:t>
            </w:r>
          </w:p>
        </w:tc>
        <w:tc>
          <w:tcPr/>
          <w:p>
            <w:pPr>
              <w:pStyle w:val="Compact"/>
              <w:jc w:val="left"/>
            </w:pPr>
            <w:r>
              <w:rPr>
                <w:bCs/>
                <w:b/>
              </w:rPr>
              <w:t xml:space="preserve">Phase 1 total, 31 units (₹ lakh)</w:t>
            </w:r>
          </w:p>
        </w:tc>
      </w:tr>
      <w:tr>
        <w:tc>
          <w:tcPr/>
          <w:p>
            <w:pPr>
              <w:pStyle w:val="Compact"/>
              <w:jc w:val="left"/>
            </w:pPr>
            <w:r>
              <w:rPr>
                <w:bCs/>
                <w:b/>
              </w:rPr>
              <w:t xml:space="preserve">Infrastructure (non-recurring)</w:t>
            </w:r>
          </w:p>
        </w:tc>
        <w:tc>
          <w:tcPr/>
          <w:p>
            <w:pPr>
              <w:pStyle w:val="Compact"/>
              <w:jc w:val="left"/>
            </w:pPr>
            <w:r>
              <w:t xml:space="preserve">Research laboratory and data-analysis equipment</w:t>
            </w:r>
          </w:p>
        </w:tc>
        <w:tc>
          <w:tcPr/>
          <w:p>
            <w:pPr>
              <w:pStyle w:val="Compact"/>
              <w:jc w:val="left"/>
            </w:pPr>
            <w:r>
              <w:t xml:space="preserve">3.00</w:t>
            </w:r>
          </w:p>
        </w:tc>
        <w:tc>
          <w:tcPr/>
          <w:p>
            <w:pPr>
              <w:pStyle w:val="Compact"/>
              <w:jc w:val="left"/>
            </w:pPr>
            <w:r>
              <w:t xml:space="preserve">93.00</w:t>
            </w:r>
          </w:p>
        </w:tc>
      </w:tr>
      <w:tr>
        <w:tc>
          <w:tcPr/>
          <w:p>
            <w:pPr>
              <w:pStyle w:val="Compact"/>
            </w:pPr>
          </w:p>
        </w:tc>
        <w:tc>
          <w:tcPr/>
          <w:p>
            <w:pPr>
              <w:pStyle w:val="Compact"/>
              <w:jc w:val="left"/>
            </w:pPr>
            <w:r>
              <w:t xml:space="preserve">Digital infrastructure (hardware, networking, portal connectivity)</w:t>
            </w:r>
          </w:p>
        </w:tc>
        <w:tc>
          <w:tcPr/>
          <w:p>
            <w:pPr>
              <w:pStyle w:val="Compact"/>
              <w:jc w:val="left"/>
            </w:pPr>
            <w:r>
              <w:t xml:space="preserve">2.50</w:t>
            </w:r>
          </w:p>
        </w:tc>
        <w:tc>
          <w:tcPr/>
          <w:p>
            <w:pPr>
              <w:pStyle w:val="Compact"/>
              <w:jc w:val="left"/>
            </w:pPr>
            <w:r>
              <w:t xml:space="preserve">77.50</w:t>
            </w:r>
          </w:p>
        </w:tc>
      </w:tr>
      <w:tr>
        <w:tc>
          <w:tcPr/>
          <w:p>
            <w:pPr>
              <w:pStyle w:val="Compact"/>
            </w:pPr>
          </w:p>
        </w:tc>
        <w:tc>
          <w:tcPr/>
          <w:p>
            <w:pPr>
              <w:pStyle w:val="Compact"/>
              <w:jc w:val="left"/>
            </w:pPr>
            <w:r>
              <w:t xml:space="preserve">Library enhancement (journals, reference material, digital subscriptions)</w:t>
            </w:r>
          </w:p>
        </w:tc>
        <w:tc>
          <w:tcPr/>
          <w:p>
            <w:pPr>
              <w:pStyle w:val="Compact"/>
              <w:jc w:val="left"/>
            </w:pPr>
            <w:r>
              <w:t xml:space="preserve">1.50</w:t>
            </w:r>
          </w:p>
        </w:tc>
        <w:tc>
          <w:tcPr/>
          <w:p>
            <w:pPr>
              <w:pStyle w:val="Compact"/>
              <w:jc w:val="left"/>
            </w:pPr>
            <w:r>
              <w:t xml:space="preserve">46.50</w:t>
            </w:r>
          </w:p>
        </w:tc>
      </w:tr>
      <w:tr>
        <w:tc>
          <w:tcPr/>
          <w:p>
            <w:pPr>
              <w:pStyle w:val="Compact"/>
            </w:pPr>
          </w:p>
        </w:tc>
        <w:tc>
          <w:tcPr/>
          <w:p>
            <w:pPr>
              <w:pStyle w:val="Compact"/>
              <w:jc w:val="left"/>
            </w:pPr>
            <w:r>
              <w:t xml:space="preserve">Documentation resources (printing, binding, archiving, digitisation)</w:t>
            </w:r>
          </w:p>
        </w:tc>
        <w:tc>
          <w:tcPr/>
          <w:p>
            <w:pPr>
              <w:pStyle w:val="Compact"/>
              <w:jc w:val="left"/>
            </w:pPr>
            <w:r>
              <w:t xml:space="preserve">1.50</w:t>
            </w:r>
          </w:p>
        </w:tc>
        <w:tc>
          <w:tcPr/>
          <w:p>
            <w:pPr>
              <w:pStyle w:val="Compact"/>
              <w:jc w:val="left"/>
            </w:pPr>
            <w:r>
              <w:t xml:space="preserve">46.50</w:t>
            </w:r>
          </w:p>
        </w:tc>
      </w:tr>
      <w:tr>
        <w:tc>
          <w:tcPr/>
          <w:p>
            <w:pPr>
              <w:pStyle w:val="Compact"/>
            </w:pPr>
          </w:p>
        </w:tc>
        <w:tc>
          <w:tcPr/>
          <w:p>
            <w:pPr>
              <w:pStyle w:val="Compact"/>
              <w:jc w:val="left"/>
            </w:pPr>
            <w:r>
              <w:t xml:space="preserve">Meeting and collaboration space (furniture, audio-visual, video-conferencing)</w:t>
            </w:r>
          </w:p>
        </w:tc>
        <w:tc>
          <w:tcPr/>
          <w:p>
            <w:pPr>
              <w:pStyle w:val="Compact"/>
              <w:jc w:val="left"/>
            </w:pPr>
            <w:r>
              <w:t xml:space="preserve">1.50</w:t>
            </w:r>
          </w:p>
        </w:tc>
        <w:tc>
          <w:tcPr/>
          <w:p>
            <w:pPr>
              <w:pStyle w:val="Compact"/>
              <w:jc w:val="left"/>
            </w:pPr>
            <w:r>
              <w:t xml:space="preserve">46.50</w:t>
            </w:r>
          </w:p>
        </w:tc>
      </w:tr>
      <w:tr>
        <w:tc>
          <w:tcPr/>
          <w:p>
            <w:pPr>
              <w:pStyle w:val="Compact"/>
            </w:pPr>
          </w:p>
        </w:tc>
        <w:tc>
          <w:tcPr/>
          <w:p>
            <w:pPr>
              <w:pStyle w:val="Compact"/>
              <w:jc w:val="left"/>
            </w:pPr>
            <w:r>
              <w:rPr>
                <w:bCs/>
                <w:b/>
              </w:rPr>
              <w:t xml:space="preserve">Infrastructure subtotal</w:t>
            </w:r>
          </w:p>
        </w:tc>
        <w:tc>
          <w:tcPr/>
          <w:p>
            <w:pPr>
              <w:pStyle w:val="Compact"/>
              <w:jc w:val="left"/>
            </w:pPr>
            <w:r>
              <w:rPr>
                <w:bCs/>
                <w:b/>
              </w:rPr>
              <w:t xml:space="preserve">10.00</w:t>
            </w:r>
          </w:p>
        </w:tc>
        <w:tc>
          <w:tcPr/>
          <w:p>
            <w:pPr>
              <w:pStyle w:val="Compact"/>
              <w:jc w:val="left"/>
            </w:pPr>
            <w:r>
              <w:rPr>
                <w:bCs/>
                <w:b/>
              </w:rPr>
              <w:t xml:space="preserve">310.00</w:t>
            </w:r>
          </w:p>
        </w:tc>
      </w:tr>
      <w:tr>
        <w:tc>
          <w:tcPr/>
          <w:p>
            <w:pPr>
              <w:pStyle w:val="Compact"/>
              <w:jc w:val="left"/>
            </w:pPr>
            <w:r>
              <w:rPr>
                <w:bCs/>
                <w:b/>
              </w:rPr>
              <w:t xml:space="preserve">Research projects and activities (recurring)</w:t>
            </w:r>
          </w:p>
        </w:tc>
        <w:tc>
          <w:tcPr/>
          <w:p>
            <w:pPr>
              <w:pStyle w:val="Compact"/>
              <w:jc w:val="left"/>
            </w:pPr>
            <w:r>
              <w:t xml:space="preserve">Field research and data collection</w:t>
            </w:r>
          </w:p>
        </w:tc>
        <w:tc>
          <w:tcPr/>
          <w:p>
            <w:pPr>
              <w:pStyle w:val="Compact"/>
              <w:jc w:val="left"/>
            </w:pPr>
            <w:r>
              <w:t xml:space="preserve">2.72</w:t>
            </w:r>
          </w:p>
        </w:tc>
        <w:tc>
          <w:tcPr/>
          <w:p>
            <w:pPr>
              <w:pStyle w:val="Compact"/>
              <w:jc w:val="left"/>
            </w:pPr>
            <w:r>
              <w:t xml:space="preserve">84.32</w:t>
            </w:r>
          </w:p>
        </w:tc>
      </w:tr>
      <w:tr>
        <w:tc>
          <w:tcPr/>
          <w:p>
            <w:pPr>
              <w:pStyle w:val="Compact"/>
            </w:pPr>
          </w:p>
        </w:tc>
        <w:tc>
          <w:tcPr/>
          <w:p>
            <w:pPr>
              <w:pStyle w:val="Compact"/>
              <w:jc w:val="left"/>
            </w:pPr>
            <w:r>
              <w:t xml:space="preserve">Action research grants to faculty</w:t>
            </w:r>
          </w:p>
        </w:tc>
        <w:tc>
          <w:tcPr/>
          <w:p>
            <w:pPr>
              <w:pStyle w:val="Compact"/>
              <w:jc w:val="left"/>
            </w:pPr>
            <w:r>
              <w:t xml:space="preserve">2.04</w:t>
            </w:r>
          </w:p>
        </w:tc>
        <w:tc>
          <w:tcPr/>
          <w:p>
            <w:pPr>
              <w:pStyle w:val="Compact"/>
              <w:jc w:val="left"/>
            </w:pPr>
            <w:r>
              <w:t xml:space="preserve">63.24</w:t>
            </w:r>
          </w:p>
        </w:tc>
      </w:tr>
      <w:tr>
        <w:tc>
          <w:tcPr/>
          <w:p>
            <w:pPr>
              <w:pStyle w:val="Compact"/>
            </w:pPr>
          </w:p>
        </w:tc>
        <w:tc>
          <w:tcPr/>
          <w:p>
            <w:pPr>
              <w:pStyle w:val="Compact"/>
              <w:jc w:val="left"/>
            </w:pPr>
            <w:r>
              <w:t xml:space="preserve">Longitudinal and comparative studies</w:t>
            </w:r>
          </w:p>
        </w:tc>
        <w:tc>
          <w:tcPr/>
          <w:p>
            <w:pPr>
              <w:pStyle w:val="Compact"/>
              <w:jc w:val="left"/>
            </w:pPr>
            <w:r>
              <w:t xml:space="preserve">1.36</w:t>
            </w:r>
          </w:p>
        </w:tc>
        <w:tc>
          <w:tcPr/>
          <w:p>
            <w:pPr>
              <w:pStyle w:val="Compact"/>
              <w:jc w:val="left"/>
            </w:pPr>
            <w:r>
              <w:t xml:space="preserve">42.16</w:t>
            </w:r>
          </w:p>
        </w:tc>
      </w:tr>
      <w:tr>
        <w:tc>
          <w:tcPr/>
          <w:p>
            <w:pPr>
              <w:pStyle w:val="Compact"/>
            </w:pPr>
          </w:p>
        </w:tc>
        <w:tc>
          <w:tcPr/>
          <w:p>
            <w:pPr>
              <w:pStyle w:val="Compact"/>
              <w:jc w:val="left"/>
            </w:pPr>
            <w:r>
              <w:t xml:space="preserve">Policy analysis studies</w:t>
            </w:r>
          </w:p>
        </w:tc>
        <w:tc>
          <w:tcPr/>
          <w:p>
            <w:pPr>
              <w:pStyle w:val="Compact"/>
              <w:jc w:val="left"/>
            </w:pPr>
            <w:r>
              <w:t xml:space="preserve">0.68</w:t>
            </w:r>
          </w:p>
        </w:tc>
        <w:tc>
          <w:tcPr/>
          <w:p>
            <w:pPr>
              <w:pStyle w:val="Compact"/>
              <w:jc w:val="left"/>
            </w:pPr>
            <w:r>
              <w:t xml:space="preserve">21.08</w:t>
            </w:r>
          </w:p>
        </w:tc>
      </w:tr>
      <w:tr>
        <w:tc>
          <w:tcPr/>
          <w:p>
            <w:pPr>
              <w:pStyle w:val="Compact"/>
            </w:pPr>
          </w:p>
        </w:tc>
        <w:tc>
          <w:tcPr/>
          <w:p>
            <w:pPr>
              <w:pStyle w:val="Compact"/>
              <w:jc w:val="left"/>
            </w:pPr>
            <w:r>
              <w:rPr>
                <w:bCs/>
                <w:b/>
              </w:rPr>
              <w:t xml:space="preserve">Research projects subtotal</w:t>
            </w:r>
          </w:p>
        </w:tc>
        <w:tc>
          <w:tcPr/>
          <w:p>
            <w:pPr>
              <w:pStyle w:val="Compact"/>
              <w:jc w:val="left"/>
            </w:pPr>
            <w:r>
              <w:rPr>
                <w:bCs/>
                <w:b/>
              </w:rPr>
              <w:t xml:space="preserve">6.80</w:t>
            </w:r>
          </w:p>
        </w:tc>
        <w:tc>
          <w:tcPr/>
          <w:p>
            <w:pPr>
              <w:pStyle w:val="Compact"/>
              <w:jc w:val="left"/>
            </w:pPr>
            <w:r>
              <w:rPr>
                <w:bCs/>
                <w:b/>
              </w:rPr>
              <w:t xml:space="preserve">210.80</w:t>
            </w:r>
          </w:p>
        </w:tc>
      </w:tr>
      <w:tr>
        <w:tc>
          <w:tcPr/>
          <w:p>
            <w:pPr>
              <w:pStyle w:val="Compact"/>
              <w:jc w:val="left"/>
            </w:pPr>
            <w:r>
              <w:rPr>
                <w:bCs/>
                <w:b/>
              </w:rPr>
              <w:t xml:space="preserve">Capacity building (recurring)</w:t>
            </w:r>
          </w:p>
        </w:tc>
        <w:tc>
          <w:tcPr/>
          <w:p>
            <w:pPr>
              <w:pStyle w:val="Compact"/>
              <w:jc w:val="left"/>
            </w:pPr>
            <w:r>
              <w:t xml:space="preserve">Training in research methodology and academic writing (at least 30 hours a year per faculty member)</w:t>
            </w:r>
          </w:p>
        </w:tc>
        <w:tc>
          <w:tcPr/>
          <w:p>
            <w:pPr>
              <w:pStyle w:val="Compact"/>
              <w:jc w:val="left"/>
            </w:pPr>
            <w:r>
              <w:t xml:space="preserve">2.50</w:t>
            </w:r>
          </w:p>
        </w:tc>
        <w:tc>
          <w:tcPr/>
          <w:p>
            <w:pPr>
              <w:pStyle w:val="Compact"/>
              <w:jc w:val="left"/>
            </w:pPr>
            <w:r>
              <w:t xml:space="preserve">77.50</w:t>
            </w:r>
          </w:p>
        </w:tc>
      </w:tr>
      <w:tr>
        <w:tc>
          <w:tcPr/>
          <w:p>
            <w:pPr>
              <w:pStyle w:val="Compact"/>
            </w:pPr>
          </w:p>
        </w:tc>
        <w:tc>
          <w:tcPr/>
          <w:p>
            <w:pPr>
              <w:pStyle w:val="Compact"/>
              <w:jc w:val="left"/>
            </w:pPr>
            <w:r>
              <w:t xml:space="preserve">Honoraria and sittings of the Research Advisory Committee</w:t>
            </w:r>
          </w:p>
        </w:tc>
        <w:tc>
          <w:tcPr/>
          <w:p>
            <w:pPr>
              <w:pStyle w:val="Compact"/>
              <w:jc w:val="left"/>
            </w:pPr>
            <w:r>
              <w:t xml:space="preserve">1.00</w:t>
            </w:r>
          </w:p>
        </w:tc>
        <w:tc>
          <w:tcPr/>
          <w:p>
            <w:pPr>
              <w:pStyle w:val="Compact"/>
              <w:jc w:val="left"/>
            </w:pPr>
            <w:r>
              <w:t xml:space="preserve">31.00</w:t>
            </w:r>
          </w:p>
        </w:tc>
      </w:tr>
      <w:tr>
        <w:tc>
          <w:tcPr/>
          <w:p>
            <w:pPr>
              <w:pStyle w:val="Compact"/>
            </w:pPr>
          </w:p>
        </w:tc>
        <w:tc>
          <w:tcPr/>
          <w:p>
            <w:pPr>
              <w:pStyle w:val="Compact"/>
              <w:jc w:val="left"/>
            </w:pPr>
            <w:r>
              <w:t xml:space="preserve">Peer-review panel costs</w:t>
            </w:r>
          </w:p>
        </w:tc>
        <w:tc>
          <w:tcPr/>
          <w:p>
            <w:pPr>
              <w:pStyle w:val="Compact"/>
              <w:jc w:val="left"/>
            </w:pPr>
            <w:r>
              <w:t xml:space="preserve">0.80</w:t>
            </w:r>
          </w:p>
        </w:tc>
        <w:tc>
          <w:tcPr/>
          <w:p>
            <w:pPr>
              <w:pStyle w:val="Compact"/>
              <w:jc w:val="left"/>
            </w:pPr>
            <w:r>
              <w:t xml:space="preserve">24.80</w:t>
            </w:r>
          </w:p>
        </w:tc>
      </w:tr>
      <w:tr>
        <w:tc>
          <w:tcPr/>
          <w:p>
            <w:pPr>
              <w:pStyle w:val="Compact"/>
            </w:pPr>
          </w:p>
        </w:tc>
        <w:tc>
          <w:tcPr/>
          <w:p>
            <w:pPr>
              <w:pStyle w:val="Compact"/>
              <w:jc w:val="left"/>
            </w:pPr>
            <w:r>
              <w:t xml:space="preserve">Faculty workshops and exposure visits</w:t>
            </w:r>
          </w:p>
        </w:tc>
        <w:tc>
          <w:tcPr/>
          <w:p>
            <w:pPr>
              <w:pStyle w:val="Compact"/>
              <w:jc w:val="left"/>
            </w:pPr>
            <w:r>
              <w:t xml:space="preserve">0.80</w:t>
            </w:r>
          </w:p>
        </w:tc>
        <w:tc>
          <w:tcPr/>
          <w:p>
            <w:pPr>
              <w:pStyle w:val="Compact"/>
              <w:jc w:val="left"/>
            </w:pPr>
            <w:r>
              <w:t xml:space="preserve">24.80</w:t>
            </w:r>
          </w:p>
        </w:tc>
      </w:tr>
      <w:tr>
        <w:tc>
          <w:tcPr/>
          <w:p>
            <w:pPr>
              <w:pStyle w:val="Compact"/>
            </w:pPr>
          </w:p>
        </w:tc>
        <w:tc>
          <w:tcPr/>
          <w:p>
            <w:pPr>
              <w:pStyle w:val="Compact"/>
              <w:jc w:val="left"/>
            </w:pPr>
            <w:r>
              <w:rPr>
                <w:bCs/>
                <w:b/>
              </w:rPr>
              <w:t xml:space="preserve">Capacity building subtotal</w:t>
            </w:r>
          </w:p>
        </w:tc>
        <w:tc>
          <w:tcPr/>
          <w:p>
            <w:pPr>
              <w:pStyle w:val="Compact"/>
              <w:jc w:val="left"/>
            </w:pPr>
            <w:r>
              <w:rPr>
                <w:bCs/>
                <w:b/>
              </w:rPr>
              <w:t xml:space="preserve">5.10</w:t>
            </w:r>
          </w:p>
        </w:tc>
        <w:tc>
          <w:tcPr/>
          <w:p>
            <w:pPr>
              <w:pStyle w:val="Compact"/>
              <w:jc w:val="left"/>
            </w:pPr>
            <w:r>
              <w:rPr>
                <w:bCs/>
                <w:b/>
              </w:rPr>
              <w:t xml:space="preserve">158.10</w:t>
            </w:r>
          </w:p>
        </w:tc>
      </w:tr>
      <w:tr>
        <w:tc>
          <w:tcPr/>
          <w:p>
            <w:pPr>
              <w:pStyle w:val="Compact"/>
              <w:jc w:val="left"/>
            </w:pPr>
            <w:r>
              <w:rPr>
                <w:bCs/>
                <w:b/>
              </w:rPr>
              <w:t xml:space="preserve">Documentation and dissemination (recurring)</w:t>
            </w:r>
          </w:p>
        </w:tc>
        <w:tc>
          <w:tcPr/>
          <w:p>
            <w:pPr>
              <w:pStyle w:val="Compact"/>
              <w:jc w:val="left"/>
            </w:pPr>
            <w:r>
              <w:t xml:space="preserve">Production of State and district research journals</w:t>
            </w:r>
          </w:p>
        </w:tc>
        <w:tc>
          <w:tcPr/>
          <w:p>
            <w:pPr>
              <w:pStyle w:val="Compact"/>
              <w:jc w:val="left"/>
            </w:pPr>
            <w:r>
              <w:t xml:space="preserve">1.20</w:t>
            </w:r>
          </w:p>
        </w:tc>
        <w:tc>
          <w:tcPr/>
          <w:p>
            <w:pPr>
              <w:pStyle w:val="Compact"/>
              <w:jc w:val="left"/>
            </w:pPr>
            <w:r>
              <w:t xml:space="preserve">37.20</w:t>
            </w:r>
          </w:p>
        </w:tc>
      </w:tr>
      <w:tr>
        <w:tc>
          <w:tcPr/>
          <w:p>
            <w:pPr>
              <w:pStyle w:val="Compact"/>
            </w:pPr>
          </w:p>
        </w:tc>
        <w:tc>
          <w:tcPr/>
          <w:p>
            <w:pPr>
              <w:pStyle w:val="Compact"/>
              <w:jc w:val="left"/>
            </w:pPr>
            <w:r>
              <w:t xml:space="preserve">Annual research compendium and reports</w:t>
            </w:r>
          </w:p>
        </w:tc>
        <w:tc>
          <w:tcPr/>
          <w:p>
            <w:pPr>
              <w:pStyle w:val="Compact"/>
              <w:jc w:val="left"/>
            </w:pPr>
            <w:r>
              <w:t xml:space="preserve">1.00</w:t>
            </w:r>
          </w:p>
        </w:tc>
        <w:tc>
          <w:tcPr/>
          <w:p>
            <w:pPr>
              <w:pStyle w:val="Compact"/>
              <w:jc w:val="left"/>
            </w:pPr>
            <w:r>
              <w:t xml:space="preserve">31.00</w:t>
            </w:r>
          </w:p>
        </w:tc>
      </w:tr>
      <w:tr>
        <w:tc>
          <w:tcPr/>
          <w:p>
            <w:pPr>
              <w:pStyle w:val="Compact"/>
            </w:pPr>
          </w:p>
        </w:tc>
        <w:tc>
          <w:tcPr/>
          <w:p>
            <w:pPr>
              <w:pStyle w:val="Compact"/>
              <w:jc w:val="left"/>
            </w:pPr>
            <w:r>
              <w:t xml:space="preserve">Content for the digital repository and State research portal</w:t>
            </w:r>
          </w:p>
        </w:tc>
        <w:tc>
          <w:tcPr/>
          <w:p>
            <w:pPr>
              <w:pStyle w:val="Compact"/>
              <w:jc w:val="left"/>
            </w:pPr>
            <w:r>
              <w:t xml:space="preserve">0.80</w:t>
            </w:r>
          </w:p>
        </w:tc>
        <w:tc>
          <w:tcPr/>
          <w:p>
            <w:pPr>
              <w:pStyle w:val="Compact"/>
              <w:jc w:val="left"/>
            </w:pPr>
            <w:r>
              <w:t xml:space="preserve">24.80</w:t>
            </w:r>
          </w:p>
        </w:tc>
      </w:tr>
      <w:tr>
        <w:tc>
          <w:tcPr/>
          <w:p>
            <w:pPr>
              <w:pStyle w:val="Compact"/>
            </w:pPr>
          </w:p>
        </w:tc>
        <w:tc>
          <w:tcPr/>
          <w:p>
            <w:pPr>
              <w:pStyle w:val="Compact"/>
              <w:jc w:val="left"/>
            </w:pPr>
            <w:r>
              <w:t xml:space="preserve">Documentation on the Shagun portal</w:t>
            </w:r>
          </w:p>
        </w:tc>
        <w:tc>
          <w:tcPr/>
          <w:p>
            <w:pPr>
              <w:pStyle w:val="Compact"/>
              <w:jc w:val="left"/>
            </w:pPr>
            <w:r>
              <w:t xml:space="preserve">0.40</w:t>
            </w:r>
          </w:p>
        </w:tc>
        <w:tc>
          <w:tcPr/>
          <w:p>
            <w:pPr>
              <w:pStyle w:val="Compact"/>
              <w:jc w:val="left"/>
            </w:pPr>
            <w:r>
              <w:t xml:space="preserve">12.40</w:t>
            </w:r>
          </w:p>
        </w:tc>
      </w:tr>
      <w:tr>
        <w:tc>
          <w:tcPr/>
          <w:p>
            <w:pPr>
              <w:pStyle w:val="Compact"/>
            </w:pPr>
          </w:p>
        </w:tc>
        <w:tc>
          <w:tcPr/>
          <w:p>
            <w:pPr>
              <w:pStyle w:val="Compact"/>
              <w:jc w:val="left"/>
            </w:pPr>
            <w:r>
              <w:rPr>
                <w:bCs/>
                <w:b/>
              </w:rPr>
              <w:t xml:space="preserve">Documentation subtotal</w:t>
            </w:r>
          </w:p>
        </w:tc>
        <w:tc>
          <w:tcPr/>
          <w:p>
            <w:pPr>
              <w:pStyle w:val="Compact"/>
              <w:jc w:val="left"/>
            </w:pPr>
            <w:r>
              <w:rPr>
                <w:bCs/>
                <w:b/>
              </w:rPr>
              <w:t xml:space="preserve">3.40</w:t>
            </w:r>
          </w:p>
        </w:tc>
        <w:tc>
          <w:tcPr/>
          <w:p>
            <w:pPr>
              <w:pStyle w:val="Compact"/>
              <w:jc w:val="left"/>
            </w:pPr>
            <w:r>
              <w:rPr>
                <w:bCs/>
                <w:b/>
              </w:rPr>
              <w:t xml:space="preserve">105.40</w:t>
            </w:r>
          </w:p>
        </w:tc>
      </w:tr>
      <w:tr>
        <w:tc>
          <w:tcPr/>
          <w:p>
            <w:pPr>
              <w:pStyle w:val="Compact"/>
              <w:jc w:val="left"/>
            </w:pPr>
            <w:r>
              <w:rPr>
                <w:bCs/>
                <w:b/>
              </w:rPr>
              <w:t xml:space="preserve">Administrative and miscellaneous (recurring)</w:t>
            </w:r>
          </w:p>
        </w:tc>
        <w:tc>
          <w:tcPr/>
          <w:p>
            <w:pPr>
              <w:pStyle w:val="Compact"/>
              <w:jc w:val="left"/>
            </w:pPr>
            <w:r>
              <w:t xml:space="preserve">Office expenses and consumables</w:t>
            </w:r>
          </w:p>
        </w:tc>
        <w:tc>
          <w:tcPr/>
          <w:p>
            <w:pPr>
              <w:pStyle w:val="Compact"/>
              <w:jc w:val="left"/>
            </w:pPr>
            <w:r>
              <w:t xml:space="preserve">0.70</w:t>
            </w:r>
          </w:p>
        </w:tc>
        <w:tc>
          <w:tcPr/>
          <w:p>
            <w:pPr>
              <w:pStyle w:val="Compact"/>
              <w:jc w:val="left"/>
            </w:pPr>
            <w:r>
              <w:t xml:space="preserve">21.70</w:t>
            </w:r>
          </w:p>
        </w:tc>
      </w:tr>
      <w:tr>
        <w:tc>
          <w:tcPr/>
          <w:p>
            <w:pPr>
              <w:pStyle w:val="Compact"/>
            </w:pPr>
          </w:p>
        </w:tc>
        <w:tc>
          <w:tcPr/>
          <w:p>
            <w:pPr>
              <w:pStyle w:val="Compact"/>
              <w:jc w:val="left"/>
            </w:pPr>
            <w:r>
              <w:t xml:space="preserve">Travel for quarterly coordination and inter-DIET collaboration</w:t>
            </w:r>
          </w:p>
        </w:tc>
        <w:tc>
          <w:tcPr/>
          <w:p>
            <w:pPr>
              <w:pStyle w:val="Compact"/>
              <w:jc w:val="left"/>
            </w:pPr>
            <w:r>
              <w:t xml:space="preserve">0.70</w:t>
            </w:r>
          </w:p>
        </w:tc>
        <w:tc>
          <w:tcPr/>
          <w:p>
            <w:pPr>
              <w:pStyle w:val="Compact"/>
              <w:jc w:val="left"/>
            </w:pPr>
            <w:r>
              <w:t xml:space="preserve">21.70</w:t>
            </w:r>
          </w:p>
        </w:tc>
      </w:tr>
      <w:tr>
        <w:tc>
          <w:tcPr/>
          <w:p>
            <w:pPr>
              <w:pStyle w:val="Compact"/>
            </w:pPr>
          </w:p>
        </w:tc>
        <w:tc>
          <w:tcPr/>
          <w:p>
            <w:pPr>
              <w:pStyle w:val="Compact"/>
              <w:jc w:val="left"/>
            </w:pPr>
            <w:r>
              <w:t xml:space="preserve">Contingency</w:t>
            </w:r>
          </w:p>
        </w:tc>
        <w:tc>
          <w:tcPr/>
          <w:p>
            <w:pPr>
              <w:pStyle w:val="Compact"/>
              <w:jc w:val="left"/>
            </w:pPr>
            <w:r>
              <w:t xml:space="preserve">0.30</w:t>
            </w:r>
          </w:p>
        </w:tc>
        <w:tc>
          <w:tcPr/>
          <w:p>
            <w:pPr>
              <w:pStyle w:val="Compact"/>
              <w:jc w:val="left"/>
            </w:pPr>
            <w:r>
              <w:t xml:space="preserve">9.30</w:t>
            </w:r>
          </w:p>
        </w:tc>
      </w:tr>
      <w:tr>
        <w:tc>
          <w:tcPr/>
          <w:p>
            <w:pPr>
              <w:pStyle w:val="Compact"/>
            </w:pPr>
          </w:p>
        </w:tc>
        <w:tc>
          <w:tcPr/>
          <w:p>
            <w:pPr>
              <w:pStyle w:val="Compact"/>
              <w:jc w:val="left"/>
            </w:pPr>
            <w:r>
              <w:rPr>
                <w:bCs/>
                <w:b/>
              </w:rPr>
              <w:t xml:space="preserve">Administrative subtotal</w:t>
            </w:r>
          </w:p>
        </w:tc>
        <w:tc>
          <w:tcPr/>
          <w:p>
            <w:pPr>
              <w:pStyle w:val="Compact"/>
              <w:jc w:val="left"/>
            </w:pPr>
            <w:r>
              <w:rPr>
                <w:bCs/>
                <w:b/>
              </w:rPr>
              <w:t xml:space="preserve">1.70</w:t>
            </w:r>
          </w:p>
        </w:tc>
        <w:tc>
          <w:tcPr/>
          <w:p>
            <w:pPr>
              <w:pStyle w:val="Compact"/>
              <w:jc w:val="left"/>
            </w:pPr>
            <w:r>
              <w:rPr>
                <w:bCs/>
                <w:b/>
              </w:rPr>
              <w:t xml:space="preserve">52.70</w:t>
            </w:r>
          </w:p>
        </w:tc>
      </w:tr>
      <w:tr>
        <w:tc>
          <w:tcPr/>
          <w:p>
            <w:pPr>
              <w:pStyle w:val="Compact"/>
              <w:jc w:val="left"/>
            </w:pPr>
            <w:r>
              <w:rPr>
                <w:bCs/>
                <w:b/>
              </w:rPr>
              <w:t xml:space="preserve">Grand total, Year 1 (non-recurring and recurring)</w:t>
            </w:r>
          </w:p>
        </w:tc>
        <w:tc>
          <w:tcPr/>
          <w:p>
            <w:pPr>
              <w:pStyle w:val="Compact"/>
            </w:pPr>
          </w:p>
        </w:tc>
        <w:tc>
          <w:tcPr/>
          <w:p>
            <w:pPr>
              <w:pStyle w:val="Compact"/>
              <w:jc w:val="left"/>
            </w:pPr>
            <w:r>
              <w:rPr>
                <w:bCs/>
                <w:b/>
              </w:rPr>
              <w:t xml:space="preserve">27.00</w:t>
            </w:r>
          </w:p>
        </w:tc>
        <w:tc>
          <w:tcPr/>
          <w:p>
            <w:pPr>
              <w:pStyle w:val="Compact"/>
              <w:jc w:val="left"/>
            </w:pPr>
            <w:r>
              <w:rPr>
                <w:bCs/>
                <w:b/>
              </w:rPr>
              <w:t xml:space="preserve">837.00</w:t>
            </w:r>
          </w:p>
        </w:tc>
      </w:tr>
    </w:tbl>
    <w:p>
      <w:pPr>
        <w:pStyle w:val="BodyText"/>
      </w:pPr>
      <w:r>
        <w:rPr>
          <w:iCs/>
          <w:i/>
        </w:rPr>
        <w:t xml:space="preserve">Note:</w:t>
      </w:r>
      <w:r>
        <w:t xml:space="preserve"> </w:t>
      </w:r>
      <w:r>
        <w:t xml:space="preserve">The four recurring heads add up to the per-unit recurring assistance of ₹17.00 lakh in Section 5.5. With the non-recurring infrastructure norm of ₹10.00 lakh, the total is ₹27.00 lakh per unit, or ₹837.00 lakh for the 31 units of Phase 1, as shown in Section 5.4.</w:t>
      </w:r>
    </w:p>
    <w:p>
      <w:pPr>
        <w:pStyle w:val="BodyText"/>
      </w:pPr>
      <w:r>
        <w:rPr>
          <w:bCs/>
          <w:b/>
        </w:rPr>
        <w:t xml:space="preserve">5.7 Five-year indicative outlay and funding share</w:t>
      </w:r>
    </w:p>
    <w:p>
      <w:pPr>
        <w:pStyle w:val="BodyText"/>
      </w:pPr>
      <w:r>
        <w:t xml:space="preserve">The table applies the Samagra Shiksha sharing pattern of 60:40 (Centre:State) for general States, as set out for DIET funding in the Ministry’s Concept Note. The figures are indicative and will be revised to the pattern the Ministry applies to this component under Samagra Shiksha 3.0.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Year</w:t>
            </w:r>
          </w:p>
        </w:tc>
        <w:tc>
          <w:tcPr/>
          <w:p>
            <w:pPr>
              <w:pStyle w:val="Compact"/>
              <w:jc w:val="left"/>
            </w:pPr>
            <w:r>
              <w:rPr>
                <w:bCs/>
                <w:b/>
              </w:rPr>
              <w:t xml:space="preserve">Units</w:t>
            </w:r>
          </w:p>
        </w:tc>
        <w:tc>
          <w:tcPr/>
          <w:p>
            <w:pPr>
              <w:pStyle w:val="Compact"/>
              <w:jc w:val="left"/>
            </w:pPr>
            <w:r>
              <w:rPr>
                <w:bCs/>
                <w:b/>
              </w:rPr>
              <w:t xml:space="preserve">Total outlay (₹ lakh)</w:t>
            </w:r>
          </w:p>
        </w:tc>
        <w:tc>
          <w:tcPr/>
          <w:p>
            <w:pPr>
              <w:pStyle w:val="Compact"/>
              <w:jc w:val="left"/>
            </w:pPr>
            <w:r>
              <w:rPr>
                <w:bCs/>
                <w:b/>
              </w:rPr>
              <w:t xml:space="preserve">Central share, 60% (₹ lakh)</w:t>
            </w:r>
          </w:p>
        </w:tc>
        <w:tc>
          <w:tcPr/>
          <w:p>
            <w:pPr>
              <w:pStyle w:val="Compact"/>
              <w:jc w:val="left"/>
            </w:pPr>
            <w:r>
              <w:rPr>
                <w:bCs/>
                <w:b/>
              </w:rPr>
              <w:t xml:space="preserve">State share, 40% (₹ lakh)</w:t>
            </w:r>
          </w:p>
        </w:tc>
      </w:tr>
      <w:tr>
        <w:tc>
          <w:tcPr/>
          <w:p>
            <w:pPr>
              <w:pStyle w:val="Compact"/>
              <w:jc w:val="left"/>
            </w:pPr>
            <w:r>
              <w:t xml:space="preserve">Year 1</w:t>
            </w:r>
          </w:p>
        </w:tc>
        <w:tc>
          <w:tcPr/>
          <w:p>
            <w:pPr>
              <w:pStyle w:val="Compact"/>
              <w:jc w:val="left"/>
            </w:pPr>
            <w:r>
              <w:t xml:space="preserve">31</w:t>
            </w:r>
          </w:p>
        </w:tc>
        <w:tc>
          <w:tcPr/>
          <w:p>
            <w:pPr>
              <w:pStyle w:val="Compact"/>
              <w:jc w:val="left"/>
            </w:pPr>
            <w:r>
              <w:t xml:space="preserve">837.00</w:t>
            </w:r>
          </w:p>
        </w:tc>
        <w:tc>
          <w:tcPr/>
          <w:p>
            <w:pPr>
              <w:pStyle w:val="Compact"/>
              <w:jc w:val="left"/>
            </w:pPr>
            <w:r>
              <w:t xml:space="preserve">502.20</w:t>
            </w:r>
          </w:p>
        </w:tc>
        <w:tc>
          <w:tcPr/>
          <w:p>
            <w:pPr>
              <w:pStyle w:val="Compact"/>
              <w:jc w:val="left"/>
            </w:pPr>
            <w:r>
              <w:t xml:space="preserve">334.80</w:t>
            </w:r>
          </w:p>
        </w:tc>
      </w:tr>
      <w:tr>
        <w:tc>
          <w:tcPr/>
          <w:p>
            <w:pPr>
              <w:pStyle w:val="Compact"/>
              <w:jc w:val="left"/>
            </w:pPr>
            <w:r>
              <w:t xml:space="preserve">Year 2 (including ₹40.00 lakh infrastructure for 4 added units)</w:t>
            </w:r>
          </w:p>
        </w:tc>
        <w:tc>
          <w:tcPr/>
          <w:p>
            <w:pPr>
              <w:pStyle w:val="Compact"/>
              <w:jc w:val="left"/>
            </w:pPr>
            <w:r>
              <w:t xml:space="preserve">35</w:t>
            </w:r>
          </w:p>
        </w:tc>
        <w:tc>
          <w:tcPr/>
          <w:p>
            <w:pPr>
              <w:pStyle w:val="Compact"/>
              <w:jc w:val="left"/>
            </w:pPr>
            <w:r>
              <w:t xml:space="preserve">635.00</w:t>
            </w:r>
          </w:p>
        </w:tc>
        <w:tc>
          <w:tcPr/>
          <w:p>
            <w:pPr>
              <w:pStyle w:val="Compact"/>
              <w:jc w:val="left"/>
            </w:pPr>
            <w:r>
              <w:t xml:space="preserve">381.00</w:t>
            </w:r>
          </w:p>
        </w:tc>
        <w:tc>
          <w:tcPr/>
          <w:p>
            <w:pPr>
              <w:pStyle w:val="Compact"/>
              <w:jc w:val="left"/>
            </w:pPr>
            <w:r>
              <w:t xml:space="preserve">254.00</w:t>
            </w:r>
          </w:p>
        </w:tc>
      </w:tr>
      <w:tr>
        <w:tc>
          <w:tcPr/>
          <w:p>
            <w:pPr>
              <w:pStyle w:val="Compact"/>
              <w:jc w:val="left"/>
            </w:pPr>
            <w:r>
              <w:t xml:space="preserve">Years 3, 4 and 5 (₹595.00 lakh each year)</w:t>
            </w:r>
          </w:p>
        </w:tc>
        <w:tc>
          <w:tcPr/>
          <w:p>
            <w:pPr>
              <w:pStyle w:val="Compact"/>
              <w:jc w:val="left"/>
            </w:pPr>
            <w:r>
              <w:t xml:space="preserve">35</w:t>
            </w:r>
          </w:p>
        </w:tc>
        <w:tc>
          <w:tcPr/>
          <w:p>
            <w:pPr>
              <w:pStyle w:val="Compact"/>
              <w:jc w:val="left"/>
            </w:pPr>
            <w:r>
              <w:t xml:space="preserve">1,785.00</w:t>
            </w:r>
          </w:p>
        </w:tc>
        <w:tc>
          <w:tcPr/>
          <w:p>
            <w:pPr>
              <w:pStyle w:val="Compact"/>
              <w:jc w:val="left"/>
            </w:pPr>
            <w:r>
              <w:t xml:space="preserve">1,071.00</w:t>
            </w:r>
          </w:p>
        </w:tc>
        <w:tc>
          <w:tcPr/>
          <w:p>
            <w:pPr>
              <w:pStyle w:val="Compact"/>
              <w:jc w:val="left"/>
            </w:pPr>
            <w:r>
              <w:t xml:space="preserve">714.00</w:t>
            </w:r>
          </w:p>
        </w:tc>
      </w:tr>
      <w:tr>
        <w:tc>
          <w:tcPr/>
          <w:p>
            <w:pPr>
              <w:pStyle w:val="Compact"/>
              <w:jc w:val="left"/>
            </w:pPr>
            <w:r>
              <w:rPr>
                <w:bCs/>
                <w:b/>
              </w:rPr>
              <w:t xml:space="preserve">Five-year indicative total</w:t>
            </w:r>
          </w:p>
        </w:tc>
        <w:tc>
          <w:tcPr/>
          <w:p>
            <w:pPr>
              <w:pStyle w:val="Compact"/>
            </w:pPr>
          </w:p>
        </w:tc>
        <w:tc>
          <w:tcPr/>
          <w:p>
            <w:pPr>
              <w:pStyle w:val="Compact"/>
              <w:jc w:val="left"/>
            </w:pPr>
            <w:r>
              <w:rPr>
                <w:bCs/>
                <w:b/>
              </w:rPr>
              <w:t xml:space="preserve">3,257.00</w:t>
            </w:r>
          </w:p>
        </w:tc>
        <w:tc>
          <w:tcPr/>
          <w:p>
            <w:pPr>
              <w:pStyle w:val="Compact"/>
              <w:jc w:val="left"/>
            </w:pPr>
            <w:r>
              <w:rPr>
                <w:bCs/>
                <w:b/>
              </w:rPr>
              <w:t xml:space="preserve">1,954.20</w:t>
            </w:r>
          </w:p>
        </w:tc>
        <w:tc>
          <w:tcPr/>
          <w:p>
            <w:pPr>
              <w:pStyle w:val="Compact"/>
              <w:jc w:val="left"/>
            </w:pPr>
            <w:r>
              <w:rPr>
                <w:bCs/>
                <w:b/>
              </w:rPr>
              <w:t xml:space="preserve">1,302.80</w:t>
            </w:r>
          </w:p>
        </w:tc>
      </w:tr>
    </w:tbl>
    <w:p>
      <w:pPr>
        <w:pStyle w:val="BodyText"/>
      </w:pPr>
      <w:r>
        <w:rPr>
          <w:bCs/>
          <w:b/>
        </w:rPr>
        <w:t xml:space="preserve">6. Implementation Timeline</w:t>
      </w:r>
    </w:p>
    <w:p>
      <w:pPr>
        <w:pStyle w:val="BodyText"/>
      </w:pPr>
      <w:r>
        <w:t xml:space="preserve">Phasing runs from the date of approval and follows the annual PAB cycle, so that each year’s research calendar, fund releases and reviews keep pace with one another.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Period</w:t>
            </w:r>
          </w:p>
        </w:tc>
        <w:tc>
          <w:tcPr/>
          <w:p>
            <w:pPr>
              <w:pStyle w:val="Compact"/>
              <w:jc w:val="left"/>
            </w:pPr>
            <w:r>
              <w:rPr>
                <w:bCs/>
                <w:b/>
              </w:rPr>
              <w:t xml:space="preserve">Milestones</w:t>
            </w:r>
          </w:p>
        </w:tc>
      </w:tr>
      <w:tr>
        <w:tc>
          <w:tcPr/>
          <w:p>
            <w:pPr>
              <w:pStyle w:val="Compact"/>
              <w:jc w:val="left"/>
            </w:pPr>
            <w:r>
              <w:t xml:space="preserve">Phase 1</w:t>
            </w:r>
          </w:p>
        </w:tc>
        <w:tc>
          <w:tcPr/>
          <w:p>
            <w:pPr>
              <w:pStyle w:val="Compact"/>
              <w:jc w:val="left"/>
            </w:pPr>
            <w:r>
              <w:t xml:space="preserve">Months 1–6 from approval</w:t>
            </w:r>
          </w:p>
        </w:tc>
        <w:tc>
          <w:tcPr/>
          <w:p>
            <w:pPr>
              <w:pStyle w:val="Compact"/>
              <w:jc w:val="left"/>
            </w:pPr>
            <w:r>
              <w:t xml:space="preserve">Formal notification of RICs at DSERT and the 30 DIETs in the current PAB cycle; release of the non-recurring infrastructure grant; constitution of Research Advisory Committees</w:t>
            </w:r>
          </w:p>
        </w:tc>
      </w:tr>
      <w:tr>
        <w:tc>
          <w:tcPr/>
          <w:p>
            <w:pPr>
              <w:pStyle w:val="Compact"/>
              <w:jc w:val="left"/>
            </w:pPr>
            <w:r>
              <w:t xml:space="preserve">Phase 2</w:t>
            </w:r>
          </w:p>
        </w:tc>
        <w:tc>
          <w:tcPr/>
          <w:p>
            <w:pPr>
              <w:pStyle w:val="Compact"/>
              <w:jc w:val="left"/>
            </w:pPr>
            <w:r>
              <w:t xml:space="preserve">Months 7–12</w:t>
            </w:r>
          </w:p>
        </w:tc>
        <w:tc>
          <w:tcPr/>
          <w:p>
            <w:pPr>
              <w:pStyle w:val="Compact"/>
              <w:jc w:val="left"/>
            </w:pPr>
            <w:r>
              <w:t xml:space="preserve">First annual call for research proposals in the 18 identified research areas; start of the 30-hour faculty training; first quarterly coordination meetings and DIET-pair collaborations</w:t>
            </w:r>
          </w:p>
        </w:tc>
      </w:tr>
      <w:tr>
        <w:tc>
          <w:tcPr/>
          <w:p>
            <w:pPr>
              <w:pStyle w:val="Compact"/>
              <w:jc w:val="left"/>
            </w:pPr>
            <w:r>
              <w:t xml:space="preserve">Phase 3</w:t>
            </w:r>
          </w:p>
        </w:tc>
        <w:tc>
          <w:tcPr/>
          <w:p>
            <w:pPr>
              <w:pStyle w:val="Compact"/>
              <w:jc w:val="left"/>
            </w:pPr>
            <w:r>
              <w:t xml:space="preserve">Year 2</w:t>
            </w:r>
          </w:p>
        </w:tc>
        <w:tc>
          <w:tcPr/>
          <w:p>
            <w:pPr>
              <w:pStyle w:val="Compact"/>
              <w:jc w:val="left"/>
            </w:pPr>
            <w:r>
              <w:t xml:space="preserve">Extension to the remaining DIETs (35 units in all); State research portal and journal in operation; first annual research convention</w:t>
            </w:r>
          </w:p>
        </w:tc>
      </w:tr>
      <w:tr>
        <w:tc>
          <w:tcPr/>
          <w:p>
            <w:pPr>
              <w:pStyle w:val="Compact"/>
              <w:jc w:val="left"/>
            </w:pPr>
            <w:r>
              <w:t xml:space="preserve">Phase 4</w:t>
            </w:r>
          </w:p>
        </w:tc>
        <w:tc>
          <w:tcPr/>
          <w:p>
            <w:pPr>
              <w:pStyle w:val="Compact"/>
              <w:jc w:val="left"/>
            </w:pPr>
            <w:r>
              <w:t xml:space="preserve">Year 3 onwards</w:t>
            </w:r>
          </w:p>
        </w:tc>
        <w:tc>
          <w:tcPr/>
          <w:p>
            <w:pPr>
              <w:pStyle w:val="Compact"/>
              <w:jc w:val="left"/>
            </w:pPr>
            <w:r>
              <w:t xml:space="preserve">Quarterly reviews, an annual research audit, mid-term and final evaluations, and continuous documentation on the Shagun portal; findings shared with NCERT and the Ministry</w:t>
            </w:r>
          </w:p>
        </w:tc>
      </w:tr>
    </w:tbl>
    <w:p>
      <w:pPr>
        <w:pStyle w:val="BodyText"/>
      </w:pPr>
      <w:r>
        <w:rPr>
          <w:bCs/>
          <w:b/>
        </w:rPr>
        <w:t xml:space="preserve">7. Outcomes, Indicators, Monitoring and Risk Management</w:t>
      </w:r>
    </w:p>
    <w:p>
      <w:pPr>
        <w:pStyle w:val="BodyText"/>
      </w:pPr>
      <w:r>
        <w:rPr>
          <w:bCs/>
          <w:b/>
        </w:rPr>
        <w:t xml:space="preserve">7.1 Expected outcomes</w:t>
      </w:r>
    </w:p>
    <w:p>
      <w:pPr>
        <w:numPr>
          <w:ilvl w:val="0"/>
          <w:numId w:val="1006"/>
        </w:numPr>
      </w:pPr>
      <w:r>
        <w:t xml:space="preserve">A functional, funded research infrastructure at DSERT and all DIETs.</w:t>
      </w:r>
    </w:p>
    <w:p>
      <w:pPr>
        <w:numPr>
          <w:ilvl w:val="0"/>
          <w:numId w:val="1006"/>
        </w:numPr>
      </w:pPr>
      <w:r>
        <w:t xml:space="preserve">More consistent and methodologically sound research from the DIETs, in compliance with PAB and NCERT requirements.</w:t>
      </w:r>
    </w:p>
    <w:p>
      <w:pPr>
        <w:numPr>
          <w:ilvl w:val="0"/>
          <w:numId w:val="1006"/>
        </w:numPr>
      </w:pPr>
      <w:r>
        <w:t xml:space="preserve">Greater research capacity among teacher educators, teachers and administrators.</w:t>
      </w:r>
    </w:p>
    <w:p>
      <w:pPr>
        <w:numPr>
          <w:ilvl w:val="0"/>
          <w:numId w:val="1006"/>
        </w:numPr>
      </w:pPr>
      <w:r>
        <w:t xml:space="preserve">A State repository of research on local educational problems, informing policy.</w:t>
      </w:r>
    </w:p>
    <w:p>
      <w:pPr>
        <w:numPr>
          <w:ilvl w:val="0"/>
          <w:numId w:val="1006"/>
        </w:numPr>
      </w:pPr>
      <w:r>
        <w:t xml:space="preserve">Stronger collaboration between DIETs and across levels of the system.</w:t>
      </w:r>
    </w:p>
    <w:p>
      <w:pPr>
        <w:numPr>
          <w:ilvl w:val="0"/>
          <w:numId w:val="1006"/>
        </w:numPr>
      </w:pPr>
      <w:r>
        <w:t xml:space="preserve">A tested RIC model that other States can adopt.</w:t>
      </w:r>
    </w:p>
    <w:p>
      <w:pPr>
        <w:pStyle w:val="FirstParagraph"/>
      </w:pPr>
      <w:r>
        <w:rPr>
          <w:bCs/>
          <w:b/>
        </w:rPr>
        <w:t xml:space="preserve">7.2 Proposed indicators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Indicator</w:t>
            </w:r>
          </w:p>
        </w:tc>
        <w:tc>
          <w:tcPr/>
          <w:p>
            <w:pPr>
              <w:pStyle w:val="Compact"/>
              <w:jc w:val="left"/>
            </w:pPr>
            <w:r>
              <w:rPr>
                <w:bCs/>
                <w:b/>
              </w:rPr>
              <w:t xml:space="preserve">Target</w:t>
            </w:r>
          </w:p>
        </w:tc>
        <w:tc>
          <w:tcPr/>
          <w:p>
            <w:pPr>
              <w:pStyle w:val="Compact"/>
              <w:jc w:val="left"/>
            </w:pPr>
            <w:r>
              <w:rPr>
                <w:bCs/>
                <w:b/>
              </w:rPr>
              <w:t xml:space="preserve">Means of verification</w:t>
            </w:r>
          </w:p>
        </w:tc>
      </w:tr>
      <w:tr>
        <w:tc>
          <w:tcPr/>
          <w:p>
            <w:pPr>
              <w:pStyle w:val="Compact"/>
              <w:jc w:val="left"/>
            </w:pPr>
            <w:r>
              <w:t xml:space="preserve">RICs notified and functional (DSERT and DIETs)</w:t>
            </w:r>
          </w:p>
        </w:tc>
        <w:tc>
          <w:tcPr/>
          <w:p>
            <w:pPr>
              <w:pStyle w:val="Compact"/>
              <w:jc w:val="left"/>
            </w:pPr>
            <w:r>
              <w:t xml:space="preserve">31 in Year 1; 35 by Year 2</w:t>
            </w:r>
          </w:p>
        </w:tc>
        <w:tc>
          <w:tcPr/>
          <w:p>
            <w:pPr>
              <w:pStyle w:val="Compact"/>
              <w:jc w:val="left"/>
            </w:pPr>
            <w:r>
              <w:t xml:space="preserve">Government orders; utilisation certificates; inspection reports</w:t>
            </w:r>
          </w:p>
        </w:tc>
      </w:tr>
      <w:tr>
        <w:tc>
          <w:tcPr/>
          <w:p>
            <w:pPr>
              <w:pStyle w:val="Compact"/>
              <w:jc w:val="left"/>
            </w:pPr>
            <w:r>
              <w:t xml:space="preserve">Faculty completing 30 hours of research training each year</w:t>
            </w:r>
          </w:p>
        </w:tc>
        <w:tc>
          <w:tcPr/>
          <w:p>
            <w:pPr>
              <w:pStyle w:val="Compact"/>
              <w:jc w:val="left"/>
            </w:pPr>
            <w:r>
              <w:t xml:space="preserve">All faculty in RIC units</w:t>
            </w:r>
          </w:p>
        </w:tc>
        <w:tc>
          <w:tcPr/>
          <w:p>
            <w:pPr>
              <w:pStyle w:val="Compact"/>
              <w:jc w:val="left"/>
            </w:pPr>
            <w:r>
              <w:t xml:space="preserve">Training registers; completion certificates</w:t>
            </w:r>
          </w:p>
        </w:tc>
      </w:tr>
      <w:tr>
        <w:tc>
          <w:tcPr/>
          <w:p>
            <w:pPr>
              <w:pStyle w:val="Compact"/>
              <w:jc w:val="left"/>
            </w:pPr>
            <w:r>
              <w:t xml:space="preserve">Research projects approved through peer review</w:t>
            </w:r>
          </w:p>
        </w:tc>
        <w:tc>
          <w:tcPr/>
          <w:p>
            <w:pPr>
              <w:pStyle w:val="Compact"/>
              <w:jc w:val="left"/>
            </w:pPr>
            <w:r>
              <w:t xml:space="preserve">As per the annual call; all peer-reviewed</w:t>
            </w:r>
          </w:p>
        </w:tc>
        <w:tc>
          <w:tcPr/>
          <w:p>
            <w:pPr>
              <w:pStyle w:val="Compact"/>
              <w:jc w:val="left"/>
            </w:pPr>
            <w:r>
              <w:t xml:space="preserve">Minutes of the Research Advisory Committee</w:t>
            </w:r>
          </w:p>
        </w:tc>
      </w:tr>
      <w:tr>
        <w:tc>
          <w:tcPr/>
          <w:p>
            <w:pPr>
              <w:pStyle w:val="Compact"/>
              <w:jc w:val="left"/>
            </w:pPr>
            <w:r>
              <w:t xml:space="preserve">Share of research on marginalised and vulnerable groups</w:t>
            </w:r>
          </w:p>
        </w:tc>
        <w:tc>
          <w:tcPr/>
          <w:p>
            <w:pPr>
              <w:pStyle w:val="Compact"/>
              <w:jc w:val="left"/>
            </w:pPr>
            <w:r>
              <w:t xml:space="preserve">At least 30%</w:t>
            </w:r>
          </w:p>
        </w:tc>
        <w:tc>
          <w:tcPr/>
          <w:p>
            <w:pPr>
              <w:pStyle w:val="Compact"/>
              <w:jc w:val="left"/>
            </w:pPr>
            <w:r>
              <w:t xml:space="preserve">Annual research audit</w:t>
            </w:r>
          </w:p>
        </w:tc>
      </w:tr>
      <w:tr>
        <w:tc>
          <w:tcPr/>
          <w:p>
            <w:pPr>
              <w:pStyle w:val="Compact"/>
              <w:jc w:val="left"/>
            </w:pPr>
            <w:r>
              <w:t xml:space="preserve">Collaborative studies between DIETs</w:t>
            </w:r>
          </w:p>
        </w:tc>
        <w:tc>
          <w:tcPr/>
          <w:p>
            <w:pPr>
              <w:pStyle w:val="Compact"/>
              <w:jc w:val="left"/>
            </w:pPr>
            <w:r>
              <w:t xml:space="preserve">Every DIET paired with at least one other</w:t>
            </w:r>
          </w:p>
        </w:tc>
        <w:tc>
          <w:tcPr/>
          <w:p>
            <w:pPr>
              <w:pStyle w:val="Compact"/>
              <w:jc w:val="left"/>
            </w:pPr>
            <w:r>
              <w:t xml:space="preserve">Quarterly coordination reports</w:t>
            </w:r>
          </w:p>
        </w:tc>
      </w:tr>
      <w:tr>
        <w:tc>
          <w:tcPr/>
          <w:p>
            <w:pPr>
              <w:pStyle w:val="Compact"/>
              <w:jc w:val="left"/>
            </w:pPr>
            <w:r>
              <w:t xml:space="preserve">Published outputs (journal, compendium, portal)</w:t>
            </w:r>
          </w:p>
        </w:tc>
        <w:tc>
          <w:tcPr/>
          <w:p>
            <w:pPr>
              <w:pStyle w:val="Compact"/>
              <w:jc w:val="left"/>
            </w:pPr>
            <w:r>
              <w:t xml:space="preserve">One journal issue and one compendium each year</w:t>
            </w:r>
          </w:p>
        </w:tc>
        <w:tc>
          <w:tcPr/>
          <w:p>
            <w:pPr>
              <w:pStyle w:val="Compact"/>
              <w:jc w:val="left"/>
            </w:pPr>
            <w:r>
              <w:t xml:space="preserve">Published volumes; portal records</w:t>
            </w:r>
          </w:p>
        </w:tc>
      </w:tr>
      <w:tr>
        <w:tc>
          <w:tcPr/>
          <w:p>
            <w:pPr>
              <w:pStyle w:val="Compact"/>
              <w:jc w:val="left"/>
            </w:pPr>
            <w:r>
              <w:t xml:space="preserve">Outcomes documented on the Shagun portal</w:t>
            </w:r>
          </w:p>
        </w:tc>
        <w:tc>
          <w:tcPr/>
          <w:p>
            <w:pPr>
              <w:pStyle w:val="Compact"/>
              <w:jc w:val="left"/>
            </w:pPr>
            <w:r>
              <w:t xml:space="preserve">All completed studies</w:t>
            </w:r>
          </w:p>
        </w:tc>
        <w:tc>
          <w:tcPr/>
          <w:p>
            <w:pPr>
              <w:pStyle w:val="Compact"/>
              <w:jc w:val="left"/>
            </w:pPr>
            <w:r>
              <w:t xml:space="preserve">Portal entries</w:t>
            </w:r>
          </w:p>
        </w:tc>
      </w:tr>
    </w:tbl>
    <w:p>
      <w:pPr>
        <w:pStyle w:val="BodyText"/>
      </w:pPr>
      <w:r>
        <w:rPr>
          <w:bCs/>
          <w:b/>
        </w:rPr>
        <w:t xml:space="preserve">7.3 Monitoring and evaluation</w:t>
      </w:r>
    </w:p>
    <w:p>
      <w:pPr>
        <w:pStyle w:val="BodyText"/>
      </w:pPr>
      <w:r>
        <w:t xml:space="preserve">DSERT will monitor the RICs through quarterly reviews of research and financial progress, mid-term and final evaluations of projects, and annual research and financial audits with utilisation certificates as per government norms. Performance will be tracked by the number and quality of completed research projects, publications, use of findings in practice, participation of stakeholders and collaboration between institutions. Research outcomes will be documented on the Shagun portal. DSERT will submit a short annual progress note on the RICs to the Ministry along with the regular PAB reporting.</w:t>
      </w:r>
    </w:p>
    <w:p>
      <w:pPr>
        <w:pStyle w:val="BodyText"/>
      </w:pPr>
      <w:r>
        <w:rPr>
          <w:bCs/>
          <w:b/>
        </w:rPr>
        <w:t xml:space="preserve">7.4 Risks and mitigation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Risk</w:t>
            </w:r>
          </w:p>
        </w:tc>
        <w:tc>
          <w:tcPr/>
          <w:p>
            <w:pPr>
              <w:pStyle w:val="Compact"/>
              <w:jc w:val="left"/>
            </w:pPr>
            <w:r>
              <w:rPr>
                <w:bCs/>
                <w:b/>
              </w:rPr>
              <w:t xml:space="preserve">Why it matters</w:t>
            </w:r>
          </w:p>
        </w:tc>
        <w:tc>
          <w:tcPr/>
          <w:p>
            <w:pPr>
              <w:pStyle w:val="Compact"/>
              <w:jc w:val="left"/>
            </w:pPr>
            <w:r>
              <w:rPr>
                <w:bCs/>
                <w:b/>
              </w:rPr>
              <w:t xml:space="preserve">Mitigation</w:t>
            </w:r>
          </w:p>
        </w:tc>
      </w:tr>
      <w:tr>
        <w:tc>
          <w:tcPr/>
          <w:p>
            <w:pPr>
              <w:pStyle w:val="Compact"/>
              <w:jc w:val="left"/>
            </w:pPr>
            <w:r>
              <w:t xml:space="preserve">Faculty vacancies in DIETs</w:t>
            </w:r>
          </w:p>
        </w:tc>
        <w:tc>
          <w:tcPr/>
          <w:p>
            <w:pPr>
              <w:pStyle w:val="Compact"/>
              <w:jc w:val="left"/>
            </w:pPr>
            <w:r>
              <w:t xml:space="preserve">The Ministry’s Concept Note puts academic vacancies at about 52% nationally, and the PAB has linked releases to filling posts</w:t>
            </w:r>
          </w:p>
        </w:tc>
        <w:tc>
          <w:tcPr/>
          <w:p>
            <w:pPr>
              <w:pStyle w:val="Compact"/>
              <w:jc w:val="left"/>
            </w:pPr>
            <w:r>
              <w:t xml:space="preserve">Each Cell is anchored to existing sanctioned faculty; research roles are written into annual academic plans; DSERT will report the vacancy position at each review</w:t>
            </w:r>
          </w:p>
        </w:tc>
      </w:tr>
      <w:tr>
        <w:tc>
          <w:tcPr/>
          <w:p>
            <w:pPr>
              <w:pStyle w:val="Compact"/>
              <w:jc w:val="left"/>
            </w:pPr>
            <w:r>
              <w:t xml:space="preserve">Uneven research quality across DIETs</w:t>
            </w:r>
          </w:p>
        </w:tc>
        <w:tc>
          <w:tcPr/>
          <w:p>
            <w:pPr>
              <w:pStyle w:val="Compact"/>
              <w:jc w:val="left"/>
            </w:pPr>
            <w:r>
              <w:t xml:space="preserve">Newly trained faculty may produce weak research designs</w:t>
            </w:r>
          </w:p>
        </w:tc>
        <w:tc>
          <w:tcPr/>
          <w:p>
            <w:pPr>
              <w:pStyle w:val="Compact"/>
              <w:jc w:val="left"/>
            </w:pPr>
            <w:r>
              <w:t xml:space="preserve">Mandatory peer review, Research Advisory Committees and DSERT mentoring of each DIET</w:t>
            </w:r>
          </w:p>
        </w:tc>
      </w:tr>
      <w:tr>
        <w:tc>
          <w:tcPr/>
          <w:p>
            <w:pPr>
              <w:pStyle w:val="Compact"/>
              <w:jc w:val="left"/>
            </w:pPr>
            <w:r>
              <w:t xml:space="preserve">Delayed release of funds</w:t>
            </w:r>
          </w:p>
        </w:tc>
        <w:tc>
          <w:tcPr/>
          <w:p>
            <w:pPr>
              <w:pStyle w:val="Compact"/>
              <w:jc w:val="left"/>
            </w:pPr>
            <w:r>
              <w:t xml:space="preserve">Late releases shorten the research cycle</w:t>
            </w:r>
          </w:p>
        </w:tc>
        <w:tc>
          <w:tcPr/>
          <w:p>
            <w:pPr>
              <w:pStyle w:val="Compact"/>
              <w:jc w:val="left"/>
            </w:pPr>
            <w:r>
              <w:t xml:space="preserve">A calendar tied to the PAB cycle; infrastructure funds released first; carry-over provision for studies in progress</w:t>
            </w:r>
          </w:p>
        </w:tc>
      </w:tr>
      <w:tr>
        <w:tc>
          <w:tcPr/>
          <w:p>
            <w:pPr>
              <w:pStyle w:val="Compact"/>
              <w:jc w:val="left"/>
            </w:pPr>
            <w:r>
              <w:t xml:space="preserve">Findings not put to use</w:t>
            </w:r>
          </w:p>
        </w:tc>
        <w:tc>
          <w:tcPr/>
          <w:p>
            <w:pPr>
              <w:pStyle w:val="Compact"/>
              <w:jc w:val="left"/>
            </w:pPr>
            <w:r>
              <w:t xml:space="preserve">Research that does not reach policy-makers or classrooms changes nothing for children</w:t>
            </w:r>
          </w:p>
        </w:tc>
        <w:tc>
          <w:tcPr/>
          <w:p>
            <w:pPr>
              <w:pStyle w:val="Compact"/>
              <w:jc w:val="left"/>
            </w:pPr>
            <w:r>
              <w:t xml:space="preserve">A State repository, an annual convention and a standing channel to State policy forums and NCERT</w:t>
            </w:r>
          </w:p>
        </w:tc>
      </w:tr>
    </w:tbl>
    <w:p>
      <w:pPr>
        <w:pStyle w:val="BodyText"/>
      </w:pPr>
      <w:r>
        <w:rPr>
          <w:bCs/>
          <w:b/>
        </w:rPr>
        <w:t xml:space="preserve">8. Request to the Ministry of Education</w:t>
      </w:r>
    </w:p>
    <w:p>
      <w:pPr>
        <w:pStyle w:val="BodyText"/>
      </w:pPr>
      <w:r>
        <w:t xml:space="preserve">DSERT, through the Government of Karnataka, requests the Ministry to:</w:t>
      </w:r>
    </w:p>
    <w:p>
      <w:pPr>
        <w:numPr>
          <w:ilvl w:val="0"/>
          <w:numId w:val="1007"/>
        </w:numPr>
      </w:pPr>
      <w:r>
        <w:t xml:space="preserve">Approve the establishment of Research and Innovation Cells at DSERT and the 30 DIETs in the 2026-27 cycle, extending to all 34 DIETs in Year 2, under the teacher-education component of Samagra Shiksha, including through the supplementary PAB expected after the approval of Samagra Shiksha 3.0.</w:t>
      </w:r>
    </w:p>
    <w:p>
      <w:pPr>
        <w:numPr>
          <w:ilvl w:val="0"/>
          <w:numId w:val="1007"/>
        </w:numPr>
      </w:pPr>
      <w:r>
        <w:t xml:space="preserve">Sanction ₹837.00 lakh for Year 1 and ₹527.00 lakh per annum recurring thereafter, rising to ₹350.00 lakh non-recurring and ₹595.00 lakh per annum recurring at full rollout of 35 units, with the Central share released on the applicable sharing pattern (₹502.20 lakh in Year 1 at 60:40).</w:t>
      </w:r>
    </w:p>
    <w:p>
      <w:pPr>
        <w:numPr>
          <w:ilvl w:val="0"/>
          <w:numId w:val="1007"/>
        </w:numPr>
      </w:pPr>
      <w:r>
        <w:t xml:space="preserve">Confirm that the research-projects component of ₹10.00 lakh per unit per annum may be released through Samagra Shiksha, and permit DSERT to apply the indicative sub-component split in Section 5.6 within the sanctioned totals.</w:t>
      </w:r>
    </w:p>
    <w:p>
      <w:pPr>
        <w:numPr>
          <w:ilvl w:val="0"/>
          <w:numId w:val="1007"/>
        </w:numPr>
      </w:pPr>
      <w:r>
        <w:t xml:space="preserve">Provide technical support from NCERT and the Ministry’s teacher-education division on research design, PARAKH-linked assessment studies and common reporting formats, and invite Karnataka to share its RIC model with other States.</w:t>
      </w:r>
    </w:p>
    <w:p>
      <w:pPr>
        <w:numPr>
          <w:ilvl w:val="0"/>
          <w:numId w:val="1007"/>
        </w:numPr>
      </w:pPr>
      <w:r>
        <w:t xml:space="preserve">Include Research and Innovation Cells as a standing, norm-based line in the teacher-education component of Samagra Shiksha 3.0.</w:t>
      </w:r>
    </w:p>
    <w:p>
      <w:pPr>
        <w:pStyle w:val="FirstParagraph"/>
      </w:pPr>
      <w:r>
        <w:t xml:space="preserve">This proposal retains the Research Wing’s Concept Note of 19 August 2026 and is submitted for the kind consideration of the Ministry.</w:t>
      </w:r>
    </w:p>
    <w:p>
      <w:pPr>
        <w:pStyle w:val="BodyText"/>
      </w:pPr>
      <w:r>
        <w:t xml:space="preserve">_______________________________</w:t>
      </w:r>
    </w:p>
    <w:p>
      <w:pPr>
        <w:pStyle w:val="BodyText"/>
      </w:pPr>
      <w:r>
        <w:rPr>
          <w:bCs/>
          <w:b/>
        </w:rPr>
        <w:t xml:space="preserve">Dr. Padmashree R.P.</w:t>
      </w:r>
    </w:p>
    <w:p>
      <w:pPr>
        <w:pStyle w:val="BodyText"/>
      </w:pPr>
      <w:r>
        <w:t xml:space="preserve">Senior Assistant Director, Teacher Education and Research</w:t>
      </w:r>
    </w:p>
    <w:p>
      <w:pPr>
        <w:pStyle w:val="BodyText"/>
      </w:pPr>
      <w:r>
        <w:t xml:space="preserve">DSERT, Government of Karnataka</w:t>
      </w:r>
    </w:p>
    <w:p>
      <w:pPr>
        <w:pStyle w:val="BodyText"/>
      </w:pPr>
      <w:r>
        <w:rPr>
          <w:bCs/>
          <w:b/>
        </w:rPr>
        <w:t xml:space="preserve">Sources</w:t>
      </w:r>
    </w:p>
    <w:p>
      <w:pPr>
        <w:numPr>
          <w:ilvl w:val="0"/>
          <w:numId w:val="1008"/>
        </w:numPr>
      </w:pPr>
      <w:r>
        <w:t xml:space="preserve">Ministry of Education, Department of School Education and Literacy. Concept Note on DIETs (including DIET of Excellence and Annexures I and III). dsel.education.gov.in/sites/default/files/guidelines/Concept_Note_DIET.pdf</w:t>
      </w:r>
    </w:p>
    <w:p>
      <w:pPr>
        <w:numPr>
          <w:ilvl w:val="0"/>
          <w:numId w:val="1008"/>
        </w:numPr>
      </w:pPr>
      <w:r>
        <w:t xml:space="preserve">Ministry of Education. Samagra Shiksha: scheme framework and implementation document. samagra.education.gov.in/docs/ss_implementation.pdf</w:t>
      </w:r>
    </w:p>
    <w:p>
      <w:pPr>
        <w:numPr>
          <w:ilvl w:val="0"/>
          <w:numId w:val="1008"/>
        </w:numPr>
      </w:pPr>
      <w:r>
        <w:t xml:space="preserve">Ministry of Education. Project Approval Board minutes and 2026-27 interim approvals, as reported by Careers360: SCERT and DIET vacancies as high as 50% in many States.</w:t>
      </w:r>
    </w:p>
    <w:p>
      <w:pPr>
        <w:numPr>
          <w:ilvl w:val="0"/>
          <w:numId w:val="1008"/>
        </w:numPr>
      </w:pPr>
      <w:r>
        <w:t xml:space="preserve">Ministry of Education. National Education Policy 2020 (Chapters 4, 5 and 15).</w:t>
      </w:r>
    </w:p>
    <w:p>
      <w:pPr>
        <w:numPr>
          <w:ilvl w:val="0"/>
          <w:numId w:val="1008"/>
        </w:numPr>
      </w:pPr>
      <w:r>
        <w:t xml:space="preserve">NCERT. PARAKH Rashtriya Sarvekshan. parakh.ncert.gov.in</w:t>
      </w:r>
    </w:p>
    <w:p>
      <w:pPr>
        <w:numPr>
          <w:ilvl w:val="0"/>
          <w:numId w:val="1008"/>
        </w:numPr>
      </w:pPr>
      <w:r>
        <w:t xml:space="preserve">DSERT, Bengaluru. Research and Innovation Cell Concept Note, 19 August 2026.</w:t>
      </w:r>
    </w:p>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000000"/>
      <w:sz w:val="22"/>
    </w:rPr>
  </w:style>
  <w:style w:styleId="BodyText" w:type="paragraph">
    <w:name w:val="Body Text"/>
    <w:basedOn w:val="Normal"/>
    <w:link w:val="BodyTextChar"/>
    <w:pPr>
      <w:spacing w:after="120" w:before="180"/>
    </w:pPr>
    <w:qFormat/>
    <w:rPr>
      <w:rFonts w:ascii="Calibri" w:hAnsi="Calibri"/>
      <w:color w:val="000000"/>
      <w:sz w:val="22"/>
    </w:rPr>
  </w:style>
  <w:style w:customStyle="1" w:styleId="FirstParagraph" w:type="paragraph">
    <w:name w:val="First Paragraph"/>
    <w:basedOn w:val="BodyText"/>
    <w:next w:val="BodyText"/>
    <w:qFormat/>
    <w:pPr>
      <w:spacing w:after="120"/>
    </w:pPr>
    <w:rPr>
      <w:rFonts w:ascii="Calibri" w:hAnsi="Calibri"/>
      <w:color w:val="000000"/>
      <w:sz w:val="22"/>
    </w:rPr>
  </w:style>
  <w:style w:customStyle="1" w:styleId="Compact" w:type="paragraph">
    <w:name w:val="Compact"/>
    <w:basedOn w:val="BodyText"/>
    <w:qFormat/>
    <w:pPr>
      <w:spacing w:after="120" w:before="36"/>
    </w:pPr>
    <w:rPr>
      <w:rFonts w:ascii="Calibri" w:hAnsi="Calibri"/>
      <w:color w:val="000000"/>
      <w:sz w:val="2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36"/>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rPr>
      <w:rFonts w:ascii="Calibri" w:hAnsi="Calibri"/>
      <w:color w:val="000000"/>
    </w:rPr>
  </w:style>
  <w:style w:default="1" w:styleId="Table" w:type="table">
    <w:name w:val="Table"/>
    <w:basedOn w:val="TableNormal"/>
    <w:semiHidden/>
    <w:unhideWhenUsed/>
    <w:qFormat/>
    <w:rPr>
      <w:rFonts w:ascii="Calibri" w:hAnsi="Calibri"/>
      <w:color w:val="000000"/>
    </w:rPr>
    <w:tblPr>
      <w:tblInd w:type="dxa" w:w="0"/>
      <w:tblCellMar>
        <w:top w:type="dxa" w:w="0"/>
        <w:left w:type="dxa" w:w="108"/>
        <w:bottom w:type="dxa" w:w="0"/>
        <w:right w:type="dxa" w:w="108"/>
      </w:tblCellMar>
      <w:tblBorders>
        <w:top w:color="808080" w:sz="4" w:val="single"/>
        <w:left w:color="808080" w:sz="4" w:val="single"/>
        <w:bottom w:color="808080" w:sz="4" w:val="single"/>
        <w:right w:color="808080" w:sz="4" w:val="single"/>
        <w:insideH w:color="808080" w:sz="4" w:val="single"/>
        <w:insideV w:color="80808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rPr>
      <w:rFonts w:ascii="Calibri" w:hAnsi="Calibri"/>
      <w:color w:val="000000"/>
    </w:rPr>
  </w:style>
  <w:style w:customStyle="1" w:styleId="VerbatimChar" w:type="character">
    <w:name w:val="Verbatim Char"/>
    <w:basedOn w:val="BodyTextChar"/>
    <w:rPr>
      <w:rFonts w:ascii="Calibri" w:hAnsi="Calibri"/>
      <w:color w:val="000000"/>
      <w:sz w:val="22"/>
    </w:rPr>
  </w:style>
  <w:style w:customStyle="1" w:styleId="SectionNumber" w:type="character">
    <w:name w:val="Section Number"/>
    <w:basedOn w:val="BodyTextChar"/>
    <w:rPr>
      <w:rFonts w:ascii="Calibri" w:hAnsi="Calibri"/>
      <w:color w:val="000000"/>
    </w:rPr>
  </w:style>
  <w:style w:styleId="FootnoteReference" w:type="character">
    <w:name w:val="Footnote Reference"/>
    <w:basedOn w:val="BodyTextChar"/>
    <w:rPr>
      <w:rFonts w:ascii="Calibri" w:hAnsi="Calibri"/>
      <w:color w:val="000000"/>
      <w:vertAlign w:val="superscript"/>
    </w:rPr>
  </w:style>
  <w:style w:styleId="Hyperlink" w:type="character">
    <w:name w:val="Hyperlink"/>
    <w:basedOn w:val="BodyTextChar"/>
    <w:rPr>
      <w:rFonts w:ascii="Calibri" w:hAnsi="Calibri"/>
      <w:color w:val="000000"/>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2026-10-14T05:23:23Z</dcterms:created>
  <dcterms:modified xsi:type="dcterms:W3CDTF">2026-10-14T05:23:23Z</dcterms:modified>
</cp:coreProperties>
</file>

<file path=docProps/custom.xml><?xml version="1.0" encoding="utf-8"?>
<Properties xmlns="http://schemas.openxmlformats.org/officeDocument/2006/custom-properties" xmlns:vt="http://schemas.openxmlformats.org/officeDocument/2006/docPropsVTypes"/>
</file>