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Sixth Chief Secretaries Conference</w:t>
      </w:r>
    </w:p>
    <w:p>
      <w:pPr>
        <w:pStyle w:val="BodyText"/>
      </w:pPr>
      <w:r>
        <w:rPr>
          <w:bCs/>
          <w:b/>
        </w:rPr>
        <w:t xml:space="preserve">Quality Education and Creating Equal Opportunity for All: The Karnataka Approach, 2026-27</w:t>
      </w:r>
    </w:p>
    <w:p>
      <w:pPr>
        <w:pStyle w:val="BodyText"/>
      </w:pPr>
      <w:r>
        <w:rPr>
          <w:bCs/>
          <w:b/>
        </w:rPr>
        <w:t xml:space="preserve">Evidence from Research Studies: State Specific Note and Feedback Notes</w:t>
      </w:r>
    </w:p>
    <w:p>
      <w:pPr>
        <w:pStyle w:val="BodyText"/>
      </w:pPr>
      <w:r>
        <w:t xml:space="preserve">Department of State Educational Research and Training (DSERT), Karnataka, with the District Institutes of Education and Training (DIETs)</w:t>
      </w:r>
    </w:p>
    <w:p>
      <w:pPr>
        <w:pStyle w:val="BodyText"/>
      </w:pPr>
      <w:r>
        <w:t xml:space="preserve">Data as of 14 October 2026</w:t>
      </w:r>
    </w:p>
    <w:p>
      <w:pPr>
        <w:pStyle w:val="BodyText"/>
      </w:pPr>
      <w:r>
        <w:rPr>
          <w:bCs/>
          <w:b/>
        </w:rPr>
        <w:t xml:space="preserve">Source of evidence</w:t>
      </w:r>
    </w:p>
    <w:p>
      <w:pPr>
        <w:pStyle w:val="BodyText"/>
      </w:pPr>
      <w:r>
        <w:t xml:space="preserve">All findings in this note are drawn from the research studies of DSERT and the DIETs: the Research Abstracts 2024-25 and 2025-26 (a compendium of 188 studies, of which nine were conducted by DSERT and 179 by twenty DIETs) and the Research Studies Tracker 2026-27 (329 studies in eighteen research areas from twenty-seven of the thirty-five districts and units). Study numbers refer to the serial numbers in the compendium (Studies 1 to 100 for 2024-25 and 101 to 188 for 2025-26). Where no completed study addresses a topic, this is stated, and the research question given is a suggestion for the 2026-27 cycle.</w:t>
      </w:r>
    </w:p>
    <w:p>
      <w:pPr>
        <w:pStyle w:val="BodyText"/>
      </w:pPr>
      <w:r>
        <w:rPr>
          <w:bCs/>
          <w:b/>
        </w:rPr>
        <w:t xml:space="preserve">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Abbreviation</w:t>
            </w:r>
          </w:p>
        </w:tc>
        <w:tc>
          <w:tcPr/>
          <w:p>
            <w:pPr>
              <w:pStyle w:val="Compact"/>
              <w:jc w:val="left"/>
            </w:pPr>
            <w:r>
              <w:rPr>
                <w:bCs/>
                <w:b/>
              </w:rPr>
              <w:t xml:space="preserve">Expansion</w:t>
            </w:r>
          </w:p>
        </w:tc>
      </w:tr>
      <w:tr>
        <w:tc>
          <w:tcPr/>
          <w:p>
            <w:pPr>
              <w:pStyle w:val="Compact"/>
              <w:jc w:val="left"/>
            </w:pPr>
            <w:r>
              <w:t xml:space="preserve">ATL</w:t>
            </w:r>
          </w:p>
        </w:tc>
        <w:tc>
          <w:tcPr/>
          <w:p>
            <w:pPr>
              <w:pStyle w:val="Compact"/>
              <w:jc w:val="left"/>
            </w:pPr>
            <w:r>
              <w:t xml:space="preserve">Atal Tinkering Lab</w:t>
            </w:r>
          </w:p>
        </w:tc>
      </w:tr>
      <w:tr>
        <w:tc>
          <w:tcPr/>
          <w:p>
            <w:pPr>
              <w:pStyle w:val="Compact"/>
              <w:jc w:val="left"/>
            </w:pPr>
            <w:r>
              <w:t xml:space="preserve">DIET</w:t>
            </w:r>
          </w:p>
        </w:tc>
        <w:tc>
          <w:tcPr/>
          <w:p>
            <w:pPr>
              <w:pStyle w:val="Compact"/>
              <w:jc w:val="left"/>
            </w:pPr>
            <w:r>
              <w:t xml:space="preserve">District Institute of Education and Training</w:t>
            </w:r>
          </w:p>
        </w:tc>
      </w:tr>
      <w:tr>
        <w:tc>
          <w:tcPr/>
          <w:p>
            <w:pPr>
              <w:pStyle w:val="Compact"/>
              <w:jc w:val="left"/>
            </w:pPr>
            <w:r>
              <w:t xml:space="preserve">DSERT</w:t>
            </w:r>
          </w:p>
        </w:tc>
        <w:tc>
          <w:tcPr/>
          <w:p>
            <w:pPr>
              <w:pStyle w:val="Compact"/>
              <w:jc w:val="left"/>
            </w:pPr>
            <w:r>
              <w:t xml:space="preserve">Department of State Educational Research and Training</w:t>
            </w:r>
          </w:p>
        </w:tc>
      </w:tr>
      <w:tr>
        <w:tc>
          <w:tcPr/>
          <w:p>
            <w:pPr>
              <w:pStyle w:val="Compact"/>
              <w:jc w:val="left"/>
            </w:pPr>
            <w:r>
              <w:t xml:space="preserve">EMTIP</w:t>
            </w:r>
          </w:p>
        </w:tc>
        <w:tc>
          <w:tcPr/>
          <w:p>
            <w:pPr>
              <w:pStyle w:val="Compact"/>
              <w:jc w:val="left"/>
            </w:pPr>
            <w:r>
              <w:t xml:space="preserve">English Medium Teachers Induction Programme</w:t>
            </w:r>
          </w:p>
        </w:tc>
      </w:tr>
      <w:tr>
        <w:tc>
          <w:tcPr/>
          <w:p>
            <w:pPr>
              <w:pStyle w:val="Compact"/>
              <w:jc w:val="left"/>
            </w:pPr>
            <w:r>
              <w:t xml:space="preserve">FLN</w:t>
            </w:r>
          </w:p>
        </w:tc>
        <w:tc>
          <w:tcPr/>
          <w:p>
            <w:pPr>
              <w:pStyle w:val="Compact"/>
              <w:jc w:val="left"/>
            </w:pPr>
            <w:r>
              <w:t xml:space="preserve">Foundational Literacy and Numeracy</w:t>
            </w:r>
          </w:p>
        </w:tc>
      </w:tr>
      <w:tr>
        <w:tc>
          <w:tcPr/>
          <w:p>
            <w:pPr>
              <w:pStyle w:val="Compact"/>
              <w:jc w:val="left"/>
            </w:pPr>
            <w:r>
              <w:t xml:space="preserve">HPC</w:t>
            </w:r>
          </w:p>
        </w:tc>
        <w:tc>
          <w:tcPr/>
          <w:p>
            <w:pPr>
              <w:pStyle w:val="Compact"/>
              <w:jc w:val="left"/>
            </w:pPr>
            <w:r>
              <w:t xml:space="preserve">Holistic Progress Card</w:t>
            </w:r>
          </w:p>
        </w:tc>
      </w:tr>
      <w:tr>
        <w:tc>
          <w:tcPr/>
          <w:p>
            <w:pPr>
              <w:pStyle w:val="Compact"/>
              <w:jc w:val="left"/>
            </w:pPr>
            <w:r>
              <w:t xml:space="preserve">ICT</w:t>
            </w:r>
          </w:p>
        </w:tc>
        <w:tc>
          <w:tcPr/>
          <w:p>
            <w:pPr>
              <w:pStyle w:val="Compact"/>
              <w:jc w:val="left"/>
            </w:pPr>
            <w:r>
              <w:t xml:space="preserve">Information and Communication Technology</w:t>
            </w:r>
          </w:p>
        </w:tc>
      </w:tr>
      <w:tr>
        <w:tc>
          <w:tcPr/>
          <w:p>
            <w:pPr>
              <w:pStyle w:val="Compact"/>
              <w:jc w:val="left"/>
            </w:pPr>
            <w:r>
              <w:t xml:space="preserve">KPS</w:t>
            </w:r>
          </w:p>
        </w:tc>
        <w:tc>
          <w:tcPr/>
          <w:p>
            <w:pPr>
              <w:pStyle w:val="Compact"/>
              <w:jc w:val="left"/>
            </w:pPr>
            <w:r>
              <w:t xml:space="preserve">Karnataka Public Schools</w:t>
            </w:r>
          </w:p>
        </w:tc>
      </w:tr>
      <w:tr>
        <w:tc>
          <w:tcPr/>
          <w:p>
            <w:pPr>
              <w:pStyle w:val="Compact"/>
              <w:jc w:val="left"/>
            </w:pPr>
            <w:r>
              <w:t xml:space="preserve">LBA</w:t>
            </w:r>
          </w:p>
        </w:tc>
        <w:tc>
          <w:tcPr/>
          <w:p>
            <w:pPr>
              <w:pStyle w:val="Compact"/>
              <w:jc w:val="left"/>
            </w:pPr>
            <w:r>
              <w:t xml:space="preserve">Lesson Based Assessment</w:t>
            </w:r>
          </w:p>
        </w:tc>
      </w:tr>
      <w:tr>
        <w:tc>
          <w:tcPr/>
          <w:p>
            <w:pPr>
              <w:pStyle w:val="Compact"/>
              <w:jc w:val="left"/>
            </w:pPr>
            <w:r>
              <w:t xml:space="preserve">NMMS</w:t>
            </w:r>
          </w:p>
        </w:tc>
        <w:tc>
          <w:tcPr/>
          <w:p>
            <w:pPr>
              <w:pStyle w:val="Compact"/>
              <w:jc w:val="left"/>
            </w:pPr>
            <w:r>
              <w:t xml:space="preserve">National Means-cum-Merit Scholarship</w:t>
            </w:r>
          </w:p>
        </w:tc>
      </w:tr>
      <w:tr>
        <w:tc>
          <w:tcPr/>
          <w:p>
            <w:pPr>
              <w:pStyle w:val="Compact"/>
              <w:jc w:val="left"/>
            </w:pPr>
            <w:r>
              <w:t xml:space="preserve">PU</w:t>
            </w:r>
          </w:p>
        </w:tc>
        <w:tc>
          <w:tcPr/>
          <w:p>
            <w:pPr>
              <w:pStyle w:val="Compact"/>
              <w:jc w:val="left"/>
            </w:pPr>
            <w:r>
              <w:t xml:space="preserve">Pre-University</w:t>
            </w:r>
          </w:p>
        </w:tc>
      </w:tr>
      <w:tr>
        <w:tc>
          <w:tcPr/>
          <w:p>
            <w:pPr>
              <w:pStyle w:val="Compact"/>
              <w:jc w:val="left"/>
            </w:pPr>
            <w:r>
              <w:t xml:space="preserve">SDMC</w:t>
            </w:r>
          </w:p>
        </w:tc>
        <w:tc>
          <w:tcPr/>
          <w:p>
            <w:pPr>
              <w:pStyle w:val="Compact"/>
              <w:jc w:val="left"/>
            </w:pPr>
            <w:r>
              <w:t xml:space="preserve">School Development and Monitoring Committee</w:t>
            </w:r>
          </w:p>
        </w:tc>
      </w:tr>
      <w:tr>
        <w:tc>
          <w:tcPr/>
          <w:p>
            <w:pPr>
              <w:pStyle w:val="Compact"/>
              <w:jc w:val="left"/>
            </w:pPr>
            <w:r>
              <w:t xml:space="preserve">SSK</w:t>
            </w:r>
          </w:p>
        </w:tc>
        <w:tc>
          <w:tcPr/>
          <w:p>
            <w:pPr>
              <w:pStyle w:val="Compact"/>
              <w:jc w:val="left"/>
            </w:pPr>
            <w:r>
              <w:t xml:space="preserve">Samagra Shikshana Karnataka</w:t>
            </w:r>
          </w:p>
        </w:tc>
      </w:tr>
      <w:tr>
        <w:tc>
          <w:tcPr/>
          <w:p>
            <w:pPr>
              <w:pStyle w:val="Compact"/>
              <w:jc w:val="left"/>
            </w:pPr>
            <w:r>
              <w:t xml:space="preserve">SSLC</w:t>
            </w:r>
          </w:p>
        </w:tc>
        <w:tc>
          <w:tcPr/>
          <w:p>
            <w:pPr>
              <w:pStyle w:val="Compact"/>
              <w:jc w:val="left"/>
            </w:pPr>
            <w:r>
              <w:t xml:space="preserve">Secondary School Leaving Certificate</w:t>
            </w:r>
          </w:p>
        </w:tc>
      </w:tr>
      <w:tr>
        <w:tc>
          <w:tcPr/>
          <w:p>
            <w:pPr>
              <w:pStyle w:val="Compact"/>
              <w:jc w:val="left"/>
            </w:pPr>
            <w:r>
              <w:t xml:space="preserve">TALP</w:t>
            </w:r>
          </w:p>
        </w:tc>
        <w:tc>
          <w:tcPr/>
          <w:p>
            <w:pPr>
              <w:pStyle w:val="Compact"/>
              <w:jc w:val="left"/>
            </w:pPr>
            <w:r>
              <w:t xml:space="preserve">Technology Assisted Learning Programme</w:t>
            </w:r>
          </w:p>
        </w:tc>
      </w:tr>
    </w:tbl>
    <w:bookmarkStart w:id="25" w:name="a.-state-specific-note"/>
    <w:p>
      <w:pPr>
        <w:pStyle w:val="Heading1"/>
      </w:pPr>
      <w:r>
        <w:t xml:space="preserve">A. STATE SPECIFIC NOTE</w:t>
      </w:r>
    </w:p>
    <w:bookmarkStart w:id="20" w:name="X6779dec2520ee8adc859f0d3ca43ec90000cb20"/>
    <w:p>
      <w:pPr>
        <w:pStyle w:val="Heading2"/>
      </w:pPr>
      <w:r>
        <w:t xml:space="preserve">1. Level Playing Field for Government School Students: Learning Outcomes, Sethubandha and LBA</w:t>
      </w:r>
    </w:p>
    <w:p>
      <w:pPr>
        <w:pStyle w:val="FirstParagraph"/>
      </w:pPr>
      <w:r>
        <w:rPr>
          <w:bCs/>
          <w:b/>
        </w:rPr>
        <w:t xml:space="preserve">Research evidence</w:t>
      </w:r>
    </w:p>
    <w:p>
      <w:pPr>
        <w:numPr>
          <w:ilvl w:val="0"/>
          <w:numId w:val="1001"/>
        </w:numPr>
        <w:pStyle w:val="Compact"/>
      </w:pPr>
      <w:r>
        <w:t xml:space="preserve">Learning programmes work when they are tested and used well. In Ballari, the Ganitha Kalika Andolana mathematics kits were tested with an experimental and control design; the experimental group’s post-test scores were about thirty to forty per cent higher than those of the control group (Study 18).</w:t>
      </w:r>
    </w:p>
    <w:p>
      <w:pPr>
        <w:numPr>
          <w:ilvl w:val="0"/>
          <w:numId w:val="1001"/>
        </w:numPr>
        <w:pStyle w:val="Compact"/>
      </w:pPr>
      <w:r>
        <w:t xml:space="preserve">In Bengaluru Rural, students in the English Nali Kali programme gained about sixty-five per cent in speaking confidence and learned on average thirty per cent more words than students taught by the traditional method (Study 28).</w:t>
      </w:r>
    </w:p>
    <w:p>
      <w:pPr>
        <w:numPr>
          <w:ilvl w:val="0"/>
          <w:numId w:val="1001"/>
        </w:numPr>
        <w:pStyle w:val="Compact"/>
      </w:pPr>
      <w:r>
        <w:t xml:space="preserve">Gains at the foundational stage do not last. In Hassan, Grade 3 students had improved in FLN compared with earlier national assessments, but achievement fell in Grades 6 and 9, especially in Mathematics and Science (Study 120).</w:t>
      </w:r>
    </w:p>
    <w:p>
      <w:pPr>
        <w:numPr>
          <w:ilvl w:val="0"/>
          <w:numId w:val="1001"/>
        </w:numPr>
        <w:pStyle w:val="Compact"/>
      </w:pPr>
      <w:r>
        <w:t xml:space="preserve">Across the State, seventy-nine per cent of mathematics teachers considered activity-based learning the most effective, but large classes, multigrade teaching and scarce resources limited its use (Study 2).</w:t>
      </w:r>
    </w:p>
    <w:p>
      <w:pPr>
        <w:numPr>
          <w:ilvl w:val="0"/>
          <w:numId w:val="1001"/>
        </w:numPr>
        <w:pStyle w:val="Compact"/>
      </w:pPr>
      <w:r>
        <w:t xml:space="preserve">Some children start behind. Over sixty per cent of tribal students in Hassan struggled to understand lessons in a language different from their home dialect (Study 125), and teachers of Marathi and Urdu had fewer resources than teachers of Kannada, English and Hindi (Study 4).</w:t>
      </w:r>
    </w:p>
    <w:p>
      <w:pPr>
        <w:pStyle w:val="FirstParagraph"/>
      </w:pPr>
      <w:r>
        <w:rPr>
          <w:bCs/>
          <w:b/>
        </w:rPr>
        <w:t xml:space="preserve">What the evidence means</w:t>
      </w:r>
    </w:p>
    <w:p>
      <w:pPr>
        <w:pStyle w:val="BodyText"/>
      </w:pPr>
      <w:r>
        <w:t xml:space="preserve">Sethubandha and LBA address exactly the gap the studies show: learning that is gained in the early grades and lost later. A level playing field requires that each child’s learning be tracked beyond Grade 3, and that children who begin with a language disadvantage receive bridge support.</w:t>
      </w:r>
    </w:p>
    <w:p>
      <w:pPr>
        <w:pStyle w:val="BodyText"/>
      </w:pPr>
      <w:r>
        <w:rPr>
          <w:bCs/>
          <w:b/>
        </w:rPr>
        <w:t xml:space="preserve">Research proposed for 2026-27 (suggested)</w:t>
      </w:r>
    </w:p>
    <w:p>
      <w:pPr>
        <w:numPr>
          <w:ilvl w:val="0"/>
          <w:numId w:val="1002"/>
        </w:numPr>
        <w:pStyle w:val="Compact"/>
      </w:pPr>
      <w:r>
        <w:t xml:space="preserve">Do Sethubandha pre-tests and post-tests show recovery of previous-class learning outcomes, and for which groups of children?</w:t>
      </w:r>
    </w:p>
    <w:p>
      <w:pPr>
        <w:numPr>
          <w:ilvl w:val="0"/>
          <w:numId w:val="1002"/>
        </w:numPr>
        <w:pStyle w:val="Compact"/>
      </w:pPr>
      <w:r>
        <w:t xml:space="preserve">Does LBA help teachers identify and support children falling behind in Grades 6 to 9?</w:t>
      </w:r>
    </w:p>
    <w:bookmarkEnd w:id="20"/>
    <w:bookmarkStart w:id="21" w:name="X7f14e3ea9f132fc6992b497bae2e488e3041218"/>
    <w:p>
      <w:pPr>
        <w:pStyle w:val="Heading2"/>
      </w:pPr>
      <w:r>
        <w:t xml:space="preserve">2. Introduction of Bilingual Education: Eight Educational Guarantees and the KPS Programme</w:t>
      </w:r>
    </w:p>
    <w:p>
      <w:pPr>
        <w:pStyle w:val="FirstParagraph"/>
      </w:pPr>
      <w:r>
        <w:rPr>
          <w:bCs/>
          <w:b/>
        </w:rPr>
        <w:t xml:space="preserve">Research evidence</w:t>
      </w:r>
    </w:p>
    <w:p>
      <w:pPr>
        <w:numPr>
          <w:ilvl w:val="0"/>
          <w:numId w:val="1003"/>
        </w:numPr>
        <w:pStyle w:val="Compact"/>
      </w:pPr>
      <w:r>
        <w:t xml:space="preserve">Teacher training builds confidence. In Bagalkote, the share of teachers confident in teaching through English rose from thirty-eight to eighty-four per cent after EMTIP training (Study 7).</w:t>
      </w:r>
    </w:p>
    <w:p>
      <w:pPr>
        <w:numPr>
          <w:ilvl w:val="0"/>
          <w:numId w:val="1003"/>
        </w:numPr>
        <w:pStyle w:val="Compact"/>
      </w:pPr>
      <w:r>
        <w:t xml:space="preserve">Children gain in spoken English. English Nali Kali improved speaking confidence and vocabulary in Bengaluru Rural (Study 28).</w:t>
      </w:r>
    </w:p>
    <w:p>
      <w:pPr>
        <w:numPr>
          <w:ilvl w:val="0"/>
          <w:numId w:val="1003"/>
        </w:numPr>
        <w:pStyle w:val="Compact"/>
      </w:pPr>
      <w:r>
        <w:t xml:space="preserve">Language can also exclude. Over sixty per cent of tribal students in Hassan faced comprehension gaps because the medium of instruction differed from their home dialect (Study 125).</w:t>
      </w:r>
    </w:p>
    <w:p>
      <w:pPr>
        <w:numPr>
          <w:ilvl w:val="0"/>
          <w:numId w:val="1003"/>
        </w:numPr>
        <w:pStyle w:val="Compact"/>
      </w:pPr>
      <w:r>
        <w:t xml:space="preserve">No completed study in the compendium evaluates the KPS model or the eight guarantees as a whole.</w:t>
      </w:r>
    </w:p>
    <w:p>
      <w:pPr>
        <w:pStyle w:val="FirstParagraph"/>
      </w:pPr>
      <w:r>
        <w:rPr>
          <w:bCs/>
          <w:b/>
        </w:rPr>
        <w:t xml:space="preserve">What the evidence means</w:t>
      </w:r>
    </w:p>
    <w:p>
      <w:pPr>
        <w:pStyle w:val="BodyText"/>
      </w:pPr>
      <w:r>
        <w:t xml:space="preserve">Bilingual education is supported by the evidence on teacher confidence and children’s spoken English. The same evidence warns that children whose home language is neither Kannada nor English need bridge material, or bilingual education may widen the gap for them.</w:t>
      </w:r>
    </w:p>
    <w:p>
      <w:pPr>
        <w:pStyle w:val="BodyText"/>
      </w:pPr>
      <w:r>
        <w:rPr>
          <w:bCs/>
          <w:b/>
        </w:rPr>
        <w:t xml:space="preserve">Research proposed for 2026-27 (suggested)</w:t>
      </w:r>
    </w:p>
    <w:p>
      <w:pPr>
        <w:numPr>
          <w:ilvl w:val="0"/>
          <w:numId w:val="1004"/>
        </w:numPr>
        <w:pStyle w:val="Compact"/>
      </w:pPr>
      <w:r>
        <w:t xml:space="preserve">What are the learning outcomes of children in bilingual sections compared with Kannada-medium sections?</w:t>
      </w:r>
    </w:p>
    <w:p>
      <w:pPr>
        <w:numPr>
          <w:ilvl w:val="0"/>
          <w:numId w:val="1004"/>
        </w:numPr>
        <w:pStyle w:val="Compact"/>
      </w:pPr>
      <w:r>
        <w:t xml:space="preserve">How do tribal and minority-language children fare in bilingual classes?</w:t>
      </w:r>
    </w:p>
    <w:p>
      <w:pPr>
        <w:numPr>
          <w:ilvl w:val="0"/>
          <w:numId w:val="1004"/>
        </w:numPr>
        <w:pStyle w:val="Compact"/>
      </w:pPr>
      <w:r>
        <w:t xml:space="preserve">A baseline study of KPS schools, so that the effect of each guarantee can be measured later.</w:t>
      </w:r>
    </w:p>
    <w:bookmarkEnd w:id="21"/>
    <w:bookmarkStart w:id="22" w:name="X038bb0ed6f786a730d3ac7e19aa394a46a227f3"/>
    <w:p>
      <w:pPr>
        <w:pStyle w:val="Heading2"/>
      </w:pPr>
      <w:r>
        <w:t xml:space="preserve">3. Introduction of Value Education, Life Skills Education and Skill Education</w:t>
      </w:r>
    </w:p>
    <w:p>
      <w:pPr>
        <w:pStyle w:val="FirstParagraph"/>
      </w:pPr>
      <w:r>
        <w:rPr>
          <w:bCs/>
          <w:b/>
        </w:rPr>
        <w:t xml:space="preserve">Research evidence</w:t>
      </w:r>
    </w:p>
    <w:p>
      <w:pPr>
        <w:numPr>
          <w:ilvl w:val="0"/>
          <w:numId w:val="1005"/>
        </w:numPr>
        <w:pStyle w:val="Compact"/>
      </w:pPr>
      <w:r>
        <w:t xml:space="preserve">Skills education improves attendance. In Bagalkote, a skills programme brought significant gains in attendance and in skills-oriented subjects (Study 13), and seventy-eight per cent of students reported better practical and vocational skills (Study 107).</w:t>
      </w:r>
    </w:p>
    <w:p>
      <w:pPr>
        <w:numPr>
          <w:ilvl w:val="0"/>
          <w:numId w:val="1005"/>
        </w:numPr>
        <w:pStyle w:val="Compact"/>
      </w:pPr>
      <w:r>
        <w:t xml:space="preserve">Students need support for wellbeing. In Kalaburagi, 51.25 per cent of the students sampled reported stress, mainly from academic pressure, and urban students reported more stress than rural students (Study 65).</w:t>
      </w:r>
    </w:p>
    <w:p>
      <w:pPr>
        <w:numPr>
          <w:ilvl w:val="0"/>
          <w:numId w:val="1005"/>
        </w:numPr>
        <w:pStyle w:val="Compact"/>
      </w:pPr>
      <w:r>
        <w:t xml:space="preserve">Experiential learning engages students. Chitradurga’s Natyaananda Science Laboratory combined theatre-based learning with experiments (Study 61), and students showed strong interest in robotics, coding and 3D printing (Study 15).</w:t>
      </w:r>
    </w:p>
    <w:p>
      <w:pPr>
        <w:numPr>
          <w:ilvl w:val="0"/>
          <w:numId w:val="1005"/>
        </w:numPr>
        <w:pStyle w:val="Compact"/>
      </w:pPr>
      <w:r>
        <w:t xml:space="preserve">Physical education is held back by poor infrastructure and a shortage of trained teachers, with about 2,120 posts vacant across the State (Study 90).</w:t>
      </w:r>
    </w:p>
    <w:p>
      <w:pPr>
        <w:numPr>
          <w:ilvl w:val="0"/>
          <w:numId w:val="1005"/>
        </w:numPr>
        <w:pStyle w:val="Compact"/>
      </w:pPr>
      <w:r>
        <w:t xml:space="preserve">Twenty-two studies in all cover health, wellbeing, sports and values, and thirteen cover early childhood, transitions and skills.</w:t>
      </w:r>
    </w:p>
    <w:p>
      <w:pPr>
        <w:pStyle w:val="FirstParagraph"/>
      </w:pPr>
      <w:r>
        <w:rPr>
          <w:bCs/>
          <w:b/>
        </w:rPr>
        <w:t xml:space="preserve">What the evidence means</w:t>
      </w:r>
    </w:p>
    <w:p>
      <w:pPr>
        <w:pStyle w:val="BodyText"/>
      </w:pPr>
      <w:r>
        <w:t xml:space="preserve">Value and life skills education should include wellbeing and stress, not only moral instruction. Skills education already shows gains in attendance, which supports its expansion.</w:t>
      </w:r>
    </w:p>
    <w:p>
      <w:pPr>
        <w:pStyle w:val="BodyText"/>
      </w:pPr>
      <w:r>
        <w:rPr>
          <w:bCs/>
          <w:b/>
        </w:rPr>
        <w:t xml:space="preserve">Research proposed for 2026-27 (suggested)</w:t>
      </w:r>
    </w:p>
    <w:p>
      <w:pPr>
        <w:numPr>
          <w:ilvl w:val="0"/>
          <w:numId w:val="1006"/>
        </w:numPr>
        <w:pStyle w:val="Compact"/>
      </w:pPr>
      <w:r>
        <w:t xml:space="preserve">How are the value education books used in classrooms, and what changes do teachers and parents observe?</w:t>
      </w:r>
    </w:p>
    <w:p>
      <w:pPr>
        <w:numPr>
          <w:ilvl w:val="0"/>
          <w:numId w:val="1006"/>
        </w:numPr>
        <w:pStyle w:val="Compact"/>
      </w:pPr>
      <w:r>
        <w:t xml:space="preserve">Does skills education reduce dropout in Grades 9 and 10?</w:t>
      </w:r>
    </w:p>
    <w:bookmarkEnd w:id="22"/>
    <w:bookmarkStart w:id="23" w:name="X02c6906d2afd9af5cff90706efe8dc8db74e404"/>
    <w:p>
      <w:pPr>
        <w:pStyle w:val="Heading2"/>
      </w:pPr>
      <w:r>
        <w:t xml:space="preserve">4. Digital Security and Removal of Digital Distractors: Mobile Bidi Pustaka Hidi</w:t>
      </w:r>
    </w:p>
    <w:p>
      <w:pPr>
        <w:pStyle w:val="FirstParagraph"/>
      </w:pPr>
      <w:r>
        <w:rPr>
          <w:bCs/>
          <w:b/>
        </w:rPr>
        <w:t xml:space="preserve">Research evidence</w:t>
      </w:r>
    </w:p>
    <w:p>
      <w:pPr>
        <w:numPr>
          <w:ilvl w:val="0"/>
          <w:numId w:val="1007"/>
        </w:numPr>
        <w:pStyle w:val="Compact"/>
      </w:pPr>
      <w:r>
        <w:t xml:space="preserve">Teachers are not ready for digital safety. In Bagalkote, only 9.5 per cent of teachers showed full awareness of digital safety (Study 14).</w:t>
      </w:r>
    </w:p>
    <w:p>
      <w:pPr>
        <w:numPr>
          <w:ilvl w:val="0"/>
          <w:numId w:val="1007"/>
        </w:numPr>
        <w:pStyle w:val="Compact"/>
      </w:pPr>
      <w:r>
        <w:t xml:space="preserve">Teaching relies on open platforms. The statewide study found that about seventy-five per cent of sampled schools used technology actively in teaching, mainly through YouTube (fifty-one per cent) and WhatsApp (forty-three per cent) (Study 1).</w:t>
      </w:r>
    </w:p>
    <w:p>
      <w:pPr>
        <w:numPr>
          <w:ilvl w:val="0"/>
          <w:numId w:val="1007"/>
        </w:numPr>
        <w:pStyle w:val="Compact"/>
      </w:pPr>
      <w:r>
        <w:t xml:space="preserve">Primary schools lag. In Bagalkote, technology use was 72.94 per cent in high schools but 27.06 per cent in primary schools (Study 14).</w:t>
      </w:r>
    </w:p>
    <w:p>
      <w:pPr>
        <w:numPr>
          <w:ilvl w:val="0"/>
          <w:numId w:val="1007"/>
        </w:numPr>
        <w:pStyle w:val="Compact"/>
      </w:pPr>
      <w:r>
        <w:t xml:space="preserve">Student stress is high (Study 65), which is relevant to the effects of excessive mobile use.</w:t>
      </w:r>
    </w:p>
    <w:p>
      <w:pPr>
        <w:numPr>
          <w:ilvl w:val="0"/>
          <w:numId w:val="1007"/>
        </w:numPr>
        <w:pStyle w:val="Compact"/>
      </w:pPr>
      <w:r>
        <w:t xml:space="preserve">No completed study in the compendium evaluates the Mobile Bidi Pustaka Hidi campaign.</w:t>
      </w:r>
    </w:p>
    <w:p>
      <w:pPr>
        <w:pStyle w:val="FirstParagraph"/>
      </w:pPr>
      <w:r>
        <w:rPr>
          <w:bCs/>
          <w:b/>
        </w:rPr>
        <w:t xml:space="preserve">What the evidence means</w:t>
      </w:r>
    </w:p>
    <w:p>
      <w:pPr>
        <w:pStyle w:val="BodyText"/>
      </w:pPr>
      <w:r>
        <w:t xml:space="preserve">Because teaching already depends on open platforms such as YouTube and WhatsApp, and few teachers are aware of digital safety, teacher training in digital safety should come before, or with, the campaign to reduce children’s mobile use.</w:t>
      </w:r>
    </w:p>
    <w:p>
      <w:pPr>
        <w:pStyle w:val="BodyText"/>
      </w:pPr>
      <w:r>
        <w:rPr>
          <w:bCs/>
          <w:b/>
        </w:rPr>
        <w:t xml:space="preserve">Research proposed for 2026-27 (suggested)</w:t>
      </w:r>
    </w:p>
    <w:p>
      <w:pPr>
        <w:numPr>
          <w:ilvl w:val="0"/>
          <w:numId w:val="1008"/>
        </w:numPr>
        <w:pStyle w:val="Compact"/>
      </w:pPr>
      <w:r>
        <w:t xml:space="preserve">What change in children’s mobile use and reading habits follows the Mobile Bidi Pustaka Hidi campaign?</w:t>
      </w:r>
    </w:p>
    <w:p>
      <w:pPr>
        <w:numPr>
          <w:ilvl w:val="0"/>
          <w:numId w:val="1008"/>
        </w:numPr>
        <w:pStyle w:val="Compact"/>
      </w:pPr>
      <w:r>
        <w:t xml:space="preserve">How aware of digital safety are teachers and parents in each district?</w:t>
      </w:r>
    </w:p>
    <w:bookmarkEnd w:id="23"/>
    <w:bookmarkStart w:id="24" w:name="Xc8ef9a62f48b7ed241872dd05c9ce188d4e8548"/>
    <w:p>
      <w:pPr>
        <w:pStyle w:val="Heading2"/>
      </w:pPr>
      <w:r>
        <w:t xml:space="preserve">5. Monograde Education: Increase in Enrolment and Creation of Parity</w:t>
      </w:r>
    </w:p>
    <w:p>
      <w:pPr>
        <w:pStyle w:val="FirstParagraph"/>
      </w:pPr>
      <w:r>
        <w:rPr>
          <w:bCs/>
          <w:b/>
        </w:rPr>
        <w:t xml:space="preserve">Research evidence</w:t>
      </w:r>
    </w:p>
    <w:p>
      <w:pPr>
        <w:numPr>
          <w:ilvl w:val="0"/>
          <w:numId w:val="1009"/>
        </w:numPr>
        <w:pStyle w:val="Compact"/>
      </w:pPr>
      <w:r>
        <w:t xml:space="preserve">Multigrade teaching limits good practice. Large classes and multigrade teaching limited the use of activity-based learning in mathematics (Study 2).</w:t>
      </w:r>
    </w:p>
    <w:p>
      <w:pPr>
        <w:numPr>
          <w:ilvl w:val="0"/>
          <w:numId w:val="1009"/>
        </w:numPr>
        <w:pStyle w:val="Compact"/>
      </w:pPr>
      <w:r>
        <w:t xml:space="preserve">Poverty drives dropout. In Bagalkote, seventy-five per cent of the children who dropped out came from low-income families, and lack of money was the main reason (forty per cent) (Study 10).</w:t>
      </w:r>
    </w:p>
    <w:p>
      <w:pPr>
        <w:numPr>
          <w:ilvl w:val="0"/>
          <w:numId w:val="1009"/>
        </w:numPr>
        <w:pStyle w:val="Compact"/>
      </w:pPr>
      <w:r>
        <w:t xml:space="preserve">Girls leave in the higher grades. In Chikkaballapur, girls’ enrolment had reached parity, but their retention fell in the higher grades, and teachers’ unconscious biases reinforced traditional gender roles (Study 52).</w:t>
      </w:r>
    </w:p>
    <w:p>
      <w:pPr>
        <w:numPr>
          <w:ilvl w:val="0"/>
          <w:numId w:val="1009"/>
        </w:numPr>
        <w:pStyle w:val="Compact"/>
      </w:pPr>
      <w:r>
        <w:t xml:space="preserve">Some children never reach school. A study in Bengaluru city found 1,676 children with special needs in Classes 1 to 10, of whom 232 were home-based (Study 41).</w:t>
      </w:r>
    </w:p>
    <w:p>
      <w:pPr>
        <w:numPr>
          <w:ilvl w:val="0"/>
          <w:numId w:val="1009"/>
        </w:numPr>
        <w:pStyle w:val="Compact"/>
      </w:pPr>
      <w:r>
        <w:t xml:space="preserve">Communities help. Schools with functional SDMCs had better infrastructure and classroom practice (Study 20), and seventy-five per cent of sampled schools in Bagalkote received community contributions (Study 6).</w:t>
      </w:r>
    </w:p>
    <w:p>
      <w:pPr>
        <w:pStyle w:val="FirstParagraph"/>
      </w:pPr>
      <w:r>
        <w:rPr>
          <w:bCs/>
          <w:b/>
        </w:rPr>
        <w:t xml:space="preserve">What the evidence means</w:t>
      </w:r>
    </w:p>
    <w:p>
      <w:pPr>
        <w:pStyle w:val="BodyText"/>
      </w:pPr>
      <w:r>
        <w:t xml:space="preserve">Monograde teaching removes one barrier to good practice identified by teachers. Enrolment and parity also depend on keeping poor children and girls in school and on reaching children with special needs at home.</w:t>
      </w:r>
    </w:p>
    <w:p>
      <w:pPr>
        <w:pStyle w:val="BodyText"/>
      </w:pPr>
      <w:r>
        <w:rPr>
          <w:bCs/>
          <w:b/>
        </w:rPr>
        <w:t xml:space="preserve">Research proposed for 2026-27 (suggested)</w:t>
      </w:r>
    </w:p>
    <w:p>
      <w:pPr>
        <w:numPr>
          <w:ilvl w:val="0"/>
          <w:numId w:val="1010"/>
        </w:numPr>
        <w:pStyle w:val="Compact"/>
      </w:pPr>
      <w:r>
        <w:t xml:space="preserve">How does learning change in schools that move from multigrade to monograde teaching?</w:t>
      </w:r>
    </w:p>
    <w:p>
      <w:pPr>
        <w:numPr>
          <w:ilvl w:val="0"/>
          <w:numId w:val="1010"/>
        </w:numPr>
        <w:pStyle w:val="Compact"/>
      </w:pPr>
      <w:r>
        <w:t xml:space="preserve">What brings children back to government schools, and what keeps them there?</w:t>
      </w:r>
    </w:p>
    <w:bookmarkEnd w:id="24"/>
    <w:bookmarkEnd w:id="25"/>
    <w:bookmarkStart w:id="39" w:name="b.-feedback-notes"/>
    <w:p>
      <w:pPr>
        <w:pStyle w:val="Heading1"/>
      </w:pPr>
      <w:r>
        <w:t xml:space="preserve">B. FEEDBACK NOTES</w:t>
      </w:r>
    </w:p>
    <w:bookmarkStart w:id="26" w:name="ai-education-in-karnataka"/>
    <w:p>
      <w:pPr>
        <w:pStyle w:val="Heading2"/>
      </w:pPr>
      <w:r>
        <w:t xml:space="preserve">1. AI Education in Karnataka</w:t>
      </w:r>
    </w:p>
    <w:p>
      <w:pPr>
        <w:numPr>
          <w:ilvl w:val="0"/>
          <w:numId w:val="1011"/>
        </w:numPr>
        <w:pStyle w:val="Compact"/>
      </w:pPr>
      <w:r>
        <w:rPr>
          <w:bCs/>
          <w:b/>
        </w:rPr>
        <w:t xml:space="preserve">Evidence:</w:t>
      </w:r>
      <w:r>
        <w:t xml:space="preserve"> </w:t>
      </w:r>
      <w:r>
        <w:t xml:space="preserve">Students showed strong interest in robotics, coding and 3D printing (Study 15). About seventy-five per cent of sampled schools used technology actively in teaching (Study 1), but in TALP schools in Bengaluru Rural only eighty-five per cent of teachers had been trained (Study 40).</w:t>
      </w:r>
    </w:p>
    <w:p>
      <w:pPr>
        <w:numPr>
          <w:ilvl w:val="0"/>
          <w:numId w:val="1011"/>
        </w:numPr>
        <w:pStyle w:val="Compact"/>
      </w:pPr>
      <w:r>
        <w:rPr>
          <w:bCs/>
          <w:b/>
        </w:rPr>
        <w:t xml:space="preserve">Gap:</w:t>
      </w:r>
      <w:r>
        <w:t xml:space="preserve"> </w:t>
      </w:r>
      <w:r>
        <w:t xml:space="preserve">No completed study addresses AI education directly.</w:t>
      </w:r>
    </w:p>
    <w:p>
      <w:pPr>
        <w:numPr>
          <w:ilvl w:val="0"/>
          <w:numId w:val="1011"/>
        </w:numPr>
        <w:pStyle w:val="Compact"/>
      </w:pPr>
      <w:r>
        <w:rPr>
          <w:bCs/>
          <w:b/>
        </w:rPr>
        <w:t xml:space="preserve">Suggested research:</w:t>
      </w:r>
      <w:r>
        <w:t xml:space="preserve"> </w:t>
      </w:r>
      <w:r>
        <w:t xml:space="preserve">Readiness of teachers and schools (devices, connectivity, trained teachers) for AI education from Class 3, and student learning in the AI vocational subject in Classes 9 and 10.</w:t>
      </w:r>
    </w:p>
    <w:bookmarkEnd w:id="26"/>
    <w:bookmarkStart w:id="27" w:name="sports-portal-it-intervention-in-sports"/>
    <w:p>
      <w:pPr>
        <w:pStyle w:val="Heading2"/>
      </w:pPr>
      <w:r>
        <w:t xml:space="preserve">2. Sports Portal: IT Intervention in Sports</w:t>
      </w:r>
    </w:p>
    <w:p>
      <w:pPr>
        <w:numPr>
          <w:ilvl w:val="0"/>
          <w:numId w:val="1012"/>
        </w:numPr>
        <w:pStyle w:val="Compact"/>
      </w:pPr>
      <w:r>
        <w:rPr>
          <w:bCs/>
          <w:b/>
        </w:rPr>
        <w:t xml:space="preserve">Evidence:</w:t>
      </w:r>
      <w:r>
        <w:t xml:space="preserve"> </w:t>
      </w:r>
      <w:r>
        <w:t xml:space="preserve">In Chamarajanagar, sports grants were spent mainly on equipment (Study 48). Physical education suffers from poor infrastructure and about 2,120 vacant teacher posts (Study 90).</w:t>
      </w:r>
    </w:p>
    <w:p>
      <w:pPr>
        <w:numPr>
          <w:ilvl w:val="0"/>
          <w:numId w:val="1012"/>
        </w:numPr>
        <w:pStyle w:val="Compact"/>
      </w:pPr>
      <w:r>
        <w:rPr>
          <w:bCs/>
          <w:b/>
        </w:rPr>
        <w:t xml:space="preserve">Gap:</w:t>
      </w:r>
      <w:r>
        <w:t xml:space="preserve"> </w:t>
      </w:r>
      <w:r>
        <w:t xml:space="preserve">No completed study addresses the Sports Portal.</w:t>
      </w:r>
    </w:p>
    <w:p>
      <w:pPr>
        <w:numPr>
          <w:ilvl w:val="0"/>
          <w:numId w:val="1012"/>
        </w:numPr>
        <w:pStyle w:val="Compact"/>
      </w:pPr>
      <w:r>
        <w:rPr>
          <w:bCs/>
          <w:b/>
        </w:rPr>
        <w:t xml:space="preserve">Suggested research:</w:t>
      </w:r>
      <w:r>
        <w:t xml:space="preserve"> </w:t>
      </w:r>
      <w:r>
        <w:t xml:space="preserve">Whether the Sports Portal improves the tracking of sports grants, participation and talent identification.</w:t>
      </w:r>
    </w:p>
    <w:bookmarkEnd w:id="27"/>
    <w:bookmarkStart w:id="28" w:name="renewal-and-recognition"/>
    <w:p>
      <w:pPr>
        <w:pStyle w:val="Heading2"/>
      </w:pPr>
      <w:r>
        <w:t xml:space="preserve">3. Renewal and Recognition</w:t>
      </w:r>
    </w:p>
    <w:p>
      <w:pPr>
        <w:numPr>
          <w:ilvl w:val="0"/>
          <w:numId w:val="1013"/>
        </w:numPr>
        <w:pStyle w:val="Compact"/>
      </w:pPr>
      <w:r>
        <w:rPr>
          <w:bCs/>
          <w:b/>
        </w:rPr>
        <w:t xml:space="preserve">Evidence:</w:t>
      </w:r>
      <w:r>
        <w:t xml:space="preserve"> </w:t>
      </w:r>
      <w:r>
        <w:t xml:space="preserve">No completed study in the compendium addresses the renewal and recognition of schools.</w:t>
      </w:r>
    </w:p>
    <w:p>
      <w:pPr>
        <w:numPr>
          <w:ilvl w:val="0"/>
          <w:numId w:val="1013"/>
        </w:numPr>
        <w:pStyle w:val="Compact"/>
      </w:pPr>
      <w:r>
        <w:rPr>
          <w:bCs/>
          <w:b/>
        </w:rPr>
        <w:t xml:space="preserve">Suggested research:</w:t>
      </w:r>
      <w:r>
        <w:t xml:space="preserve"> </w:t>
      </w:r>
      <w:r>
        <w:t xml:space="preserve">Time taken, documents required and difficulties faced by schools in the online recognition and renewal process.</w:t>
      </w:r>
    </w:p>
    <w:bookmarkEnd w:id="28"/>
    <w:bookmarkStart w:id="29" w:name="lba-portal-activity-tracking"/>
    <w:p>
      <w:pPr>
        <w:pStyle w:val="Heading2"/>
      </w:pPr>
      <w:r>
        <w:t xml:space="preserve">4. LBA Portal: Activity Tracking</w:t>
      </w:r>
    </w:p>
    <w:p>
      <w:pPr>
        <w:numPr>
          <w:ilvl w:val="0"/>
          <w:numId w:val="1014"/>
        </w:numPr>
        <w:pStyle w:val="Compact"/>
      </w:pPr>
      <w:r>
        <w:rPr>
          <w:bCs/>
          <w:b/>
        </w:rPr>
        <w:t xml:space="preserve">Evidence:</w:t>
      </w:r>
      <w:r>
        <w:t xml:space="preserve"> </w:t>
      </w:r>
      <w:r>
        <w:t xml:space="preserve">In Hassan, ninety per cent of headmasters considered progress review meetings a key means of improving SSLC results (Study 131), which shows the value of tracking progress. Twelve studies examine assessment, results and monitoring.</w:t>
      </w:r>
    </w:p>
    <w:p>
      <w:pPr>
        <w:numPr>
          <w:ilvl w:val="0"/>
          <w:numId w:val="1014"/>
        </w:numPr>
        <w:pStyle w:val="Compact"/>
      </w:pPr>
      <w:r>
        <w:rPr>
          <w:bCs/>
          <w:b/>
        </w:rPr>
        <w:t xml:space="preserve">Gap:</w:t>
      </w:r>
      <w:r>
        <w:t xml:space="preserve"> </w:t>
      </w:r>
      <w:r>
        <w:t xml:space="preserve">No completed study evaluates the LBA Portal.</w:t>
      </w:r>
    </w:p>
    <w:p>
      <w:pPr>
        <w:numPr>
          <w:ilvl w:val="0"/>
          <w:numId w:val="1014"/>
        </w:numPr>
        <w:pStyle w:val="Compact"/>
      </w:pPr>
      <w:r>
        <w:rPr>
          <w:bCs/>
          <w:b/>
        </w:rPr>
        <w:t xml:space="preserve">Suggested research:</w:t>
      </w:r>
      <w:r>
        <w:t xml:space="preserve"> </w:t>
      </w:r>
      <w:r>
        <w:t xml:space="preserve">Time spent by teachers on data entry in the LBA Portal, and whether teachers use the data to support individual children.</w:t>
      </w:r>
    </w:p>
    <w:bookmarkEnd w:id="29"/>
    <w:bookmarkStart w:id="30" w:name="i.-sslc-and-pu-examination-interventions"/>
    <w:p>
      <w:pPr>
        <w:pStyle w:val="Heading2"/>
      </w:pPr>
      <w:r>
        <w:t xml:space="preserve">5 (i). SSLC and PU Examination Interventions</w:t>
      </w:r>
    </w:p>
    <w:p>
      <w:pPr>
        <w:numPr>
          <w:ilvl w:val="0"/>
          <w:numId w:val="1015"/>
        </w:numPr>
        <w:pStyle w:val="Compact"/>
      </w:pPr>
      <w:r>
        <w:rPr>
          <w:bCs/>
          <w:b/>
        </w:rPr>
        <w:t xml:space="preserve">Evidence:</w:t>
      </w:r>
      <w:r>
        <w:t xml:space="preserve"> </w:t>
      </w:r>
      <w:r>
        <w:t xml:space="preserve">In Hassan, ninety per cent of headmasters considered progress review meetings a key means of improving SSLC results (Study 131). Achievement fell in Grades 6 and 9 compared with Grade 3, especially in Mathematics and Science (Study 120).</w:t>
      </w:r>
    </w:p>
    <w:p>
      <w:pPr>
        <w:numPr>
          <w:ilvl w:val="0"/>
          <w:numId w:val="1015"/>
        </w:numPr>
        <w:pStyle w:val="Compact"/>
      </w:pPr>
      <w:r>
        <w:rPr>
          <w:bCs/>
          <w:b/>
        </w:rPr>
        <w:t xml:space="preserve">Gap:</w:t>
      </w:r>
      <w:r>
        <w:t xml:space="preserve"> </w:t>
      </w:r>
      <w:r>
        <w:t xml:space="preserve">No completed study addresses PU examination interventions.</w:t>
      </w:r>
    </w:p>
    <w:p>
      <w:pPr>
        <w:numPr>
          <w:ilvl w:val="0"/>
          <w:numId w:val="1015"/>
        </w:numPr>
        <w:pStyle w:val="Compact"/>
      </w:pPr>
      <w:r>
        <w:rPr>
          <w:bCs/>
          <w:b/>
        </w:rPr>
        <w:t xml:space="preserve">Suggested research:</w:t>
      </w:r>
      <w:r>
        <w:t xml:space="preserve"> </w:t>
      </w:r>
      <w:r>
        <w:t xml:space="preserve">Which SSLC interventions (review meetings, remedial classes, the second examination) contribute most to results, especially for rural students and girls.</w:t>
      </w:r>
    </w:p>
    <w:bookmarkEnd w:id="30"/>
    <w:bookmarkStart w:id="31" w:name="Xd564dcccf5d359b826cef2e195a5fce7afb4a88"/>
    <w:p>
      <w:pPr>
        <w:pStyle w:val="Heading2"/>
      </w:pPr>
      <w:r>
        <w:t xml:space="preserve">5 (ii). Integrated System of Competitive Examination Training for PU Students, 2026-27 (Level Playing Field)</w:t>
      </w:r>
    </w:p>
    <w:p>
      <w:pPr>
        <w:numPr>
          <w:ilvl w:val="0"/>
          <w:numId w:val="1016"/>
        </w:numPr>
        <w:pStyle w:val="Compact"/>
      </w:pPr>
      <w:r>
        <w:rPr>
          <w:bCs/>
          <w:b/>
        </w:rPr>
        <w:t xml:space="preserve">Evidence:</w:t>
      </w:r>
      <w:r>
        <w:t xml:space="preserve"> </w:t>
      </w:r>
      <w:r>
        <w:t xml:space="preserve">In Tumakuru, every NMMS scholarship recipient said that the scholarship had helped their education (Study 82).</w:t>
      </w:r>
    </w:p>
    <w:p>
      <w:pPr>
        <w:numPr>
          <w:ilvl w:val="0"/>
          <w:numId w:val="1016"/>
        </w:numPr>
        <w:pStyle w:val="Compact"/>
      </w:pPr>
      <w:r>
        <w:rPr>
          <w:bCs/>
          <w:b/>
        </w:rPr>
        <w:t xml:space="preserve">Gap:</w:t>
      </w:r>
      <w:r>
        <w:t xml:space="preserve"> </w:t>
      </w:r>
      <w:r>
        <w:t xml:space="preserve">No completed study addresses competitive examination training for PU students.</w:t>
      </w:r>
    </w:p>
    <w:p>
      <w:pPr>
        <w:numPr>
          <w:ilvl w:val="0"/>
          <w:numId w:val="1016"/>
        </w:numPr>
        <w:pStyle w:val="Compact"/>
      </w:pPr>
      <w:r>
        <w:rPr>
          <w:bCs/>
          <w:b/>
        </w:rPr>
        <w:t xml:space="preserve">Suggested research:</w:t>
      </w:r>
      <w:r>
        <w:t xml:space="preserve"> </w:t>
      </w:r>
      <w:r>
        <w:t xml:space="preserve">Participation and success of government PU students in competitive examinations before and after the integrated training system.</w:t>
      </w:r>
    </w:p>
    <w:bookmarkEnd w:id="31"/>
    <w:bookmarkStart w:id="32" w:name="introduction-of-lkg-and-ukg"/>
    <w:p>
      <w:pPr>
        <w:pStyle w:val="Heading2"/>
      </w:pPr>
      <w:r>
        <w:t xml:space="preserve">6. Introduction of LKG and UKG</w:t>
      </w:r>
    </w:p>
    <w:p>
      <w:pPr>
        <w:numPr>
          <w:ilvl w:val="0"/>
          <w:numId w:val="1017"/>
        </w:numPr>
        <w:pStyle w:val="Compact"/>
      </w:pPr>
      <w:r>
        <w:rPr>
          <w:bCs/>
          <w:b/>
        </w:rPr>
        <w:t xml:space="preserve">Evidence:</w:t>
      </w:r>
      <w:r>
        <w:t xml:space="preserve"> </w:t>
      </w:r>
      <w:r>
        <w:t xml:space="preserve">Thirteen studies examine early childhood, transitions and skills, including pre-primary education. FLN gains in Grade 3 (Study 120) show the value of a strong start.</w:t>
      </w:r>
    </w:p>
    <w:p>
      <w:pPr>
        <w:numPr>
          <w:ilvl w:val="0"/>
          <w:numId w:val="1017"/>
        </w:numPr>
        <w:pStyle w:val="Compact"/>
      </w:pPr>
      <w:r>
        <w:rPr>
          <w:bCs/>
          <w:b/>
        </w:rPr>
        <w:t xml:space="preserve">Gap:</w:t>
      </w:r>
      <w:r>
        <w:t xml:space="preserve"> </w:t>
      </w:r>
      <w:r>
        <w:t xml:space="preserve">The compendium abstracts do not report specific findings on LKG and UKG in government schools.</w:t>
      </w:r>
    </w:p>
    <w:p>
      <w:pPr>
        <w:numPr>
          <w:ilvl w:val="0"/>
          <w:numId w:val="1017"/>
        </w:numPr>
        <w:pStyle w:val="Compact"/>
      </w:pPr>
      <w:r>
        <w:rPr>
          <w:bCs/>
          <w:b/>
        </w:rPr>
        <w:t xml:space="preserve">Suggested research:</w:t>
      </w:r>
      <w:r>
        <w:t xml:space="preserve"> </w:t>
      </w:r>
      <w:r>
        <w:t xml:space="preserve">School readiness of children entering Class 1 from government LKG and UKG sections compared with those without pre-primary education.</w:t>
      </w:r>
    </w:p>
    <w:bookmarkEnd w:id="32"/>
    <w:bookmarkStart w:id="33" w:name="holistic-report-card"/>
    <w:p>
      <w:pPr>
        <w:pStyle w:val="Heading2"/>
      </w:pPr>
      <w:r>
        <w:t xml:space="preserve">7. Holistic Report Card</w:t>
      </w:r>
    </w:p>
    <w:p>
      <w:pPr>
        <w:numPr>
          <w:ilvl w:val="0"/>
          <w:numId w:val="1018"/>
        </w:numPr>
        <w:pStyle w:val="Compact"/>
      </w:pPr>
      <w:r>
        <w:rPr>
          <w:bCs/>
          <w:b/>
        </w:rPr>
        <w:t xml:space="preserve">Evidence:</w:t>
      </w:r>
      <w:r>
        <w:t xml:space="preserve"> </w:t>
      </w:r>
      <w:r>
        <w:t xml:space="preserve">No completed study in the compendium addresses the Holistic Progress Card.</w:t>
      </w:r>
    </w:p>
    <w:p>
      <w:pPr>
        <w:numPr>
          <w:ilvl w:val="0"/>
          <w:numId w:val="1018"/>
        </w:numPr>
        <w:pStyle w:val="Compact"/>
      </w:pPr>
      <w:r>
        <w:rPr>
          <w:bCs/>
          <w:b/>
        </w:rPr>
        <w:t xml:space="preserve">Suggested research:</w:t>
      </w:r>
      <w:r>
        <w:t xml:space="preserve"> </w:t>
      </w:r>
      <w:r>
        <w:t xml:space="preserve">How teachers fill in the HPC for pre-primary children, and how parents understand and use it.</w:t>
      </w:r>
    </w:p>
    <w:bookmarkEnd w:id="33"/>
    <w:bookmarkStart w:id="34" w:name="introduction-of-monograde-education"/>
    <w:p>
      <w:pPr>
        <w:pStyle w:val="Heading2"/>
      </w:pPr>
      <w:r>
        <w:t xml:space="preserve">8. Introduction of Monograde Education</w:t>
      </w:r>
    </w:p>
    <w:p>
      <w:pPr>
        <w:numPr>
          <w:ilvl w:val="0"/>
          <w:numId w:val="1019"/>
        </w:numPr>
        <w:pStyle w:val="Compact"/>
      </w:pPr>
      <w:r>
        <w:rPr>
          <w:bCs/>
          <w:b/>
        </w:rPr>
        <w:t xml:space="preserve">Evidence:</w:t>
      </w:r>
      <w:r>
        <w:t xml:space="preserve"> </w:t>
      </w:r>
      <w:r>
        <w:t xml:space="preserve">Large classes and multigrade teaching limited activity-based learning in mathematics (Study 2).</w:t>
      </w:r>
    </w:p>
    <w:p>
      <w:pPr>
        <w:numPr>
          <w:ilvl w:val="0"/>
          <w:numId w:val="1019"/>
        </w:numPr>
        <w:pStyle w:val="Compact"/>
      </w:pPr>
      <w:r>
        <w:rPr>
          <w:bCs/>
          <w:b/>
        </w:rPr>
        <w:t xml:space="preserve">Suggested research:</w:t>
      </w:r>
      <w:r>
        <w:t xml:space="preserve"> </w:t>
      </w:r>
      <w:r>
        <w:t xml:space="preserve">Learning outcomes and classroom practice in schools before and after the move to monograde teaching.</w:t>
      </w:r>
    </w:p>
    <w:bookmarkEnd w:id="34"/>
    <w:bookmarkStart w:id="35" w:name="Xe352f9edd9bf384ec391cc1609d06611d044a6f"/>
    <w:p>
      <w:pPr>
        <w:pStyle w:val="Heading2"/>
      </w:pPr>
      <w:r>
        <w:t xml:space="preserve">9. KPS: Eight Guarantees (One Note for Each Guarantee)</w:t>
      </w:r>
    </w:p>
    <w:p>
      <w:pPr>
        <w:pStyle w:val="FirstParagraph"/>
      </w:pPr>
      <w:r>
        <w:rPr>
          <w:bCs/>
          <w:b/>
        </w:rPr>
        <w:t xml:space="preserve">9.1 One permanent teacher for each class up to Class 5, and subject teachers from Class 6</w:t>
      </w:r>
    </w:p>
    <w:p>
      <w:pPr>
        <w:numPr>
          <w:ilvl w:val="0"/>
          <w:numId w:val="1020"/>
        </w:numPr>
        <w:pStyle w:val="Compact"/>
      </w:pPr>
      <w:r>
        <w:rPr>
          <w:bCs/>
          <w:b/>
        </w:rPr>
        <w:t xml:space="preserve">Evidence:</w:t>
      </w:r>
      <w:r>
        <w:t xml:space="preserve"> </w:t>
      </w:r>
      <w:r>
        <w:t xml:space="preserve">Multigrade teaching limited activity-based learning (Study 2).</w:t>
      </w:r>
    </w:p>
    <w:p>
      <w:pPr>
        <w:numPr>
          <w:ilvl w:val="0"/>
          <w:numId w:val="1020"/>
        </w:numPr>
        <w:pStyle w:val="Compact"/>
      </w:pPr>
      <w:r>
        <w:rPr>
          <w:bCs/>
          <w:b/>
        </w:rPr>
        <w:t xml:space="preserve">Suggested research:</w:t>
      </w:r>
      <w:r>
        <w:t xml:space="preserve"> </w:t>
      </w:r>
      <w:r>
        <w:t xml:space="preserve">Effect of one teacher per class on learning in Classes 1 to 5.</w:t>
      </w:r>
    </w:p>
    <w:p>
      <w:pPr>
        <w:pStyle w:val="FirstParagraph"/>
      </w:pPr>
      <w:r>
        <w:rPr>
          <w:bCs/>
          <w:b/>
        </w:rPr>
        <w:t xml:space="preserve">9.2 English-medium or bilingual options in all government schools</w:t>
      </w:r>
    </w:p>
    <w:p>
      <w:pPr>
        <w:numPr>
          <w:ilvl w:val="0"/>
          <w:numId w:val="1021"/>
        </w:numPr>
        <w:pStyle w:val="Compact"/>
      </w:pPr>
      <w:r>
        <w:rPr>
          <w:bCs/>
          <w:b/>
        </w:rPr>
        <w:t xml:space="preserve">Evidence:</w:t>
      </w:r>
      <w:r>
        <w:t xml:space="preserve"> </w:t>
      </w:r>
      <w:r>
        <w:t xml:space="preserve">EMTIP training raised teachers’ confidence in teaching through English from thirty-eight to eighty-four per cent (Study 7); English Nali Kali improved speaking and vocabulary (Study 28); over sixty per cent of tribal students struggled when the medium of instruction differed from their home dialect (Study 125).</w:t>
      </w:r>
    </w:p>
    <w:p>
      <w:pPr>
        <w:numPr>
          <w:ilvl w:val="0"/>
          <w:numId w:val="1021"/>
        </w:numPr>
        <w:pStyle w:val="Compact"/>
      </w:pPr>
      <w:r>
        <w:rPr>
          <w:bCs/>
          <w:b/>
        </w:rPr>
        <w:t xml:space="preserve">Suggested research:</w:t>
      </w:r>
      <w:r>
        <w:t xml:space="preserve"> </w:t>
      </w:r>
      <w:r>
        <w:t xml:space="preserve">Learning of tribal and minority-language children in bilingual classes.</w:t>
      </w:r>
    </w:p>
    <w:p>
      <w:pPr>
        <w:pStyle w:val="FirstParagraph"/>
      </w:pPr>
      <w:r>
        <w:rPr>
          <w:bCs/>
          <w:b/>
        </w:rPr>
        <w:t xml:space="preserve">9.3 Upgrading of schools to bilingual KPS</w:t>
      </w:r>
    </w:p>
    <w:p>
      <w:pPr>
        <w:numPr>
          <w:ilvl w:val="0"/>
          <w:numId w:val="1022"/>
        </w:numPr>
        <w:pStyle w:val="Compact"/>
      </w:pPr>
      <w:r>
        <w:rPr>
          <w:bCs/>
          <w:b/>
        </w:rPr>
        <w:t xml:space="preserve">Evidence:</w:t>
      </w:r>
      <w:r>
        <w:t xml:space="preserve"> </w:t>
      </w:r>
      <w:r>
        <w:t xml:space="preserve">No completed study evaluates the KPS model.</w:t>
      </w:r>
    </w:p>
    <w:p>
      <w:pPr>
        <w:numPr>
          <w:ilvl w:val="0"/>
          <w:numId w:val="1022"/>
        </w:numPr>
        <w:pStyle w:val="Compact"/>
      </w:pPr>
      <w:r>
        <w:rPr>
          <w:bCs/>
          <w:b/>
        </w:rPr>
        <w:t xml:space="preserve">Suggested research:</w:t>
      </w:r>
      <w:r>
        <w:t xml:space="preserve"> </w:t>
      </w:r>
      <w:r>
        <w:t xml:space="preserve">A baseline study of enrolment, learning and facilities in schools selected for upgrading.</w:t>
      </w:r>
    </w:p>
    <w:p>
      <w:pPr>
        <w:pStyle w:val="FirstParagraph"/>
      </w:pPr>
      <w:r>
        <w:rPr>
          <w:bCs/>
          <w:b/>
        </w:rPr>
        <w:t xml:space="preserve">9.4 Computer education from Class 1 and basic AI from Class 3</w:t>
      </w:r>
    </w:p>
    <w:p>
      <w:pPr>
        <w:numPr>
          <w:ilvl w:val="0"/>
          <w:numId w:val="1023"/>
        </w:numPr>
        <w:pStyle w:val="Compact"/>
      </w:pPr>
      <w:r>
        <w:rPr>
          <w:bCs/>
          <w:b/>
        </w:rPr>
        <w:t xml:space="preserve">Evidence:</w:t>
      </w:r>
      <w:r>
        <w:t xml:space="preserve"> </w:t>
      </w:r>
      <w:r>
        <w:t xml:space="preserve">Technology use was 72.94 per cent in high schools but 27.06 per cent in primary schools (Study 14); 96.88 per cent of teachers in Bengaluru Rural agreed that ICT tools help students understand complex topics (Study 32); only eighty-five per cent of teachers in TALP schools had been trained (Study 40).</w:t>
      </w:r>
    </w:p>
    <w:p>
      <w:pPr>
        <w:numPr>
          <w:ilvl w:val="0"/>
          <w:numId w:val="1023"/>
        </w:numPr>
        <w:pStyle w:val="Compact"/>
      </w:pPr>
      <w:r>
        <w:rPr>
          <w:bCs/>
          <w:b/>
        </w:rPr>
        <w:t xml:space="preserve">Suggested research:</w:t>
      </w:r>
      <w:r>
        <w:t xml:space="preserve"> </w:t>
      </w:r>
      <w:r>
        <w:t xml:space="preserve">Readiness of primary schools (devices, connectivity, teachers) for computer education.</w:t>
      </w:r>
    </w:p>
    <w:p>
      <w:pPr>
        <w:pStyle w:val="FirstParagraph"/>
      </w:pPr>
      <w:r>
        <w:rPr>
          <w:bCs/>
          <w:b/>
        </w:rPr>
        <w:t xml:space="preserve">9.5 Special teachers for physical education, arts and music</w:t>
      </w:r>
    </w:p>
    <w:p>
      <w:pPr>
        <w:numPr>
          <w:ilvl w:val="0"/>
          <w:numId w:val="1024"/>
        </w:numPr>
        <w:pStyle w:val="Compact"/>
      </w:pPr>
      <w:r>
        <w:rPr>
          <w:bCs/>
          <w:b/>
        </w:rPr>
        <w:t xml:space="preserve">Evidence:</w:t>
      </w:r>
      <w:r>
        <w:t xml:space="preserve"> </w:t>
      </w:r>
      <w:r>
        <w:t xml:space="preserve">About 2,120 physical education teacher posts are vacant across the State (Study 90); sports grants were spent mainly on equipment (Study 48).</w:t>
      </w:r>
    </w:p>
    <w:p>
      <w:pPr>
        <w:numPr>
          <w:ilvl w:val="0"/>
          <w:numId w:val="1024"/>
        </w:numPr>
        <w:pStyle w:val="Compact"/>
      </w:pPr>
      <w:r>
        <w:rPr>
          <w:bCs/>
          <w:b/>
        </w:rPr>
        <w:t xml:space="preserve">Suggested research:</w:t>
      </w:r>
      <w:r>
        <w:t xml:space="preserve"> </w:t>
      </w:r>
      <w:r>
        <w:t xml:space="preserve">Effect of special teachers on participation in sports, arts and music.</w:t>
      </w:r>
    </w:p>
    <w:p>
      <w:pPr>
        <w:pStyle w:val="FirstParagraph"/>
      </w:pPr>
      <w:r>
        <w:rPr>
          <w:bCs/>
          <w:b/>
        </w:rPr>
        <w:t xml:space="preserve">9.6 Separate non-teaching staff for school administration</w:t>
      </w:r>
    </w:p>
    <w:p>
      <w:pPr>
        <w:numPr>
          <w:ilvl w:val="0"/>
          <w:numId w:val="1025"/>
        </w:numPr>
        <w:pStyle w:val="Compact"/>
      </w:pPr>
      <w:r>
        <w:rPr>
          <w:bCs/>
          <w:b/>
        </w:rPr>
        <w:t xml:space="preserve">Evidence:</w:t>
      </w:r>
      <w:r>
        <w:t xml:space="preserve"> </w:t>
      </w:r>
      <w:r>
        <w:t xml:space="preserve">Graduate Primary Teachers in Tumakuru named workload and non-teaching duties as barriers to teaching (Study 165).</w:t>
      </w:r>
    </w:p>
    <w:p>
      <w:pPr>
        <w:numPr>
          <w:ilvl w:val="0"/>
          <w:numId w:val="1025"/>
        </w:numPr>
        <w:pStyle w:val="Compact"/>
      </w:pPr>
      <w:r>
        <w:rPr>
          <w:bCs/>
          <w:b/>
        </w:rPr>
        <w:t xml:space="preserve">Suggested research:</w:t>
      </w:r>
      <w:r>
        <w:t xml:space="preserve"> </w:t>
      </w:r>
      <w:r>
        <w:t xml:space="preserve">Teaching time gained when non-teaching staff take over administrative work.</w:t>
      </w:r>
    </w:p>
    <w:p>
      <w:pPr>
        <w:pStyle w:val="FirstParagraph"/>
      </w:pPr>
      <w:r>
        <w:rPr>
          <w:bCs/>
          <w:b/>
        </w:rPr>
        <w:t xml:space="preserve">9.7 Lesson-based assessment with mandatory parent-teacher meetings every two months</w:t>
      </w:r>
    </w:p>
    <w:p>
      <w:pPr>
        <w:numPr>
          <w:ilvl w:val="0"/>
          <w:numId w:val="1026"/>
        </w:numPr>
        <w:pStyle w:val="Compact"/>
      </w:pPr>
      <w:r>
        <w:rPr>
          <w:bCs/>
          <w:b/>
        </w:rPr>
        <w:t xml:space="preserve">Evidence:</w:t>
      </w:r>
      <w:r>
        <w:t xml:space="preserve"> </w:t>
      </w:r>
      <w:r>
        <w:t xml:space="preserve">Schools with functional SDMCs had better infrastructure and classroom practice (Study 20); seventy-five per cent of sampled schools in Bagalkote received community contributions (Study 6); about ninety-seven per cent of SDMC members in Vijayapura had been trained (Study 98).</w:t>
      </w:r>
    </w:p>
    <w:p>
      <w:pPr>
        <w:numPr>
          <w:ilvl w:val="0"/>
          <w:numId w:val="1026"/>
        </w:numPr>
        <w:pStyle w:val="Compact"/>
      </w:pPr>
      <w:r>
        <w:rPr>
          <w:bCs/>
          <w:b/>
        </w:rPr>
        <w:t xml:space="preserve">Suggested research:</w:t>
      </w:r>
      <w:r>
        <w:t xml:space="preserve"> </w:t>
      </w:r>
      <w:r>
        <w:t xml:space="preserve">Parents’ participation in parent-teacher meetings and its effect on children’s attendance and learning.</w:t>
      </w:r>
    </w:p>
    <w:p>
      <w:pPr>
        <w:pStyle w:val="FirstParagraph"/>
      </w:pPr>
      <w:r>
        <w:rPr>
          <w:bCs/>
          <w:b/>
        </w:rPr>
        <w:t xml:space="preserve">9.8 Skill-based education and coaching for competitive examinations from Class 6</w:t>
      </w:r>
    </w:p>
    <w:p>
      <w:pPr>
        <w:numPr>
          <w:ilvl w:val="0"/>
          <w:numId w:val="1027"/>
        </w:numPr>
        <w:pStyle w:val="Compact"/>
      </w:pPr>
      <w:r>
        <w:rPr>
          <w:bCs/>
          <w:b/>
        </w:rPr>
        <w:t xml:space="preserve">Evidence:</w:t>
      </w:r>
      <w:r>
        <w:t xml:space="preserve"> </w:t>
      </w:r>
      <w:r>
        <w:t xml:space="preserve">A skills programme improved attendance and achievement (Study 13); seventy-eight per cent of students reported better practical and vocational skills (Study 107); every NMMS recipient in Tumakuru said the scholarship had helped their education (Study 82).</w:t>
      </w:r>
    </w:p>
    <w:p>
      <w:pPr>
        <w:numPr>
          <w:ilvl w:val="0"/>
          <w:numId w:val="1027"/>
        </w:numPr>
        <w:pStyle w:val="Compact"/>
      </w:pPr>
      <w:r>
        <w:rPr>
          <w:bCs/>
          <w:b/>
        </w:rPr>
        <w:t xml:space="preserve">Suggested research:</w:t>
      </w:r>
      <w:r>
        <w:t xml:space="preserve"> </w:t>
      </w:r>
      <w:r>
        <w:t xml:space="preserve">Participation of government school students in competitive examinations from Class 6.</w:t>
      </w:r>
    </w:p>
    <w:bookmarkEnd w:id="35"/>
    <w:bookmarkStart w:id="36" w:name="mental-health"/>
    <w:p>
      <w:pPr>
        <w:pStyle w:val="Heading2"/>
      </w:pPr>
      <w:r>
        <w:t xml:space="preserve">10. Mental Health</w:t>
      </w:r>
    </w:p>
    <w:p>
      <w:pPr>
        <w:numPr>
          <w:ilvl w:val="0"/>
          <w:numId w:val="1028"/>
        </w:numPr>
        <w:pStyle w:val="Compact"/>
      </w:pPr>
      <w:r>
        <w:rPr>
          <w:bCs/>
          <w:b/>
        </w:rPr>
        <w:t xml:space="preserve">Evidence:</w:t>
      </w:r>
      <w:r>
        <w:t xml:space="preserve"> </w:t>
      </w:r>
      <w:r>
        <w:t xml:space="preserve">In Kalaburagi, 51.25 per cent of the students sampled reported stress, mainly from academic pressure, and urban students reported more stress than rural students (Study 65).</w:t>
      </w:r>
    </w:p>
    <w:p>
      <w:pPr>
        <w:numPr>
          <w:ilvl w:val="0"/>
          <w:numId w:val="1028"/>
        </w:numPr>
        <w:pStyle w:val="Compact"/>
      </w:pPr>
      <w:r>
        <w:rPr>
          <w:bCs/>
          <w:b/>
        </w:rPr>
        <w:t xml:space="preserve">Suggested research:</w:t>
      </w:r>
      <w:r>
        <w:t xml:space="preserve"> </w:t>
      </w:r>
      <w:r>
        <w:t xml:space="preserve">Reach and use of the mental health counsellors in the Block Resource Centres, and the kinds of support students seek.</w:t>
      </w:r>
    </w:p>
    <w:bookmarkEnd w:id="36"/>
    <w:bookmarkStart w:id="37" w:name="spoken-english"/>
    <w:p>
      <w:pPr>
        <w:pStyle w:val="Heading2"/>
      </w:pPr>
      <w:r>
        <w:t xml:space="preserve">11. Spoken English</w:t>
      </w:r>
    </w:p>
    <w:p>
      <w:pPr>
        <w:numPr>
          <w:ilvl w:val="0"/>
          <w:numId w:val="1029"/>
        </w:numPr>
        <w:pStyle w:val="Compact"/>
      </w:pPr>
      <w:r>
        <w:rPr>
          <w:bCs/>
          <w:b/>
        </w:rPr>
        <w:t xml:space="preserve">Evidence:</w:t>
      </w:r>
      <w:r>
        <w:t xml:space="preserve"> </w:t>
      </w:r>
      <w:r>
        <w:t xml:space="preserve">English Nali Kali students in Bengaluru Rural gained about sixty-five per cent in speaking confidence and learned on average thirty per cent more words (Study 28). EMTIP training raised teachers’ confidence in teaching through English from thirty-eight to eighty-four per cent (Study 7).</w:t>
      </w:r>
    </w:p>
    <w:p>
      <w:pPr>
        <w:numPr>
          <w:ilvl w:val="0"/>
          <w:numId w:val="1029"/>
        </w:numPr>
        <w:pStyle w:val="Compact"/>
      </w:pPr>
      <w:r>
        <w:rPr>
          <w:bCs/>
          <w:b/>
        </w:rPr>
        <w:t xml:space="preserve">Suggested research:</w:t>
      </w:r>
      <w:r>
        <w:t xml:space="preserve"> </w:t>
      </w:r>
      <w:r>
        <w:t xml:space="preserve">Gains in children’s spoken English in the 1,919 schools running Spoken English sessions.</w:t>
      </w:r>
    </w:p>
    <w:bookmarkEnd w:id="37"/>
    <w:bookmarkStart w:id="38" w:name="introduction-of-martial-arts"/>
    <w:p>
      <w:pPr>
        <w:pStyle w:val="Heading2"/>
      </w:pPr>
      <w:r>
        <w:t xml:space="preserve">12. Introduction of Martial Arts</w:t>
      </w:r>
    </w:p>
    <w:p>
      <w:pPr>
        <w:numPr>
          <w:ilvl w:val="0"/>
          <w:numId w:val="1030"/>
        </w:numPr>
        <w:pStyle w:val="Compact"/>
      </w:pPr>
      <w:r>
        <w:rPr>
          <w:bCs/>
          <w:b/>
        </w:rPr>
        <w:t xml:space="preserve">Evidence:</w:t>
      </w:r>
      <w:r>
        <w:t xml:space="preserve"> </w:t>
      </w:r>
      <w:r>
        <w:t xml:space="preserve">No completed study in the compendium addresses martial arts. Studies on physical education show poor infrastructure and teacher vacancies (Study 90).</w:t>
      </w:r>
    </w:p>
    <w:p>
      <w:pPr>
        <w:numPr>
          <w:ilvl w:val="0"/>
          <w:numId w:val="1030"/>
        </w:numPr>
        <w:pStyle w:val="Compact"/>
      </w:pPr>
      <w:r>
        <w:rPr>
          <w:bCs/>
          <w:b/>
        </w:rPr>
        <w:t xml:space="preserve">Suggested research:</w:t>
      </w:r>
      <w:r>
        <w:t xml:space="preserve"> </w:t>
      </w:r>
      <w:r>
        <w:t xml:space="preserve">Effect of martial arts training on girls’ confidence and safety, and on participation in physical activity.</w:t>
      </w:r>
    </w:p>
    <w:p>
      <w:pPr>
        <w:pStyle w:val="FirstParagraph"/>
      </w:pPr>
      <w:r>
        <w:rPr>
          <w:bCs/>
          <w:b/>
        </w:rPr>
        <w:t xml:space="preserve">References</w:t>
      </w:r>
    </w:p>
    <w:p>
      <w:pPr>
        <w:pStyle w:val="BodyText"/>
      </w:pPr>
      <w:r>
        <w:t xml:space="preserve">Department of State Educational Research and Training (DSERT), Karnataka (2025). Research Abstracts 2024-25. Bengaluru.</w:t>
      </w:r>
    </w:p>
    <w:p>
      <w:pPr>
        <w:pStyle w:val="BodyText"/>
      </w:pPr>
      <w:r>
        <w:t xml:space="preserve">Department of State Educational Research and Training (DSERT), Karnataka (2026). Research Abstracts 2025-26. Bengaluru.</w:t>
      </w:r>
    </w:p>
    <w:p>
      <w:pPr>
        <w:pStyle w:val="BodyText"/>
      </w:pPr>
      <w:r>
        <w:t xml:space="preserve">Department of State Educational Research and Training (DSERT), Karnataka (2026). Research Studies Tracker 2026-27 (workbook, data as of 13 October 2026). Research Wing, Bengaluru.</w:t>
      </w:r>
    </w:p>
    <w:bookmarkEnd w:id="38"/>
    <w:bookmarkEnd w:id="39"/>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24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4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0" w:line="24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line="240" w:lineRule="auto"/>
      <w:jc w:val="center"/>
    </w:pPr>
    <w:rPr>
      <w:rFonts w:ascii="Times New Roman" w:cs="Times New Roman" w:eastAsia="Times New Roman" w:hAnsi="Times New Roman"/>
      <w:b/>
      <w:bCs/>
      <w:color w:val="000000"/>
      <w:sz w:val="24"/>
      <w:szCs w:val="36"/>
    </w:rPr>
  </w:style>
  <w:style w:styleId="Subtitle" w:type="paragraph">
    <w:name w:val="Subtitle"/>
    <w:basedOn w:val="Title"/>
    <w:next w:val="BodyText"/>
    <w:qFormat/>
    <w:pPr>
      <w:keepNext/>
      <w:keepLines/>
      <w:spacing w:after="120" w:before="0" w:line="240" w:lineRule="auto"/>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spacing w:after="120" w:before="0" w:line="240" w:lineRule="auto"/>
      <w:jc w:val="center"/>
    </w:pPr>
    <w:rPr>
      <w:rFonts w:ascii="Times New Roman" w:cs="Times New Roman" w:eastAsia="Times New Roman" w:hAnsi="Times New Roman"/>
      <w:color w:val="000000"/>
      <w:sz w:val="24"/>
    </w:rPr>
  </w:style>
  <w:style w:styleId="Date" w:type="paragraph">
    <w:name w:val="Date"/>
    <w:next w:val="BodyText"/>
    <w:qFormat/>
    <w:pPr>
      <w:keepNext/>
      <w:keepLines/>
      <w:spacing w:after="120" w:before="0" w:line="240" w:lineRule="auto"/>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120" w:before="0" w:line="240" w:lineRule="auto"/>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120" w:before="0" w:line="240" w:lineRule="auto"/>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120" w:before="0" w:line="240"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0" w:line="240" w:lineRule="auto"/>
      <w:outlineLvl w:val="0"/>
    </w:pPr>
    <w:rPr>
      <w:rFonts w:ascii="Times New Roman" w:cs="Times New Roman" w:eastAsia="Times New Roman" w:hAnsi="Times New Roman"/>
      <w:b/>
      <w:bCs/>
      <w:color w:val="000000"/>
      <w:sz w:val="24"/>
      <w:szCs w:val="32"/>
    </w:rPr>
  </w:style>
  <w:style w:styleId="Heading2" w:type="paragraph">
    <w:name w:val="Heading 2"/>
    <w:basedOn w:val="Normal"/>
    <w:next w:val="BodyText"/>
    <w:uiPriority w:val="9"/>
    <w:unhideWhenUsed/>
    <w:qFormat/>
    <w:pPr>
      <w:keepNext/>
      <w:keepLines/>
      <w:spacing w:after="120" w:before="0" w:line="240" w:lineRule="auto"/>
      <w:outlineLvl w:val="1"/>
    </w:pPr>
    <w:rPr>
      <w:rFonts w:ascii="Times New Roman" w:cs="Times New Roman" w:eastAsia="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120" w:before="0" w:line="24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20" w:before="0" w:line="240" w:lineRule="auto"/>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120" w:before="0" w:line="240" w:lineRule="auto"/>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120" w:before="0" w:line="240" w:lineRule="auto"/>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120" w:before="0" w:line="240" w:lineRule="auto"/>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120" w:before="0" w:line="240" w:lineRule="auto"/>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120" w:before="0" w:line="240" w:lineRule="auto"/>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20" w:before="0" w:line="24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pPr>
      <w:spacing w:after="120" w:before="0" w:line="240" w:lineRule="auto"/>
    </w:pPr>
    <w:rPr>
      <w:rFonts w:ascii="Times New Roman" w:cs="Times New Roman" w:eastAsia="Times New Roman" w:hAnsi="Times New Roman"/>
      <w:color w:val="000000"/>
      <w:sz w:val="24"/>
    </w:rPr>
  </w:style>
  <w:style w:default="1" w:styleId="DefaultParagraphFont" w:type="character">
    <w:name w:val="Default Paragraph Font"/>
    <w:semiHidden/>
    <w:unhideWhenUsed/>
    <w:rPr>
      <w:rFonts w:ascii="Times New Roman" w:cs="Times New Roman" w:eastAsia="Times New Roman" w:hAnsi="Times New Roman"/>
      <w:color w:val="000000"/>
      <w:sz w:val="24"/>
    </w:rPr>
  </w:style>
  <w:style w:default="1" w:styleId="Table" w:type="table">
    <w:name w:val="Table"/>
    <w:basedOn w:val="TableNormal"/>
    <w:semiHidden/>
    <w:unhideWhenUsed/>
    <w:qFormat/>
    <w:pPr>
      <w:spacing w:after="120" w:before="0" w:line="240" w:lineRule="auto"/>
    </w:pPr>
    <w:rPr>
      <w:rFonts w:ascii="Times New Roman" w:cs="Times New Roman" w:eastAsia="Times New Roman" w:hAnsi="Times New Roman"/>
      <w:color w:val="000000"/>
      <w:sz w:val="24"/>
    </w:rPr>
    <w:tblPr>
      <w:tblInd w:type="dxa" w:w="0"/>
      <w:tblCellMar>
        <w:top w:type="dxa" w:w="0"/>
        <w:left w:type="dxa" w:w="108"/>
        <w:bottom w:type="dxa" w:w="0"/>
        <w:right w:type="dxa" w:w="108"/>
      </w:tblCellMar>
      <w:tblBorders>
        <w:top w:color="000000" w:sz="4" w:val="single"/>
        <w:left w:color="000000" w:sz="4" w:val="single"/>
        <w:bottom w:color="000000" w:sz="4" w:val="single"/>
        <w:right w:color="000000" w:sz="4" w:val="single"/>
        <w:insideH w:color="000000" w:sz="4" w:val="single"/>
        <w:insideV w:color="00000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20" w:before="0" w:line="240" w:lineRule="auto"/>
    </w:pPr>
    <w:rPr>
      <w:rFonts w:ascii="Times New Roman" w:cs="Times New Roman" w:eastAsia="Times New Roman" w:hAnsi="Times New Roman"/>
      <w:b/>
      <w:color w:val="000000"/>
      <w:sz w:val="24"/>
    </w:rPr>
  </w:style>
  <w:style w:customStyle="1" w:styleId="Definition" w:type="paragraph">
    <w:name w:val="Definition"/>
    <w:basedOn w:val="Normal"/>
    <w:pPr>
      <w:spacing w:after="120" w:before="0" w:line="240" w:lineRule="auto"/>
    </w:pPr>
    <w:rPr>
      <w:rFonts w:ascii="Times New Roman" w:cs="Times New Roman" w:eastAsia="Times New Roman" w:hAnsi="Times New Roman"/>
      <w:color w:val="000000"/>
      <w:sz w:val="24"/>
    </w:rPr>
  </w:style>
  <w:style w:styleId="Caption" w:type="paragraph">
    <w:name w:val="Caption"/>
    <w:basedOn w:val="Normal"/>
    <w:link w:val="BodyTextChar"/>
    <w:pPr>
      <w:spacing w:after="120" w:before="0" w:line="240" w:lineRule="auto"/>
    </w:pPr>
    <w:rPr>
      <w:rFonts w:ascii="Times New Roman" w:cs="Times New Roman" w:eastAsia="Times New Roman" w:hAnsi="Times New Roman"/>
      <w:i/>
      <w:color w:val="000000"/>
      <w:sz w:val="24"/>
    </w:rPr>
  </w:style>
  <w:style w:customStyle="1" w:styleId="TableCaption" w:type="paragraph">
    <w:name w:val="Table Caption"/>
    <w:basedOn w:val="Caption"/>
    <w:pPr>
      <w:keepNext/>
      <w:spacing w:after="120" w:before="0" w:line="240" w:lineRule="auto"/>
    </w:pPr>
    <w:rPr>
      <w:rFonts w:ascii="Times New Roman" w:cs="Times New Roman" w:eastAsia="Times New Roman" w:hAnsi="Times New Roman"/>
      <w:color w:val="000000"/>
      <w:sz w:val="24"/>
    </w:rPr>
  </w:style>
  <w:style w:customStyle="1" w:styleId="ImageCaption" w:type="paragraph">
    <w:name w:val="Image Caption"/>
    <w:basedOn w:val="Caption"/>
    <w:pPr>
      <w:spacing w:after="120" w:before="0" w:line="240" w:lineRule="auto"/>
    </w:pPr>
    <w:rPr>
      <w:rFonts w:ascii="Times New Roman" w:cs="Times New Roman" w:eastAsia="Times New Roman" w:hAnsi="Times New Roman"/>
      <w:color w:val="000000"/>
      <w:sz w:val="24"/>
    </w:rPr>
  </w:style>
  <w:style w:customStyle="1" w:styleId="Figure" w:type="paragraph">
    <w:name w:val="Figure"/>
    <w:basedOn w:val="Normal"/>
    <w:pPr>
      <w:spacing w:after="120" w:before="0" w:line="240" w:lineRule="auto"/>
    </w:pPr>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120" w:before="0" w:line="240" w:lineRule="auto"/>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rPr>
      <w:rFonts w:ascii="Times New Roman" w:cs="Times New Roman" w:eastAsia="Times New Roman" w:hAnsi="Times New Roman"/>
      <w:color w:val="000000"/>
      <w:sz w:val="24"/>
    </w:rPr>
  </w:style>
  <w:style w:customStyle="1" w:styleId="VerbatimChar" w:type="character">
    <w:name w:val="Verbatim Char"/>
    <w:basedOn w:val="BodyTextChar"/>
    <w:rPr>
      <w:rFonts w:ascii="Times New Roman" w:cs="Times New Roman" w:eastAsia="Times New Roman" w:hAnsi="Times New Roman"/>
      <w:color w:val="000000"/>
      <w:sz w:val="24"/>
    </w:rPr>
  </w:style>
  <w:style w:customStyle="1" w:styleId="SectionNumber" w:type="character">
    <w:name w:val="Section Number"/>
    <w:basedOn w:val="BodyTextChar"/>
    <w:rPr>
      <w:rFonts w:ascii="Times New Roman" w:cs="Times New Roman" w:eastAsia="Times New Roman" w:hAnsi="Times New Roman"/>
      <w:color w:val="000000"/>
      <w:sz w:val="24"/>
    </w:rPr>
  </w:style>
  <w:style w:styleId="FootnoteReference" w:type="character">
    <w:name w:val="Footnote Reference"/>
    <w:basedOn w:val="BodyTextChar"/>
    <w:rPr>
      <w:rFonts w:ascii="Times New Roman" w:cs="Times New Roman" w:eastAsia="Times New Roman" w:hAnsi="Times New Roman"/>
      <w:color w:val="000000"/>
      <w:sz w:val="24"/>
      <w:vertAlign w:val="superscript"/>
    </w:rPr>
  </w:style>
  <w:style w:styleId="Hyperlink" w:type="character">
    <w:name w:val="Hyperlink"/>
    <w:basedOn w:val="BodyTextChar"/>
    <w:rPr>
      <w:rFonts w:ascii="Times New Roman" w:cs="Times New Roman" w:eastAsia="Times New Roman" w:hAnsi="Times New Roman"/>
      <w:color w:val="000000"/>
      <w:sz w:val="24"/>
    </w:rPr>
  </w:style>
  <w:style w:styleId="TOCHeading" w:type="paragraph">
    <w:name w:val="TOC Heading"/>
    <w:basedOn w:val="Heading1"/>
    <w:next w:val="BodyText"/>
    <w:uiPriority w:val="39"/>
    <w:unhideWhenUsed/>
    <w:qFormat/>
    <w:pPr>
      <w:spacing w:after="120" w:before="0" w:line="240"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2026-10-14T09:36:17Z</dcterms:created>
  <dcterms:modified xsi:type="dcterms:W3CDTF">2026-10-14T09:36:17Z</dcterms:modified>
</cp:coreProperties>
</file>

<file path=docProps/custom.xml><?xml version="1.0" encoding="utf-8"?>
<Properties xmlns="http://schemas.openxmlformats.org/officeDocument/2006/custom-properties" xmlns:vt="http://schemas.openxmlformats.org/officeDocument/2006/docPropsVTypes"/>
</file>