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on Monograde Education</w:t>
      </w:r>
    </w:p>
    <w:p>
      <w:pPr>
        <w:spacing w:after="80" w:before="0"/>
        <w:jc w:val="center"/>
      </w:pPr>
      <w:r>
        <w:rPr>
          <w:b/>
          <w:i w:val="0"/>
          <w:sz w:val="24"/>
          <w:u w:val="none"/>
        </w:rPr>
        <w:t>Shift from Nali Kali (Multigrade) to Single-Grade Classrooms in Government Primary Schools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Shift from Nali Kali (Multigrade) to Monograde Classrooms in Classes 1 to 3</w:t>
            </w:r>
          </w:p>
        </w:tc>
        <w:tc>
          <w:tcPr>
            <w:tcW w:type="dxa" w:w="2736"/>
          </w:tcPr>
          <w:p>
            <w:pPr>
              <w:spacing w:after="0"/>
            </w:pPr>
            <w:r/>
            <w:r>
              <w:rPr>
                <w:sz w:val="20"/>
              </w:rPr>
              <w:t>DSERT, Bengaluru</w:t>
            </w:r>
          </w:p>
        </w:tc>
      </w:tr>
      <w:tr>
        <w:trPr>
          <w:cantSplit/>
        </w:trPr>
        <w:tc>
          <w:tcPr>
            <w:tcW w:type="dxa" w:w="720"/>
          </w:tcPr>
          <w:p>
            <w:pPr>
              <w:spacing w:after="0"/>
            </w:pPr>
            <w:r/>
            <w:r>
              <w:rPr>
                <w:sz w:val="20"/>
              </w:rPr>
              <w:t>2</w:t>
            </w:r>
          </w:p>
        </w:tc>
        <w:tc>
          <w:tcPr>
            <w:tcW w:type="dxa" w:w="5616"/>
          </w:tcPr>
          <w:p>
            <w:pPr>
              <w:spacing w:after="0"/>
            </w:pPr>
            <w:r/>
            <w:r>
              <w:rPr>
                <w:sz w:val="20"/>
              </w:rPr>
              <w:t>One Teacher for Each Class in Monograde Primary Schools</w:t>
            </w:r>
          </w:p>
        </w:tc>
        <w:tc>
          <w:tcPr>
            <w:tcW w:type="dxa" w:w="2736"/>
          </w:tcPr>
          <w:p>
            <w:pPr>
              <w:spacing w:after="0"/>
            </w:pPr>
            <w:r/>
            <w:r>
              <w:rPr>
                <w:sz w:val="20"/>
              </w:rPr>
              <w:t>DSERT, Bengaluru</w:t>
            </w:r>
          </w:p>
        </w:tc>
      </w:tr>
      <w:tr>
        <w:trPr>
          <w:cantSplit/>
        </w:trPr>
        <w:tc>
          <w:tcPr>
            <w:tcW w:type="dxa" w:w="720"/>
          </w:tcPr>
          <w:p>
            <w:pPr>
              <w:spacing w:after="0"/>
            </w:pPr>
            <w:r/>
            <w:r>
              <w:rPr>
                <w:sz w:val="20"/>
              </w:rPr>
              <w:t>3</w:t>
            </w:r>
          </w:p>
        </w:tc>
        <w:tc>
          <w:tcPr>
            <w:tcW w:type="dxa" w:w="5616"/>
          </w:tcPr>
          <w:p>
            <w:pPr>
              <w:spacing w:after="0"/>
            </w:pPr>
            <w:r/>
            <w:r>
              <w:rPr>
                <w:sz w:val="20"/>
              </w:rPr>
              <w:t>Classrooms, Furniture and Learning Materials for Monograde Classes</w:t>
            </w:r>
          </w:p>
        </w:tc>
        <w:tc>
          <w:tcPr>
            <w:tcW w:type="dxa" w:w="2736"/>
          </w:tcPr>
          <w:p>
            <w:pPr>
              <w:spacing w:after="0"/>
            </w:pPr>
            <w:r/>
            <w:r>
              <w:rPr>
                <w:sz w:val="20"/>
              </w:rPr>
              <w:t>DSERT, Bengaluru</w:t>
            </w:r>
          </w:p>
        </w:tc>
      </w:tr>
      <w:tr>
        <w:trPr>
          <w:cantSplit/>
        </w:trPr>
        <w:tc>
          <w:tcPr>
            <w:tcW w:type="dxa" w:w="720"/>
          </w:tcPr>
          <w:p>
            <w:pPr>
              <w:spacing w:after="0"/>
            </w:pPr>
            <w:r/>
            <w:r>
              <w:rPr>
                <w:sz w:val="20"/>
              </w:rPr>
              <w:t>4</w:t>
            </w:r>
          </w:p>
        </w:tc>
        <w:tc>
          <w:tcPr>
            <w:tcW w:type="dxa" w:w="5616"/>
          </w:tcPr>
          <w:p>
            <w:pPr>
              <w:spacing w:after="0"/>
            </w:pPr>
            <w:r/>
            <w:r>
              <w:rPr>
                <w:sz w:val="20"/>
              </w:rPr>
              <w:t>Teacher Preparation for Monograde Teaching</w:t>
            </w:r>
          </w:p>
        </w:tc>
        <w:tc>
          <w:tcPr>
            <w:tcW w:type="dxa" w:w="2736"/>
          </w:tcPr>
          <w:p>
            <w:pPr>
              <w:spacing w:after="0"/>
            </w:pPr>
            <w:r/>
            <w:r>
              <w:rPr>
                <w:sz w:val="20"/>
              </w:rPr>
              <w:t>DSERT, Bengaluru</w:t>
            </w:r>
          </w:p>
        </w:tc>
      </w:tr>
      <w:tr>
        <w:trPr>
          <w:cantSplit/>
        </w:trPr>
        <w:tc>
          <w:tcPr>
            <w:tcW w:type="dxa" w:w="720"/>
          </w:tcPr>
          <w:p>
            <w:pPr>
              <w:spacing w:after="0"/>
            </w:pPr>
            <w:r/>
            <w:r>
              <w:rPr>
                <w:sz w:val="20"/>
              </w:rPr>
              <w:t>5</w:t>
            </w:r>
          </w:p>
        </w:tc>
        <w:tc>
          <w:tcPr>
            <w:tcW w:type="dxa" w:w="5616"/>
          </w:tcPr>
          <w:p>
            <w:pPr>
              <w:spacing w:after="0"/>
            </w:pPr>
            <w:r/>
            <w:r>
              <w:rPr>
                <w:sz w:val="20"/>
              </w:rPr>
              <w:t>Retaining Activity-Based and Joyful Learning in Monograde Classrooms</w:t>
            </w:r>
          </w:p>
        </w:tc>
        <w:tc>
          <w:tcPr>
            <w:tcW w:type="dxa" w:w="2736"/>
          </w:tcPr>
          <w:p>
            <w:pPr>
              <w:spacing w:after="0"/>
            </w:pPr>
            <w:r/>
            <w:r>
              <w:rPr>
                <w:sz w:val="20"/>
              </w:rPr>
              <w:t>DSERT, Bengaluru</w:t>
            </w:r>
          </w:p>
        </w:tc>
      </w:tr>
      <w:tr>
        <w:trPr>
          <w:cantSplit/>
        </w:trPr>
        <w:tc>
          <w:tcPr>
            <w:tcW w:type="dxa" w:w="720"/>
          </w:tcPr>
          <w:p>
            <w:pPr>
              <w:spacing w:after="0"/>
            </w:pPr>
            <w:r/>
            <w:r>
              <w:rPr>
                <w:sz w:val="20"/>
              </w:rPr>
              <w:t>6</w:t>
            </w:r>
          </w:p>
        </w:tc>
        <w:tc>
          <w:tcPr>
            <w:tcW w:type="dxa" w:w="5616"/>
          </w:tcPr>
          <w:p>
            <w:pPr>
              <w:spacing w:after="0"/>
            </w:pPr>
            <w:r/>
            <w:r>
              <w:rPr>
                <w:sz w:val="20"/>
              </w:rPr>
              <w:t>Small Schools and Single-Teacher Schools in the Monograde System</w:t>
            </w:r>
          </w:p>
        </w:tc>
        <w:tc>
          <w:tcPr>
            <w:tcW w:type="dxa" w:w="2736"/>
          </w:tcPr>
          <w:p>
            <w:pPr>
              <w:spacing w:after="0"/>
            </w:pPr>
            <w:r/>
            <w:r>
              <w:rPr>
                <w:sz w:val="20"/>
              </w:rPr>
              <w:t>DSERT, Bengaluru</w:t>
            </w:r>
          </w:p>
        </w:tc>
      </w:tr>
      <w:tr>
        <w:trPr>
          <w:cantSplit/>
        </w:trPr>
        <w:tc>
          <w:tcPr>
            <w:tcW w:type="dxa" w:w="720"/>
          </w:tcPr>
          <w:p>
            <w:pPr>
              <w:spacing w:after="0"/>
            </w:pPr>
            <w:r/>
            <w:r>
              <w:rPr>
                <w:sz w:val="20"/>
              </w:rPr>
              <w:t>7</w:t>
            </w:r>
          </w:p>
        </w:tc>
        <w:tc>
          <w:tcPr>
            <w:tcW w:type="dxa" w:w="5616"/>
          </w:tcPr>
          <w:p>
            <w:pPr>
              <w:spacing w:after="0"/>
            </w:pPr>
            <w:r/>
            <w:r>
              <w:rPr>
                <w:sz w:val="20"/>
              </w:rPr>
              <w:t>Monitoring Foundational Literacy and Numeracy during the Transition</w:t>
            </w:r>
          </w:p>
        </w:tc>
        <w:tc>
          <w:tcPr>
            <w:tcW w:type="dxa" w:w="2736"/>
          </w:tcPr>
          <w:p>
            <w:pPr>
              <w:spacing w:after="0"/>
            </w:pPr>
            <w:r/>
            <w:r>
              <w:rPr>
                <w:sz w:val="20"/>
              </w:rPr>
              <w:t>DSERT, Bengaluru</w:t>
            </w:r>
          </w:p>
        </w:tc>
      </w:tr>
      <w:tr>
        <w:trPr>
          <w:cantSplit/>
        </w:trPr>
        <w:tc>
          <w:tcPr>
            <w:tcW w:type="dxa" w:w="720"/>
          </w:tcPr>
          <w:p>
            <w:pPr>
              <w:spacing w:after="0"/>
            </w:pPr>
            <w:r/>
            <w:r>
              <w:rPr>
                <w:sz w:val="20"/>
              </w:rPr>
              <w:t>8</w:t>
            </w:r>
          </w:p>
        </w:tc>
        <w:tc>
          <w:tcPr>
            <w:tcW w:type="dxa" w:w="5616"/>
          </w:tcPr>
          <w:p>
            <w:pPr>
              <w:spacing w:after="0"/>
            </w:pPr>
            <w:r/>
            <w:r>
              <w:rPr>
                <w:sz w:val="20"/>
              </w:rPr>
              <w:t>Monograde Education: Classroom Visits by BRPs, CRPs and DIET Faculty; Feedback to Teachers; Data and Reporting Requirements; Escalation and Resolution of Problems</w:t>
            </w:r>
          </w:p>
        </w:tc>
        <w:tc>
          <w:tcPr>
            <w:tcW w:type="dxa" w:w="2736"/>
          </w:tcPr>
          <w:p>
            <w:pPr>
              <w:spacing w:after="0"/>
            </w:pPr>
            <w:r/>
            <w:r>
              <w:rPr>
                <w:sz w:val="20"/>
              </w:rPr>
              <w:t>DIET, Tumakuru</w:t>
            </w:r>
          </w:p>
        </w:tc>
      </w:tr>
      <w:tr>
        <w:trPr>
          <w:cantSplit/>
        </w:trPr>
        <w:tc>
          <w:tcPr>
            <w:tcW w:type="dxa" w:w="720"/>
          </w:tcPr>
          <w:p>
            <w:pPr>
              <w:spacing w:after="0"/>
            </w:pPr>
            <w:r/>
            <w:r>
              <w:rPr>
                <w:sz w:val="20"/>
              </w:rPr>
              <w:t>9</w:t>
            </w:r>
          </w:p>
        </w:tc>
        <w:tc>
          <w:tcPr>
            <w:tcW w:type="dxa" w:w="5616"/>
          </w:tcPr>
          <w:p>
            <w:pPr>
              <w:spacing w:after="0"/>
            </w:pPr>
            <w:r/>
            <w:r>
              <w:rPr>
                <w:sz w:val="20"/>
              </w:rPr>
              <w:t>Research on the Monograde Transition</w:t>
            </w:r>
          </w:p>
        </w:tc>
        <w:tc>
          <w:tcPr>
            <w:tcW w:type="dxa" w:w="2736"/>
          </w:tcPr>
          <w:p>
            <w:pPr>
              <w:spacing w:after="0"/>
            </w:pPr>
            <w:r/>
            <w:r>
              <w:rPr>
                <w:sz w:val="20"/>
              </w:rPr>
              <w:t>DSERT, Bengaluru</w:t>
            </w:r>
          </w:p>
        </w:tc>
      </w:tr>
    </w:tbl>
    <w:p>
      <w:r>
        <w:br w:type="page"/>
      </w:r>
    </w:p>
    <w:p>
      <w:pPr>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Shift from Nali Kali (Multigrade) to Monograde Classrooms in Classes 1 to 3</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Nali Kali was piloted in 1995 in H.D. Kote taluk of Mysuru district with UNICEF support and was extended to all Government schools in 2009. Children of Classes 1 to 3 learnt together in one room through activity-based, self-paced work in small groups.</w:t>
            </w:r>
          </w:p>
          <w:p>
            <w:pPr>
              <w:spacing w:after="60"/>
              <w:jc w:val="both"/>
            </w:pPr>
            <w:r>
              <w:rPr>
                <w:b w:val="0"/>
              </w:rPr>
              <w:t>Over time, concerns were raised about its effect on learning. Officials reported that many children could not form complete sentences, which affected their learning in higher classes. A task force on implementing NEP 2020 recommended a review, and the Karnataka State Primary School Teachers' Association requested discontinuation, linking the combined Classes 1 to 3 to falling enrolment in Government schools. Children also found the jump in academic demand in Class 4 difficult.</w:t>
            </w:r>
          </w:p>
          <w:p>
            <w:pPr>
              <w:spacing w:after="60"/>
              <w:jc w:val="both"/>
            </w:pPr>
            <w:r>
              <w:rPr>
                <w:b w:val="0"/>
              </w:rPr>
              <w:t>In November 2025 the State decided to end Nali Kali and convert its classrooms into single-grade (monograde) classrooms in phases, starting with 29,000 schools, with full discontinuation planned from 2026-27. A change of this size needs careful planning of teachers, rooms, training and monitoring so that children's learning improves without disruption.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rPr>
              <w:t xml:space="preserve">Phased transition: </w:t>
            </w:r>
            <w:r>
              <w:rPr>
                <w:b w:val="0"/>
              </w:rPr>
              <w:t>Convert schools to monograde in phases, beginning where teachers and classrooms are already available.</w:t>
            </w:r>
          </w:p>
          <w:p>
            <w:pPr>
              <w:spacing w:after="60"/>
              <w:ind w:left="360" w:hanging="259"/>
              <w:jc w:val="both"/>
            </w:pPr>
            <w:r>
              <w:rPr>
                <w:b w:val="0"/>
              </w:rPr>
              <w:t xml:space="preserve">•  </w:t>
            </w:r>
            <w:r>
              <w:rPr>
                <w:b/>
              </w:rPr>
              <w:t xml:space="preserve">School-wise readiness list: </w:t>
            </w:r>
            <w:r>
              <w:rPr>
                <w:b w:val="0"/>
              </w:rPr>
              <w:t>Use SATS and UDISE+ data to classify every primary school by grade-wise enrolment, teachers in position, classrooms and furniture.</w:t>
            </w:r>
          </w:p>
          <w:p>
            <w:pPr>
              <w:spacing w:after="60"/>
              <w:ind w:left="360" w:hanging="259"/>
              <w:jc w:val="both"/>
            </w:pPr>
            <w:r>
              <w:rPr>
                <w:b w:val="0"/>
              </w:rPr>
              <w:t xml:space="preserve">•  </w:t>
            </w:r>
            <w:r>
              <w:rPr>
                <w:b/>
              </w:rPr>
              <w:t xml:space="preserve">Clear Government order and guidelines: </w:t>
            </w:r>
            <w:r>
              <w:rPr>
                <w:b w:val="0"/>
              </w:rPr>
              <w:t>Issue guidelines on timelines, classroom arrangement, timetable, teacher allocation and learning materials for Classes 1 to 3.</w:t>
            </w:r>
          </w:p>
          <w:p>
            <w:pPr>
              <w:spacing w:after="60"/>
              <w:ind w:left="360" w:hanging="259"/>
              <w:jc w:val="both"/>
            </w:pPr>
            <w:r>
              <w:rPr>
                <w:b w:val="0"/>
              </w:rPr>
              <w:t xml:space="preserve">•  </w:t>
            </w:r>
            <w:r>
              <w:rPr>
                <w:b/>
              </w:rPr>
              <w:t xml:space="preserve">Retain the strengths of activity-based learning: </w:t>
            </w:r>
            <w:r>
              <w:rPr>
                <w:b w:val="0"/>
              </w:rPr>
              <w:t>Continue joyful, child-centred methods within each single-grade class.</w:t>
            </w:r>
          </w:p>
          <w:p>
            <w:pPr>
              <w:spacing w:after="60"/>
              <w:ind w:left="360" w:hanging="259"/>
              <w:jc w:val="both"/>
            </w:pPr>
            <w:r>
              <w:rPr>
                <w:b w:val="0"/>
              </w:rPr>
              <w:t xml:space="preserve">•  </w:t>
            </w:r>
            <w:r>
              <w:rPr>
                <w:b/>
              </w:rPr>
              <w:t xml:space="preserve">Smooth progression to Class 4: </w:t>
            </w:r>
            <w:r>
              <w:rPr>
                <w:b w:val="0"/>
              </w:rPr>
              <w:t>Align Classes 1 to 3 and Class 4 so that children move up without a sudden jump in difficulty.</w:t>
            </w:r>
          </w:p>
          <w:p>
            <w:pPr>
              <w:spacing w:after="60"/>
              <w:ind w:left="360" w:hanging="259"/>
              <w:jc w:val="both"/>
            </w:pPr>
            <w:r>
              <w:rPr>
                <w:b w:val="0"/>
              </w:rPr>
              <w:t xml:space="preserve">•  </w:t>
            </w:r>
            <w:r>
              <w:rPr>
                <w:b/>
              </w:rPr>
              <w:t xml:space="preserve">Communication with parents and SDMCs: </w:t>
            </w:r>
            <w:r>
              <w:rPr>
                <w:b w:val="0"/>
              </w:rPr>
              <w:t>Explain the reasons for the change and the expected benefits for children.</w:t>
            </w:r>
          </w:p>
          <w:p>
            <w:pPr>
              <w:spacing w:after="60"/>
              <w:ind w:left="360" w:hanging="259"/>
              <w:jc w:val="both"/>
            </w:pPr>
            <w:r>
              <w:rPr>
                <w:b w:val="0"/>
              </w:rPr>
              <w:t xml:space="preserve">•  </w:t>
            </w:r>
            <w:r>
              <w:rPr>
                <w:b/>
              </w:rPr>
              <w:t xml:space="preserve">Regular review: </w:t>
            </w:r>
            <w:r>
              <w:rPr>
                <w:b w:val="0"/>
              </w:rPr>
              <w:t>Monitor progress at block, district and State levels every term and resolve problems quickly.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State has adopted a phased approach to the transition instead of a single-step change. In the first phase, Nali Kali is being withdrawn from 29,000 schools, including bilingual schools, and the classrooms are being converted into single-grade classrooms. Schools moved to monograde bilingual classrooms from 1 June 2026.</w:t>
            </w:r>
          </w:p>
          <w:p>
            <w:pPr>
              <w:spacing w:after="60"/>
              <w:jc w:val="both"/>
            </w:pPr>
            <w:r>
              <w:rPr>
                <w:b w:val="0"/>
              </w:rPr>
              <w:t>The decision was taken after considering the recommendation of the NEP 2020 implementation task force and the views of teachers. The phased approach allows the Department to learn from the first schools, solve problems of teachers, rooms and furniture, and then extend the change to all schools. This is a good example of evidence-based and phased implementation of a major policy change. It can be monitored through school-wise transition status, teacher and room availability and learning outcomes of Classes 1 to 4.</w:t>
            </w:r>
          </w:p>
        </w:tc>
      </w:tr>
    </w:tbl>
    <w:p>
      <w:pPr>
        <w:spacing w:after="120" w:before="160"/>
      </w:pPr>
      <w:r>
        <w:rPr>
          <w:b/>
          <w:i w:val="0"/>
          <w:sz w:val="24"/>
          <w:u w:val="none"/>
        </w:rPr>
        <w:t>References</w:t>
      </w:r>
    </w:p>
    <w:p>
      <w:pPr>
        <w:spacing w:after="60" w:before="0"/>
        <w:ind w:left="576" w:hanging="576"/>
        <w:jc w:val="both"/>
      </w:pPr>
      <w:r>
        <w:rPr>
          <w:b w:val="0"/>
          <w:i w:val="0"/>
          <w:u w:val="none"/>
        </w:rPr>
        <w:t>Deccan Herald (4 November 2025); The Federal (19 February 2026); Times of India, via Spill (8 June 2026).</w:t>
      </w:r>
    </w:p>
    <w:p>
      <w:r>
        <w:br w:type="page"/>
      </w:r>
    </w:p>
    <w:p>
      <w:pPr>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One Teacher for Each Class in Monograde Primary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Monograde teaching requires a separate teacher for each class. Under the multigrade system, one teacher could manage Classes 1 to 3 together. With the shift to single-grade classrooms, schools need more teachers for the same number of children. Many Government schools already face teacher shortages because of vacant posts, retirements and transfers, and depend on guest teachers.</w:t>
            </w:r>
          </w:p>
          <w:p>
            <w:pPr>
              <w:spacing w:after="60"/>
              <w:jc w:val="both"/>
            </w:pPr>
            <w:r>
              <w:rPr>
                <w:b w:val="0"/>
              </w:rPr>
              <w:t>DIET research shows the effect of teacher shortage. DIET Tumakuru found that guest teachers were appointed mainly against regular vacancies, and that late appointment and frequent replacement affected syllabus completion and results. DIET Chamarajanagar (50 schools, 100 teachers and 300 Grade 3 students) found teacher shortage, multigrade teaching and non-academic work to be the main obstacles to foundational literacy and numeracy (FLN). Without enough teachers, a monograde classroom may again become a combined class.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Provide at least one teacher for each class from Class 1 to Class 5.</w:t>
            </w:r>
          </w:p>
          <w:p>
            <w:pPr>
              <w:spacing w:after="60"/>
              <w:ind w:left="360" w:hanging="259"/>
              <w:jc w:val="both"/>
            </w:pPr>
            <w:r>
              <w:rPr>
                <w:b w:val="0"/>
              </w:rPr>
              <w:t xml:space="preserve">•  </w:t>
            </w:r>
            <w:r>
              <w:rPr>
                <w:b w:val="0"/>
              </w:rPr>
              <w:t>Deploy teachers on the basis of grade-wise enrolment rather than total school enrolment.</w:t>
            </w:r>
          </w:p>
          <w:p>
            <w:pPr>
              <w:spacing w:after="60"/>
              <w:ind w:left="360" w:hanging="259"/>
              <w:jc w:val="both"/>
            </w:pPr>
            <w:r>
              <w:rPr>
                <w:b w:val="0"/>
              </w:rPr>
              <w:t xml:space="preserve">•  </w:t>
            </w:r>
            <w:r>
              <w:rPr>
                <w:b w:val="0"/>
              </w:rPr>
              <w:t>Give priority to filling vacant posts in primary schools undergoing the transition.</w:t>
            </w:r>
          </w:p>
          <w:p>
            <w:pPr>
              <w:spacing w:after="60"/>
              <w:ind w:left="360" w:hanging="259"/>
              <w:jc w:val="both"/>
            </w:pPr>
            <w:r>
              <w:rPr>
                <w:b w:val="0"/>
              </w:rPr>
              <w:t xml:space="preserve">•  </w:t>
            </w:r>
            <w:r>
              <w:rPr>
                <w:b w:val="0"/>
              </w:rPr>
              <w:t>Rationalise teachers within clusters and blocks to reduce surplus in some schools and shortage in others.</w:t>
            </w:r>
          </w:p>
          <w:p>
            <w:pPr>
              <w:spacing w:after="60"/>
              <w:ind w:left="360" w:hanging="259"/>
              <w:jc w:val="both"/>
            </w:pPr>
            <w:r>
              <w:rPr>
                <w:b w:val="0"/>
              </w:rPr>
              <w:t xml:space="preserve">•  </w:t>
            </w:r>
            <w:r>
              <w:rPr>
                <w:b w:val="0"/>
              </w:rPr>
              <w:t>Complete guest-teacher appointments before the academic year begins and retain them for the full year.</w:t>
            </w:r>
          </w:p>
          <w:p>
            <w:pPr>
              <w:spacing w:after="60"/>
              <w:ind w:left="360" w:hanging="259"/>
              <w:jc w:val="both"/>
            </w:pPr>
            <w:r>
              <w:rPr>
                <w:b w:val="0"/>
              </w:rPr>
              <w:t xml:space="preserve">•  </w:t>
            </w:r>
            <w:r>
              <w:rPr>
                <w:b w:val="0"/>
              </w:rPr>
              <w:t>Reduce non-academic work of primary teachers so that they can concentrate on their class.</w:t>
            </w:r>
          </w:p>
          <w:p>
            <w:pPr>
              <w:spacing w:after="60"/>
              <w:ind w:left="360" w:hanging="259"/>
              <w:jc w:val="both"/>
            </w:pPr>
            <w:r>
              <w:rPr>
                <w:b w:val="0"/>
              </w:rPr>
              <w:t xml:space="preserve">•  </w:t>
            </w:r>
            <w:r>
              <w:rPr>
                <w:b w:val="0"/>
              </w:rPr>
              <w:t>Monitor teacher availability by class at block, district and State levels at the start of every year.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Tumakuru's study of guest teachers and SSLC results shows that timely and stable staffing makes a clear difference. Schools where guest teachers were appointed at the beginning of the academic year achieved better results than schools where appointments were delayed. Guest teachers who conducted regular remedial classes, unit tests and model examinations, with close monitoring by Head Teachers and Block Education Officers, achieved pass percentages comparable to regular teachers in several schools.</w:t>
            </w:r>
          </w:p>
          <w:p>
            <w:pPr>
              <w:spacing w:after="60"/>
              <w:jc w:val="both"/>
            </w:pPr>
            <w:r>
              <w:rPr>
                <w:b w:val="0"/>
              </w:rPr>
              <w:t>The same lesson applies to monograde primary classes: a teacher must be in place for every class from the first day of the year and must remain for the full year. This is a good example of using timely appointment, stability and academic monitoring together to address teacher shortages. It can be monitored through class-wise teacher availability, date of appointment and teacher continuity during the year.</w:t>
            </w:r>
          </w:p>
        </w:tc>
      </w:tr>
    </w:tbl>
    <w:p>
      <w:pPr>
        <w:spacing w:after="120" w:before="160"/>
      </w:pPr>
      <w:r>
        <w:rPr>
          <w:b/>
          <w:i w:val="0"/>
          <w:sz w:val="24"/>
          <w:u w:val="none"/>
        </w:rPr>
        <w:t>References</w:t>
      </w:r>
    </w:p>
    <w:p>
      <w:pPr>
        <w:spacing w:after="60" w:before="0"/>
        <w:ind w:left="576" w:hanging="576"/>
        <w:jc w:val="both"/>
      </w:pPr>
      <w:r>
        <w:rPr>
          <w:b w:val="0"/>
          <w:i w:val="0"/>
          <w:u w:val="none"/>
        </w:rPr>
        <w:t>DIET Tumakuru (2025-26), guest teachers and SSLC results; DIET Chamarajanagar (2025-26), FLN in Grade 3. DSERT Research Abstracts Compilation 2024-25 and 2025-26.</w:t>
      </w:r>
    </w:p>
    <w:p>
      <w:r>
        <w:br w:type="page"/>
      </w:r>
    </w:p>
    <w:p>
      <w:pPr>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Classrooms, Furniture and Learning Materials for Monograde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the multigrade system, one room was used for Classes 1 to 3. Monograde teaching needs a separate, furnished room for each class. After schools moved to monograde bilingual classrooms from 1 June 2026, reports showed that many schools lacked desks, benches and even enough classrooms. Some children sat on the floor, and Head Teachers sought CSR funds and donations.</w:t>
            </w:r>
          </w:p>
          <w:p>
            <w:pPr>
              <w:spacing w:after="60"/>
              <w:jc w:val="both"/>
            </w:pPr>
            <w:r>
              <w:rPr>
                <w:b w:val="0"/>
              </w:rPr>
              <w:t>DIET research had already pointed to this need. In Bengaluru South, the study of 161 schools running English-medium sections found that each class of 30 children needs a separate room with benches, tables and basic facilities, and that 58 schools lacked the required physical structure. DIET Chitradurga reported inadequate classroom space, teaching-learning materials and libraries in newly started Karnataka Public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Prepare a school-wise list of additional rooms, desks and benches needed for monograde classes.</w:t>
            </w:r>
          </w:p>
          <w:p>
            <w:pPr>
              <w:spacing w:after="60"/>
              <w:ind w:left="360" w:hanging="259"/>
              <w:jc w:val="both"/>
            </w:pPr>
            <w:r>
              <w:rPr>
                <w:b w:val="0"/>
              </w:rPr>
              <w:t xml:space="preserve">•  </w:t>
            </w:r>
            <w:r>
              <w:rPr>
                <w:b w:val="0"/>
              </w:rPr>
              <w:t>Include classrooms and furniture for the transition in the Samagra Shiksha and State budgets so that schools do not depend only on donations.</w:t>
            </w:r>
          </w:p>
          <w:p>
            <w:pPr>
              <w:spacing w:after="60"/>
              <w:ind w:left="360" w:hanging="259"/>
              <w:jc w:val="both"/>
            </w:pPr>
            <w:r>
              <w:rPr>
                <w:b w:val="0"/>
              </w:rPr>
              <w:t xml:space="preserve">•  </w:t>
            </w:r>
            <w:r>
              <w:rPr>
                <w:b w:val="0"/>
              </w:rPr>
              <w:t>Use existing spare rooms in nearby schools and buildings wherever possible as a short-term measure.</w:t>
            </w:r>
          </w:p>
          <w:p>
            <w:pPr>
              <w:spacing w:after="60"/>
              <w:ind w:left="360" w:hanging="259"/>
              <w:jc w:val="both"/>
            </w:pPr>
            <w:r>
              <w:rPr>
                <w:b w:val="0"/>
              </w:rPr>
              <w:t xml:space="preserve">•  </w:t>
            </w:r>
            <w:r>
              <w:rPr>
                <w:b w:val="0"/>
              </w:rPr>
              <w:t>Encourage CSR, SDMCs, local bodies and donors to support furniture through a transparent district system.</w:t>
            </w:r>
          </w:p>
          <w:p>
            <w:pPr>
              <w:spacing w:after="60"/>
              <w:ind w:left="360" w:hanging="259"/>
              <w:jc w:val="both"/>
            </w:pPr>
            <w:r>
              <w:rPr>
                <w:b w:val="0"/>
              </w:rPr>
              <w:t xml:space="preserve">•  </w:t>
            </w:r>
            <w:r>
              <w:rPr>
                <w:b w:val="0"/>
              </w:rPr>
              <w:t>Provide grade-specific teaching-learning materials, reading corners and Learning Corners in every class.</w:t>
            </w:r>
          </w:p>
          <w:p>
            <w:pPr>
              <w:spacing w:after="60"/>
              <w:ind w:left="360" w:hanging="259"/>
              <w:jc w:val="both"/>
            </w:pPr>
            <w:r>
              <w:rPr>
                <w:b w:val="0"/>
              </w:rPr>
              <w:t xml:space="preserve">•  </w:t>
            </w:r>
            <w:r>
              <w:rPr>
                <w:b w:val="0"/>
              </w:rPr>
              <w:t>Use the Nali Kali materials already in schools, where suitable, for activity corners in each class.</w:t>
            </w:r>
          </w:p>
          <w:p>
            <w:pPr>
              <w:spacing w:after="60"/>
              <w:ind w:left="360" w:hanging="259"/>
              <w:jc w:val="both"/>
            </w:pPr>
            <w:r>
              <w:rPr>
                <w:b w:val="0"/>
              </w:rPr>
              <w:t xml:space="preserve">•  </w:t>
            </w:r>
            <w:r>
              <w:rPr>
                <w:b w:val="0"/>
              </w:rPr>
              <w:t>Monitor the availability of rooms and furniture for each class through SATS and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Bengaluru South study of English-medium sections in 161 schools shows the benefits of providing one class, one room and one teacher. Although 58 schools still lacked full infrastructure, admissions increased in all 161 schools, SDMC members took keen interest, and children who had completed LKG and UKG in private schools sought admission to Class 1 in these Government schools. DIET Chamarajanagar found Learning Corners in effective use in ninety-two per cent of schools.</w:t>
            </w:r>
          </w:p>
          <w:p>
            <w:pPr>
              <w:spacing w:after="60"/>
              <w:jc w:val="both"/>
            </w:pPr>
            <w:r>
              <w:rPr>
                <w:b w:val="0"/>
              </w:rPr>
              <w:t>This shows that when separate, well-equipped classrooms are provided, parents' confidence in Government schools grows. This is a good example of linking infrastructure to quality and enrolment. It can be monitored through rooms per class, furniture per child and the availability of learning materials in each class.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English-medium schools in Bengaluru South; DIET Chitradurga (2024-25), KPS evaluation; DIET Chamarajanagar (2025-26); Times of India, via Spill (8 June 2026).</w:t>
      </w:r>
    </w:p>
    <w:p>
      <w:r>
        <w:br w:type="page"/>
      </w:r>
    </w:p>
    <w:p>
      <w:pPr>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 Preparation for Monograde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For nearly two decades, primary teachers were trained to teach Classes 1 to 3 together using group-based, multi-level methods. Monograde teaching needs different skills: grade-specific lesson planning, greater subject depth, whole-class and group teaching within one grade, and differentiated support for children at different levels in the same class.</w:t>
            </w:r>
          </w:p>
          <w:p>
            <w:pPr>
              <w:spacing w:after="60"/>
              <w:jc w:val="both"/>
            </w:pPr>
            <w:r>
              <w:rPr>
                <w:b w:val="0"/>
              </w:rPr>
              <w:t>DIET studies show that training is the key to good implementation. In Bengaluru Rural, only fifty-five per cent of teachers felt adequately trained for the English Nali Kali method. DIET Chamarajanagar found that trained teachers used activity-based methods and continuous assessment more confidently, but some teachers saw academic monitoring as inspection. The 2026-27 DIET Chitradurga study on the challenges faced by teachers in monograde classes of Classes 1 to 5 shows that this is already a concern in the field.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Develop DIET training modules on grade-specific lesson planning and competency-based teaching for Classes 1 to 5.</w:t>
            </w:r>
          </w:p>
          <w:p>
            <w:pPr>
              <w:spacing w:after="60"/>
              <w:ind w:left="360" w:hanging="259"/>
              <w:jc w:val="both"/>
            </w:pPr>
            <w:r>
              <w:rPr>
                <w:b w:val="0"/>
              </w:rPr>
              <w:t xml:space="preserve">•  </w:t>
            </w:r>
            <w:r>
              <w:rPr>
                <w:b w:val="0"/>
              </w:rPr>
              <w:t>Train teachers in differentiated instruction and remedial grouping within one grade.</w:t>
            </w:r>
          </w:p>
          <w:p>
            <w:pPr>
              <w:spacing w:after="60"/>
              <w:ind w:left="360" w:hanging="259"/>
              <w:jc w:val="both"/>
            </w:pPr>
            <w:r>
              <w:rPr>
                <w:b w:val="0"/>
              </w:rPr>
              <w:t xml:space="preserve">•  </w:t>
            </w:r>
            <w:r>
              <w:rPr>
                <w:b w:val="0"/>
              </w:rPr>
              <w:t>Train all primary teachers, including newly appointed and guest teachers, before and during the transition.</w:t>
            </w:r>
          </w:p>
          <w:p>
            <w:pPr>
              <w:spacing w:after="60"/>
              <w:ind w:left="360" w:hanging="259"/>
              <w:jc w:val="both"/>
            </w:pPr>
            <w:r>
              <w:rPr>
                <w:b w:val="0"/>
              </w:rPr>
              <w:t xml:space="preserve">•  </w:t>
            </w:r>
            <w:r>
              <w:rPr>
                <w:b w:val="0"/>
              </w:rPr>
              <w:t>Provide practice-based refresher training, workshops and experience-sharing meetings at cluster level.</w:t>
            </w:r>
          </w:p>
          <w:p>
            <w:pPr>
              <w:spacing w:after="60"/>
              <w:ind w:left="360" w:hanging="259"/>
              <w:jc w:val="both"/>
            </w:pPr>
            <w:r>
              <w:rPr>
                <w:b w:val="0"/>
              </w:rPr>
              <w:t xml:space="preserve">•  </w:t>
            </w:r>
            <w:r>
              <w:rPr>
                <w:b w:val="0"/>
              </w:rPr>
              <w:t>Use DIKSHA and other digital resources for short, self-paced teacher learning modules.</w:t>
            </w:r>
          </w:p>
          <w:p>
            <w:pPr>
              <w:spacing w:after="60"/>
              <w:ind w:left="360" w:hanging="259"/>
              <w:jc w:val="both"/>
            </w:pPr>
            <w:r>
              <w:rPr>
                <w:b w:val="0"/>
              </w:rPr>
              <w:t xml:space="preserve">•  </w:t>
            </w:r>
            <w:r>
              <w:rPr>
                <w:b w:val="0"/>
              </w:rPr>
              <w:t>Make CRP and BRP visits supportive and mentoring-oriented rather than inspection-oriented.</w:t>
            </w:r>
          </w:p>
          <w:p>
            <w:pPr>
              <w:spacing w:after="60"/>
              <w:ind w:left="360" w:hanging="259"/>
              <w:jc w:val="both"/>
            </w:pPr>
            <w:r>
              <w:rPr>
                <w:b w:val="0"/>
              </w:rPr>
              <w:t xml:space="preserve">•  </w:t>
            </w:r>
            <w:r>
              <w:rPr>
                <w:b w:val="0"/>
              </w:rPr>
              <w:t>Continue training support for teachers in small schools that must manage more than one class for some time.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found that ninety-six per cent of head teachers and ninety-seven per cent of teachers had received FLN training, and that trained teachers followed activity-based, child-centred methods and continuous assessment more confidently. Learning Corners were used effectively in ninety-two per cent of schools, and varied teaching methods in ninety-four per cent. Good practices included supportive academic monitoring by head teachers, CRPs and BRPs.</w:t>
            </w:r>
          </w:p>
          <w:p>
            <w:pPr>
              <w:spacing w:after="60"/>
              <w:jc w:val="both"/>
            </w:pPr>
            <w:r>
              <w:rPr>
                <w:b w:val="0"/>
              </w:rPr>
              <w:t>This shows that large-scale teacher training through DIETs and cluster structures can reach almost every teacher. The same system can be used to prepare teachers for monograde classrooms. This is a good example of using the existing DIET-BRC-CRC network for timely capacity building. It can be monitored through training coverage, classroom observation of grade-specific teaching and teachers' feedback.</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Bengaluru Rural English Nali Kali study (2024-25); DSERT Research Studies Tracker 2026-27 (DIET Chitradurga study).</w:t>
      </w:r>
    </w:p>
    <w:p>
      <w:r>
        <w:br w:type="page"/>
      </w:r>
    </w:p>
    <w:p>
      <w:pPr>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Retaining Activity-Based and Joyful Learning in Monograde Classrooms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Nali Kali and English Nali Kali (ENK) brought joyful, activity-based and fear-free learning into the early grades. DIET studies reported that children became more engaged and confident. There is a risk that, while moving to single-grade classes, teachers may return to lecture and textbook-only teaching, losing these strengths.</w:t>
            </w:r>
          </w:p>
          <w:p>
            <w:pPr>
              <w:spacing w:after="60"/>
              <w:jc w:val="both"/>
            </w:pPr>
            <w:r>
              <w:rPr>
                <w:b w:val="0"/>
              </w:rPr>
              <w:t>At the same time, the studies showed weaknesses that must be corrected: inadequate teacher training, shortage of materials, pressure of multigrade classes and a sudden rise in difficulty in Class 4. Defenders of Nali Kali, including a Kannada Development Authority study, pointed to implementation problems such as weak training and inadequate tools rather than the approach itself.</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Keep activity-based, play-based and joyful learning as the core pedagogy in Classes 1 to 3.</w:t>
            </w:r>
          </w:p>
          <w:p>
            <w:pPr>
              <w:spacing w:after="60"/>
              <w:ind w:left="360" w:hanging="259"/>
              <w:jc w:val="both"/>
            </w:pPr>
            <w:r>
              <w:rPr>
                <w:b w:val="0"/>
              </w:rPr>
              <w:t xml:space="preserve">•  </w:t>
            </w:r>
            <w:r>
              <w:rPr>
                <w:b w:val="0"/>
              </w:rPr>
              <w:t>Use songs, stories, games, group work and Learning Corners within each single-grade class.</w:t>
            </w:r>
          </w:p>
          <w:p>
            <w:pPr>
              <w:spacing w:after="60"/>
              <w:ind w:left="360" w:hanging="259"/>
              <w:jc w:val="both"/>
            </w:pPr>
            <w:r>
              <w:rPr>
                <w:b w:val="0"/>
              </w:rPr>
              <w:t xml:space="preserve">•  </w:t>
            </w:r>
            <w:r>
              <w:rPr>
                <w:b w:val="0"/>
              </w:rPr>
              <w:t>Continue continuous and comprehensive assessment of each child's progress.</w:t>
            </w:r>
          </w:p>
          <w:p>
            <w:pPr>
              <w:spacing w:after="60"/>
              <w:ind w:left="360" w:hanging="259"/>
              <w:jc w:val="both"/>
            </w:pPr>
            <w:r>
              <w:rPr>
                <w:b w:val="0"/>
              </w:rPr>
              <w:t xml:space="preserve">•  </w:t>
            </w:r>
            <w:r>
              <w:rPr>
                <w:b w:val="0"/>
              </w:rPr>
              <w:t>Provide grade-specific activity materials and workbooks aligned with learning outcomes.</w:t>
            </w:r>
          </w:p>
          <w:p>
            <w:pPr>
              <w:spacing w:after="60"/>
              <w:ind w:left="360" w:hanging="259"/>
              <w:jc w:val="both"/>
            </w:pPr>
            <w:r>
              <w:rPr>
                <w:b w:val="0"/>
              </w:rPr>
              <w:t xml:space="preserve">•  </w:t>
            </w:r>
            <w:r>
              <w:rPr>
                <w:b w:val="0"/>
              </w:rPr>
              <w:t>Plan a gradual increase in reading and writing so that children move smoothly into Class 4.</w:t>
            </w:r>
          </w:p>
          <w:p>
            <w:pPr>
              <w:spacing w:after="60"/>
              <w:ind w:left="360" w:hanging="259"/>
              <w:jc w:val="both"/>
            </w:pPr>
            <w:r>
              <w:rPr>
                <w:b w:val="0"/>
              </w:rPr>
              <w:t xml:space="preserve">•  </w:t>
            </w:r>
            <w:r>
              <w:rPr>
                <w:b w:val="0"/>
              </w:rPr>
              <w:t>Share good classroom practices through cluster meetings and short videos.</w:t>
            </w:r>
          </w:p>
          <w:p>
            <w:pPr>
              <w:spacing w:after="60"/>
              <w:ind w:left="360" w:hanging="259"/>
              <w:jc w:val="both"/>
            </w:pPr>
            <w:r>
              <w:rPr>
                <w:b w:val="0"/>
              </w:rPr>
              <w:t xml:space="preserve">•  </w:t>
            </w:r>
            <w:r>
              <w:rPr>
                <w:b w:val="0"/>
              </w:rPr>
              <w:t>Include activity-based teaching as an indicator in classroom observation.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studies record the strengths of activity-based learning. In Bengaluru Rural, the English Nali Kali programme led to a sixty-five per cent improvement in speaking confidence, about thirty per cent more vocabulary than traditional methods, and seventy-eight per cent of students enjoying English classes more. In Uttara Kannada, 75 ENK-trained teachers used songs, games, storytelling and group activities, creating a joyful, child-friendly and fear-free environment. In Kodagu, Nali Kali training strengthened child-centred methods, lesson planning and continuous monitoring.</w:t>
            </w:r>
          </w:p>
          <w:p>
            <w:pPr>
              <w:spacing w:after="60"/>
              <w:jc w:val="both"/>
            </w:pPr>
            <w:r>
              <w:rPr>
                <w:b w:val="0"/>
              </w:rPr>
              <w:t>Carrying these methods into single-grade classrooms, with a teacher for each class, keeps the strengths while removing the main constraint of multigrade teaching. This is a good example of building on what worked in an earlier programme. It can be monitored through classroom observation, children's participation and learning outcomes.</w:t>
            </w:r>
          </w:p>
        </w:tc>
      </w:tr>
    </w:tbl>
    <w:p>
      <w:pPr>
        <w:spacing w:after="120" w:before="160"/>
      </w:pPr>
      <w:r>
        <w:rPr>
          <w:b/>
          <w:i w:val="0"/>
          <w:sz w:val="24"/>
          <w:u w:val="none"/>
        </w:rPr>
        <w:t>References</w:t>
      </w:r>
    </w:p>
    <w:p>
      <w:pPr>
        <w:spacing w:after="60" w:before="0"/>
        <w:ind w:left="576" w:hanging="576"/>
        <w:jc w:val="both"/>
      </w:pPr>
      <w:r>
        <w:rPr>
          <w:b w:val="0"/>
          <w:i w:val="0"/>
          <w:u w:val="none"/>
        </w:rPr>
        <w:t>Bengaluru Rural (2024-25), English Nali Kali; DIET Uttara Kannada (2025-26), ENK training; DIET Kodagu (2025-26), Nali Kali training; The Federal (19 February 2026).</w:t>
      </w:r>
    </w:p>
    <w:p>
      <w:r>
        <w:br w:type="page"/>
      </w:r>
    </w:p>
    <w:p>
      <w:pPr>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Small Schools and Single-Teacher Schools in the Monograde System</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Many Government primary schools have very low enrolment and only one or two teachers. One Indian review estimates that about 10.2 per cent of schools have a single teacher. In such schools it may not be possible to provide one teacher and one room for each class immediately.</w:t>
            </w:r>
          </w:p>
          <w:p>
            <w:pPr>
              <w:spacing w:after="60"/>
              <w:jc w:val="both"/>
            </w:pPr>
            <w:r>
              <w:rPr>
                <w:b w:val="0"/>
              </w:rPr>
              <w:t>The international literature shows that teacher training and policy are usually designed for monograde schools, while teachers in small schools receive little support. If small schools are left out of transition planning, children in remote and rural areas may receive poorer teaching. Where small schools are merged or consolidated, distance, transport and safety of young children must also be considered.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small and single-teacher schools separately in the transition plan.</w:t>
            </w:r>
          </w:p>
          <w:p>
            <w:pPr>
              <w:spacing w:after="60"/>
              <w:ind w:left="360" w:hanging="259"/>
              <w:jc w:val="both"/>
            </w:pPr>
            <w:r>
              <w:rPr>
                <w:b w:val="0"/>
              </w:rPr>
              <w:t xml:space="preserve">•  </w:t>
            </w:r>
            <w:r>
              <w:rPr>
                <w:b w:val="0"/>
              </w:rPr>
              <w:t>Give priority to these schools for additional teachers through rationalisation and recruitment.</w:t>
            </w:r>
          </w:p>
          <w:p>
            <w:pPr>
              <w:spacing w:after="60"/>
              <w:ind w:left="360" w:hanging="259"/>
              <w:jc w:val="both"/>
            </w:pPr>
            <w:r>
              <w:rPr>
                <w:b w:val="0"/>
              </w:rPr>
              <w:t xml:space="preserve">•  </w:t>
            </w:r>
            <w:r>
              <w:rPr>
                <w:b w:val="0"/>
              </w:rPr>
              <w:t>Where a teacher must handle more than one class for some time, provide training and materials for managing combined classes.</w:t>
            </w:r>
          </w:p>
          <w:p>
            <w:pPr>
              <w:spacing w:after="60"/>
              <w:ind w:left="360" w:hanging="259"/>
              <w:jc w:val="both"/>
            </w:pPr>
            <w:r>
              <w:rPr>
                <w:b w:val="0"/>
              </w:rPr>
              <w:t xml:space="preserve">•  </w:t>
            </w:r>
            <w:r>
              <w:rPr>
                <w:b w:val="0"/>
              </w:rPr>
              <w:t>Use clusters for sharing teachers, resources and digital content among nearby small schools.</w:t>
            </w:r>
          </w:p>
          <w:p>
            <w:pPr>
              <w:spacing w:after="60"/>
              <w:ind w:left="360" w:hanging="259"/>
              <w:jc w:val="both"/>
            </w:pPr>
            <w:r>
              <w:rPr>
                <w:b w:val="0"/>
              </w:rPr>
              <w:t xml:space="preserve">•  </w:t>
            </w:r>
            <w:r>
              <w:rPr>
                <w:b w:val="0"/>
              </w:rPr>
              <w:t>Where schools are consolidated, provide safe and free transport and keep the lowest classes close to home.</w:t>
            </w:r>
          </w:p>
          <w:p>
            <w:pPr>
              <w:spacing w:after="60"/>
              <w:ind w:left="360" w:hanging="259"/>
              <w:jc w:val="both"/>
            </w:pPr>
            <w:r>
              <w:rPr>
                <w:b w:val="0"/>
              </w:rPr>
              <w:t xml:space="preserve">•  </w:t>
            </w:r>
            <w:r>
              <w:rPr>
                <w:b w:val="0"/>
              </w:rPr>
              <w:t>Consult parents and SDMCs before any change in school arrangements.</w:t>
            </w:r>
          </w:p>
          <w:p>
            <w:pPr>
              <w:spacing w:after="60"/>
              <w:ind w:left="360" w:hanging="259"/>
              <w:jc w:val="both"/>
            </w:pPr>
            <w:r>
              <w:rPr>
                <w:b w:val="0"/>
              </w:rPr>
              <w:t xml:space="preserve">•  </w:t>
            </w:r>
            <w:r>
              <w:rPr>
                <w:b w:val="0"/>
              </w:rPr>
              <w:t>Track enrolment, attendance and dropout of children in small and consolidated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Government has decided to provide free transport facilities to Karnataka Public Schools, and some KPS have already arranged transport with the support of SDMCs, local communities and CSR contributions. DIET research also shows that schools with active SDMCs and community support had better attendance and learning (DIET Chamarajanagar).</w:t>
            </w:r>
          </w:p>
          <w:p>
            <w:pPr>
              <w:spacing w:after="60"/>
              <w:jc w:val="both"/>
            </w:pPr>
            <w:r>
              <w:rPr>
                <w:b w:val="0"/>
              </w:rPr>
              <w:t>These measures help children from small villages reach better-equipped schools without extra cost to parents, while community participation builds trust in the change. This is a good example of combining planning, transport and community support for small schools. It can be monitored through the number of small schools covered, teacher availability, transport use and attendance.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Little, A.W. (Ed.) (2006), Education for All and Multigrade Teaching, Springer; Suzuki (2003), Institute of Education, University of London.</w:t>
      </w:r>
    </w:p>
    <w:p>
      <w:r>
        <w:br w:type="page"/>
      </w:r>
    </w:p>
    <w:p>
      <w:pPr>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Monitoring Foundational Literacy and Numeracy during the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main purpose of the shift to monograde classrooms is to improve children's learning. However, there is no baseline yet to show children's FLN levels before the change, and no common system to track whether learning improves after it. Officials cited the Performance Grading Index to show that outcomes had not improved under the earlier system, but district-level evidence on Classes 1 to 3 is limited.</w:t>
            </w:r>
          </w:p>
          <w:p>
            <w:pPr>
              <w:spacing w:after="60"/>
              <w:jc w:val="both"/>
            </w:pPr>
            <w:r>
              <w:rPr>
                <w:b w:val="0"/>
              </w:rPr>
              <w:t>DIET studies show where children struggle. DIET Chamarajanagar found continuing difficulty in multiplication and division among slow learners in Grade 3. DIET Ramanagara reported challenges of irregular attendance, limited materials and lack of time for remedial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a baseline assessment of FLN in Classes 1 to 3 at the start of 2026-27.</w:t>
            </w:r>
          </w:p>
          <w:p>
            <w:pPr>
              <w:spacing w:after="60"/>
              <w:ind w:left="360" w:hanging="259"/>
              <w:jc w:val="both"/>
            </w:pPr>
            <w:r>
              <w:rPr>
                <w:b w:val="0"/>
              </w:rPr>
              <w:t xml:space="preserve">•  </w:t>
            </w:r>
            <w:r>
              <w:rPr>
                <w:b w:val="0"/>
              </w:rPr>
              <w:t>Repeat assessments at mid-year and end-year to measure progress after the transition.</w:t>
            </w:r>
          </w:p>
          <w:p>
            <w:pPr>
              <w:spacing w:after="60"/>
              <w:ind w:left="360" w:hanging="259"/>
              <w:jc w:val="both"/>
            </w:pPr>
            <w:r>
              <w:rPr>
                <w:b w:val="0"/>
              </w:rPr>
              <w:t xml:space="preserve">•  </w:t>
            </w:r>
            <w:r>
              <w:rPr>
                <w:b w:val="0"/>
              </w:rPr>
              <w:t>Assign one teacher responsibility for each FLN class.</w:t>
            </w:r>
          </w:p>
          <w:p>
            <w:pPr>
              <w:spacing w:after="60"/>
              <w:ind w:left="360" w:hanging="259"/>
              <w:jc w:val="both"/>
            </w:pPr>
            <w:r>
              <w:rPr>
                <w:b w:val="0"/>
              </w:rPr>
              <w:t xml:space="preserve">•  </w:t>
            </w:r>
            <w:r>
              <w:rPr>
                <w:b w:val="0"/>
              </w:rPr>
              <w:t>Group children by learning level and provide remedial support within each class.</w:t>
            </w:r>
          </w:p>
          <w:p>
            <w:pPr>
              <w:spacing w:after="60"/>
              <w:ind w:left="360" w:hanging="259"/>
              <w:jc w:val="both"/>
            </w:pPr>
            <w:r>
              <w:rPr>
                <w:b w:val="0"/>
              </w:rPr>
              <w:t xml:space="preserve">•  </w:t>
            </w:r>
            <w:r>
              <w:rPr>
                <w:b w:val="0"/>
              </w:rPr>
              <w:t>Run bridge courses at the start of the year and review progress every three months.</w:t>
            </w:r>
          </w:p>
          <w:p>
            <w:pPr>
              <w:spacing w:after="60"/>
              <w:ind w:left="360" w:hanging="259"/>
              <w:jc w:val="both"/>
            </w:pPr>
            <w:r>
              <w:rPr>
                <w:b w:val="0"/>
              </w:rPr>
              <w:t xml:space="preserve">•  </w:t>
            </w:r>
            <w:r>
              <w:rPr>
                <w:b w:val="0"/>
              </w:rPr>
              <w:t>Use SATS to record class-wise FLN results and share them with schools and SDMCs.</w:t>
            </w:r>
          </w:p>
          <w:p>
            <w:pPr>
              <w:spacing w:after="60"/>
              <w:ind w:left="360" w:hanging="259"/>
              <w:jc w:val="both"/>
            </w:pPr>
            <w:r>
              <w:rPr>
                <w:b w:val="0"/>
              </w:rPr>
              <w:t xml:space="preserve">•  </w:t>
            </w:r>
            <w:r>
              <w:rPr>
                <w:b w:val="0"/>
              </w:rPr>
              <w:t>Compare outcomes of schools that moved early with those yet to move.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Ramanagara's study found that FLN implementation improved reading fluency, number recognition, arithmetic skills, classroom participation and learner confidence, and reduced learning gaps. It recommended assigning one teacher to each FLN class, grouping children by learning level and giving special support to children with learning difficulties. DIET Tumakuru recommended a baseline test at the start of the year, grouping by level, remedial teaching and review every three months.</w:t>
            </w:r>
          </w:p>
          <w:p>
            <w:pPr>
              <w:spacing w:after="60"/>
              <w:jc w:val="both"/>
            </w:pPr>
            <w:r>
              <w:rPr>
                <w:b w:val="0"/>
              </w:rPr>
              <w:t>These recommendations fit the monograde system well, where each teacher is responsible for one class. This is a good example of using research findings to design classroom-level monitoring. It can be monitored through class-wise FLN scores, the number of children reaching grade-level competencies and remedial coverage.</w:t>
            </w:r>
          </w:p>
        </w:tc>
      </w:tr>
    </w:tbl>
    <w:p>
      <w:pPr>
        <w:spacing w:after="120" w:before="160"/>
      </w:pPr>
      <w:r>
        <w:rPr>
          <w:b/>
          <w:i w:val="0"/>
          <w:sz w:val="24"/>
          <w:u w:val="none"/>
        </w:rPr>
        <w:t>References</w:t>
      </w:r>
    </w:p>
    <w:p>
      <w:pPr>
        <w:spacing w:after="60" w:before="0"/>
        <w:ind w:left="576" w:hanging="576"/>
        <w:jc w:val="both"/>
      </w:pPr>
      <w:r>
        <w:rPr>
          <w:b w:val="0"/>
          <w:i w:val="0"/>
          <w:u w:val="none"/>
        </w:rPr>
        <w:t>DIET Ramanagara (2025-26), FLN strategies; DIET Tumakuru (2025-26), FLN deficiencies in Classes 6 and 7; DIET Chamarajanagar (2025-26); Deccan Herald (4 November 2025).</w:t>
      </w:r>
    </w:p>
    <w:p>
      <w:r>
        <w:br w:type="page"/>
      </w:r>
    </w:p>
    <w:p>
      <w:pPr>
        <w:spacing w:after="120" w:before="0"/>
        <w:jc w:val="right"/>
      </w:pPr>
      <w:r>
        <w:rPr>
          <w:b/>
          <w:i w:val="0"/>
          <w:u w:val="none"/>
        </w:rPr>
        <w:t>Annexure-1</w:t>
      </w:r>
    </w:p>
    <w:p>
      <w:pPr>
        <w:spacing w:after="40" w:before="0"/>
        <w:jc w:val="center"/>
      </w:pPr>
      <w:r>
        <w:rPr>
          <w:b/>
          <w:i w:val="0"/>
          <w:sz w:val="28"/>
          <w:u w:val="none"/>
        </w:rPr>
        <w:t>Feedback Note 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Padmaja B.N.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Tumakuru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Monograde Education: Classroom Visits by BRPs, CRPs and DIET Faculty; Feedback to Teachers; Data and Reporting Requirements; Escalation and Resolution of Problems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Classroom visits by Block Resource Persons (BRPs), Cluster Resource Persons (CRPs) and DIET faculty are important for supporting teachers in monograde classrooms. However, there are no clear guidelines for these visits, feedback mechanisms are weak and follow-up is limited. Visits often do not consider the specific needs of the school.</w:t>
            </w:r>
          </w:p>
          <w:p>
            <w:pPr>
              <w:spacing w:after="60"/>
              <w:jc w:val="both"/>
            </w:pPr>
            <w:r>
              <w:rPr>
                <w:b w:val="0"/>
              </w:rPr>
              <w:t>BRPs and CRPs are assigned administrative reporting, meetings, surveys, data entry and other departmental work, which reduces the time available for classroom visits and mentoring. Weak coordination among BRPs, CRPs, DIET faculty, Block Education Officers and Head Teachers may lead to repeated visits to some schools and gaps in others. DIET faculty also have competing responsibilities in training, administration and research.</w:t>
            </w:r>
          </w:p>
          <w:p>
            <w:pPr>
              <w:spacing w:after="60"/>
              <w:jc w:val="both"/>
            </w:pPr>
            <w:r>
              <w:rPr>
                <w:b w:val="0"/>
              </w:rPr>
              <w:t>Teachers may see classroom visits as fault-finding rather than as opportunities for professional growth. Observations may not adequately examine student participation, foundational literacy and numeracy, learning difficulties, inclusion or assessment practices.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Issue clear guidelines on the frequency, duration, objectives and expected outcomes of visits by BRPs, CRPs and DIET faculty.</w:t>
            </w:r>
          </w:p>
          <w:p>
            <w:pPr>
              <w:spacing w:after="60"/>
              <w:ind w:left="360" w:hanging="259"/>
              <w:jc w:val="both"/>
            </w:pPr>
            <w:r>
              <w:rPr>
                <w:b w:val="0"/>
              </w:rPr>
              <w:t xml:space="preserve">•  </w:t>
            </w:r>
            <w:r>
              <w:rPr>
                <w:b w:val="0"/>
              </w:rPr>
              <w:t>Prioritise schools and teachers needing more support on the basis of learning outcomes, previous observation reports and identified gaps.</w:t>
            </w:r>
          </w:p>
          <w:p>
            <w:pPr>
              <w:spacing w:after="60"/>
              <w:ind w:left="360" w:hanging="259"/>
              <w:jc w:val="both"/>
            </w:pPr>
            <w:r>
              <w:rPr>
                <w:b w:val="0"/>
              </w:rPr>
              <w:t xml:space="preserve">•  </w:t>
            </w:r>
            <w:r>
              <w:rPr>
                <w:b w:val="0"/>
              </w:rPr>
              <w:t>Develop a common classroom observation checklist covering lesson planning, student participation, teaching-learning materials, assessment and competency-based learning.</w:t>
            </w:r>
          </w:p>
          <w:p>
            <w:pPr>
              <w:spacing w:after="60"/>
              <w:ind w:left="360" w:hanging="259"/>
              <w:jc w:val="both"/>
            </w:pPr>
            <w:r>
              <w:rPr>
                <w:b w:val="0"/>
              </w:rPr>
              <w:t xml:space="preserve">•  </w:t>
            </w:r>
            <w:r>
              <w:rPr>
                <w:b w:val="0"/>
              </w:rPr>
              <w:t>Review progress on earlier recommendations at each visit rather than treating every visit as a separate inspection.</w:t>
            </w:r>
          </w:p>
          <w:p>
            <w:pPr>
              <w:spacing w:after="60"/>
              <w:ind w:left="360" w:hanging="259"/>
              <w:jc w:val="both"/>
            </w:pPr>
            <w:r>
              <w:rPr>
                <w:b w:val="0"/>
              </w:rPr>
              <w:t xml:space="preserve">•  </w:t>
            </w:r>
            <w:r>
              <w:rPr>
                <w:b w:val="0"/>
              </w:rPr>
              <w:t>Provide BRPs and CRPs with a mobile application with digital checklists, visit schedules, feedback forms, action points and follow-up reminders, with offline data entry.</w:t>
            </w:r>
          </w:p>
          <w:p>
            <w:pPr>
              <w:spacing w:after="60"/>
              <w:ind w:left="360" w:hanging="259"/>
              <w:jc w:val="both"/>
            </w:pPr>
            <w:r>
              <w:rPr>
                <w:b w:val="0"/>
              </w:rPr>
              <w:t xml:space="preserve">•  </w:t>
            </w:r>
            <w:r>
              <w:rPr>
                <w:b w:val="0"/>
              </w:rPr>
              <w:t>Integrate visit records, feedback, teacher support needs and follow-up actions in one system to avoid duplicate data entry.</w:t>
            </w:r>
          </w:p>
          <w:p>
            <w:pPr>
              <w:spacing w:after="60"/>
              <w:ind w:left="360" w:hanging="259"/>
              <w:jc w:val="both"/>
            </w:pPr>
            <w:r>
              <w:rPr>
                <w:b w:val="0"/>
              </w:rPr>
              <w:t xml:space="preserve">•  </w:t>
            </w:r>
            <w:r>
              <w:rPr>
                <w:b w:val="0"/>
              </w:rPr>
              <w:t>Use common indicators and templates across schools, clusters and blocks.</w:t>
            </w:r>
          </w:p>
          <w:p>
            <w:pPr>
              <w:spacing w:after="60"/>
              <w:ind w:left="360" w:hanging="259"/>
              <w:jc w:val="both"/>
            </w:pPr>
            <w:r>
              <w:rPr>
                <w:b w:val="0"/>
              </w:rPr>
              <w:t xml:space="preserve">•  </w:t>
            </w:r>
            <w:r>
              <w:rPr>
                <w:b w:val="0"/>
              </w:rPr>
              <w:t>Verify visit reports periodically against school records, student work and follow-up evidence.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DIET Tumakuru, special importance is given to classroom observation and feedback to teachers, using the Google Form issued by DSERT. Key observations are recorded and follow-up actions are agreed with the teacher before the visit ends. A common classroom observation checklist aligned with learning outcomes and classroom practices is used.</w:t>
            </w:r>
          </w:p>
          <w:p>
            <w:pPr>
              <w:spacing w:after="60"/>
              <w:jc w:val="both"/>
            </w:pPr>
            <w:r>
              <w:rPr>
                <w:b w:val="0"/>
              </w:rPr>
              <w:t>During visits, faculty demonstrate alternative teaching strategies, the use of teaching-learning materials and formative assessment techniques. DIET faculty provide subject-specific guidance and mentor BRPs and CRPs in classroom observation. Common issues are discussed in monthly block- and district-level academic review meetings, and unresolved issues are referred to the appropriate block or district authority and reviewed until closure. This is a good example of a supportive, data-based and accountable system of classroom visits. It can be monitored through visit records, follow-up actions completed and issues resolved.</w:t>
            </w:r>
          </w:p>
        </w:tc>
      </w:tr>
    </w:tbl>
    <w:p>
      <w:pPr>
        <w:spacing w:after="120" w:before="160"/>
      </w:pPr>
      <w:r>
        <w:rPr>
          <w:b/>
          <w:i w:val="0"/>
          <w:sz w:val="24"/>
          <w:u w:val="none"/>
        </w:rPr>
        <w:t>References</w:t>
      </w:r>
    </w:p>
    <w:p>
      <w:pPr>
        <w:spacing w:after="60" w:before="0"/>
        <w:ind w:left="576" w:hanging="576"/>
        <w:jc w:val="both"/>
      </w:pPr>
      <w:r>
        <w:rPr>
          <w:b w:val="0"/>
          <w:i w:val="0"/>
          <w:u w:val="none"/>
        </w:rPr>
        <w:t>DIET Tumakuru classroom observation practice; DSERT classroom observation Google Form.</w:t>
      </w:r>
    </w:p>
    <w:p>
      <w:r>
        <w:br w:type="page"/>
      </w:r>
    </w:p>
    <w:p>
      <w:pPr>
        <w:spacing w:after="120" w:before="0"/>
        <w:jc w:val="right"/>
      </w:pPr>
      <w:r>
        <w:rPr>
          <w:b/>
          <w:i w:val="0"/>
          <w:u w:val="none"/>
        </w:rPr>
        <w:t>Annexure-1</w:t>
      </w:r>
    </w:p>
    <w:p>
      <w:pPr>
        <w:spacing w:after="40" w:before="0"/>
        <w:jc w:val="center"/>
      </w:pPr>
      <w:r>
        <w:rPr>
          <w:b/>
          <w:i w:val="0"/>
          <w:sz w:val="28"/>
          <w:u w:val="none"/>
        </w:rPr>
        <w:t>Feedback Note 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Research on the Monograde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shift from multigrade to monograde classrooms is one of the largest changes in primary education in Karnataka in recent years. Yet the evidence base is thin. DIET studies of Nali Kali and English Nali Kali were mostly perception and implementation studies without comparison groups to measure learning. The main rigorous external study was the multi-year evaluation by Kochar and colleagues (Stanford University, Catalyst Management Services and Azim Premji Foundation).</w:t>
            </w:r>
          </w:p>
          <w:p>
            <w:pPr>
              <w:spacing w:after="60"/>
              <w:jc w:val="both"/>
            </w:pPr>
            <w:r>
              <w:rPr>
                <w:b w:val="0"/>
              </w:rPr>
              <w:t>None of the 234 studies in the DSERT Research Abstracts Compilation 2024-25 and 2025-26 examines the transition itself. Questions such as teacher readiness, the teacher-class ratio in small schools, infrastructure gaps, FLN outcomes before and after the change, and how single-teacher schools manage monograde teaching remain unanswered.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Include the monograde transition as a priority area in the State Research Programme.</w:t>
            </w:r>
          </w:p>
          <w:p>
            <w:pPr>
              <w:spacing w:after="60"/>
              <w:ind w:left="360" w:hanging="259"/>
              <w:jc w:val="both"/>
            </w:pPr>
            <w:r>
              <w:rPr>
                <w:b w:val="0"/>
              </w:rPr>
              <w:t xml:space="preserve">•  </w:t>
            </w:r>
            <w:r>
              <w:rPr>
                <w:b w:val="0"/>
              </w:rPr>
              <w:t>Conduct a taluk-level baseline study in 2026-27 while the transition is in progress.</w:t>
            </w:r>
          </w:p>
          <w:p>
            <w:pPr>
              <w:spacing w:after="60"/>
              <w:ind w:left="360" w:hanging="259"/>
              <w:jc w:val="both"/>
            </w:pPr>
            <w:r>
              <w:rPr>
                <w:b w:val="0"/>
              </w:rPr>
              <w:t xml:space="preserve">•  </w:t>
            </w:r>
            <w:r>
              <w:rPr>
                <w:b w:val="0"/>
              </w:rPr>
              <w:t>Compare learning outcomes of children before and after the change, using comparison groups.</w:t>
            </w:r>
          </w:p>
          <w:p>
            <w:pPr>
              <w:spacing w:after="60"/>
              <w:ind w:left="360" w:hanging="259"/>
              <w:jc w:val="both"/>
            </w:pPr>
            <w:r>
              <w:rPr>
                <w:b w:val="0"/>
              </w:rPr>
              <w:t xml:space="preserve">•  </w:t>
            </w:r>
            <w:r>
              <w:rPr>
                <w:b w:val="0"/>
              </w:rPr>
              <w:t>Study teacher readiness, workload and training needs in monograde classes.</w:t>
            </w:r>
          </w:p>
          <w:p>
            <w:pPr>
              <w:spacing w:after="60"/>
              <w:ind w:left="360" w:hanging="259"/>
              <w:jc w:val="both"/>
            </w:pPr>
            <w:r>
              <w:rPr>
                <w:b w:val="0"/>
              </w:rPr>
              <w:t xml:space="preserve">•  </w:t>
            </w:r>
            <w:r>
              <w:rPr>
                <w:b w:val="0"/>
              </w:rPr>
              <w:t>Study how small and single-teacher schools are managing the change.</w:t>
            </w:r>
          </w:p>
          <w:p>
            <w:pPr>
              <w:spacing w:after="60"/>
              <w:ind w:left="360" w:hanging="259"/>
              <w:jc w:val="both"/>
            </w:pPr>
            <w:r>
              <w:rPr>
                <w:b w:val="0"/>
              </w:rPr>
              <w:t xml:space="preserve">•  </w:t>
            </w:r>
            <w:r>
              <w:rPr>
                <w:b w:val="0"/>
              </w:rPr>
              <w:t>Record infrastructure gaps and how schools are solving them.</w:t>
            </w:r>
          </w:p>
          <w:p>
            <w:pPr>
              <w:spacing w:after="60"/>
              <w:ind w:left="360" w:hanging="259"/>
              <w:jc w:val="both"/>
            </w:pPr>
            <w:r>
              <w:rPr>
                <w:b w:val="0"/>
              </w:rPr>
              <w:t xml:space="preserve">•  </w:t>
            </w:r>
            <w:r>
              <w:rPr>
                <w:b w:val="0"/>
              </w:rPr>
              <w:t>Share findings through policy briefs, the State research symposium and district plans.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DSERT Research Studies Tracker 2026-27 (as on 13 October 2026) already includes studies that will inform the transition. DIET Chitradurga is studying the challenges faced by teachers in monograde classes of Classes 1 to 5. DIET Mandya is studying the FLN achievement of children completing the foundational stage. DIET Gadag, DIET Tumakuru, DIET Bagalkote and DIET Shivamogga are studying Karnataka Public Schools, their conversion, institutional performance and leadership.</w:t>
            </w:r>
          </w:p>
          <w:p>
            <w:pPr>
              <w:spacing w:after="60"/>
              <w:jc w:val="both"/>
            </w:pPr>
            <w:r>
              <w:rPr>
                <w:b w:val="0"/>
              </w:rPr>
              <w:t>Each DIET is supported with up to Rs 10 lakh for research under Samagra Shiksha, with quarterly reports and final reports due in March 2027. This is a good example of building research into the implementation of a major reform. It can be monitored through the State Research Studies Tracker and the use of findings in district and State plans.</w:t>
            </w:r>
          </w:p>
        </w:tc>
      </w:tr>
    </w:tbl>
    <w:p>
      <w:pPr>
        <w:spacing w:after="120" w:before="160"/>
      </w:pPr>
      <w:r>
        <w:rPr>
          <w:b/>
          <w:i w:val="0"/>
          <w:sz w:val="24"/>
          <w:u w:val="none"/>
        </w:rPr>
        <w:t>References</w:t>
      </w:r>
    </w:p>
    <w:p>
      <w:pPr>
        <w:spacing w:after="60" w:before="0"/>
        <w:ind w:left="576" w:hanging="576"/>
        <w:jc w:val="both"/>
      </w:pPr>
      <w:r>
        <w:rPr>
          <w:b w:val="0"/>
          <w:i w:val="0"/>
          <w:u w:val="none"/>
        </w:rPr>
        <w:t>DSERT Research Studies Tracker 2026-27; DSERT Research Abstracts Compilation 2024-25 and 2025-26; Kochar, A. et al. (2013), Nali Kali: Enabling for learning.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